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Sanechips, Huawei, HiSilicon</w:t>
      </w:r>
      <w:r>
        <w:rPr>
          <w:rFonts w:hint="eastAsia"/>
          <w:sz w:val="22"/>
          <w:szCs w:val="22"/>
        </w:rPr>
        <w:t xml:space="preserve">, </w:t>
      </w:r>
      <w:r>
        <w:rPr>
          <w:rFonts w:hint="eastAsia"/>
          <w:color w:val="FF0000"/>
          <w:sz w:val="22"/>
          <w:szCs w:val="22"/>
        </w:rPr>
        <w:t>Nokia</w:t>
      </w:r>
    </w:p>
    <w:p w14:paraId="2E03448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HiSilicon, China Unicom, ZTE, Sanechips</w:t>
      </w:r>
    </w:p>
    <w:p w14:paraId="53E30CF0"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3A05FBF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p>
    <w:p w14:paraId="2E2F1D5A"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0B4AE243"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p>
    <w:p w14:paraId="08033D4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4895DF74"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r w:rsidR="00877493">
        <w:rPr>
          <w:rFonts w:eastAsia="MS Mincho" w:cs="Batang" w:hint="eastAsia"/>
          <w:color w:val="FF0000"/>
          <w:sz w:val="22"/>
          <w:szCs w:val="22"/>
        </w:rPr>
        <w:t>, Apple</w:t>
      </w:r>
    </w:p>
    <w:p w14:paraId="33A10DC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10A199DD"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p>
    <w:p w14:paraId="5771D8A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ListParagraph"/>
        <w:numPr>
          <w:ilvl w:val="0"/>
          <w:numId w:val="17"/>
        </w:numPr>
        <w:ind w:leftChars="0"/>
        <w:rPr>
          <w:b/>
        </w:rPr>
      </w:pPr>
    </w:p>
    <w:p w14:paraId="402B591B" w14:textId="77777777" w:rsidR="007D6A83" w:rsidRDefault="007D6A83">
      <w:pPr>
        <w:rPr>
          <w:b/>
        </w:rPr>
      </w:pPr>
    </w:p>
    <w:p w14:paraId="5A063C4B"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(X,Y):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r>
              <w:rPr>
                <w:rFonts w:eastAsiaTheme="minorEastAsia" w:hint="eastAsia"/>
                <w:bCs/>
                <w:i/>
                <w:sz w:val="18"/>
                <w:szCs w:val="18"/>
              </w:rPr>
              <w:t>harq-ProcessNumberSizeDCI-</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7D6A83" w14:paraId="56D942CE" w14:textId="77777777" w:rsidTr="009D7CA4">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rsidTr="009D7CA4">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the proposal due to the</w:t>
            </w:r>
            <w:r>
              <w:rPr>
                <w:rFonts w:eastAsia="MS Mincho" w:hint="eastAsia"/>
                <w:sz w:val="22"/>
                <w:lang w:val="en-US"/>
              </w:rPr>
              <w:t>some</w:t>
            </w:r>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rsidTr="009D7CA4">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rsidTr="009D7CA4">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rsidTr="009D7CA4">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rsidTr="009D7CA4">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rsidTr="009D7CA4">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D43AFCF"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7D6A83" w14:paraId="68F11BAF" w14:textId="77777777" w:rsidTr="009D7CA4">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rsidTr="009D7CA4">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rsidTr="009D7CA4">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 xml:space="preserve">harq-ProcessNumberSizeDCI-1-2-v1700          INTEGER (0..5)                                                 </w:t>
            </w:r>
          </w:p>
          <w:p w14:paraId="689DC2C0"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Regarding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Heading3"/>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rsidTr="009D7CA4">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rsidTr="009D7CA4">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rquired, but can not be ‘justification’ to extend this feature to an unclear use case.  </w:t>
            </w:r>
          </w:p>
        </w:tc>
      </w:tr>
      <w:tr w:rsidR="007D6A83" w14:paraId="392D9192" w14:textId="77777777" w:rsidTr="009D7CA4">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rsidTr="009D7CA4">
        <w:tc>
          <w:tcPr>
            <w:tcW w:w="1692" w:type="dxa"/>
          </w:tcPr>
          <w:p w14:paraId="14996999" w14:textId="27437A37" w:rsidR="00E57346" w:rsidRPr="00E57346" w:rsidRDefault="00E57346">
            <w:pPr>
              <w:spacing w:afterLines="50" w:after="120"/>
              <w:jc w:val="both"/>
              <w:rPr>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rsidTr="009D7CA4">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r w:rsidR="005E4ADF" w14:paraId="09012DC1" w14:textId="77777777" w:rsidTr="009D7CA4">
        <w:tc>
          <w:tcPr>
            <w:tcW w:w="1692" w:type="dxa"/>
          </w:tcPr>
          <w:p w14:paraId="3176B796" w14:textId="2B987CE5" w:rsidR="005E4ADF" w:rsidRDefault="005E4ADF">
            <w:pPr>
              <w:spacing w:afterLines="50" w:after="120"/>
              <w:jc w:val="both"/>
              <w:rPr>
                <w:sz w:val="22"/>
              </w:rPr>
            </w:pPr>
            <w:r>
              <w:rPr>
                <w:rFonts w:hint="eastAsia"/>
                <w:sz w:val="22"/>
              </w:rPr>
              <w:t>DCM</w:t>
            </w:r>
          </w:p>
        </w:tc>
        <w:tc>
          <w:tcPr>
            <w:tcW w:w="1035" w:type="dxa"/>
          </w:tcPr>
          <w:p w14:paraId="326DC704" w14:textId="77777777" w:rsidR="005E4ADF" w:rsidRDefault="005E4ADF">
            <w:pPr>
              <w:spacing w:afterLines="50" w:after="120"/>
              <w:jc w:val="both"/>
              <w:rPr>
                <w:sz w:val="22"/>
                <w:lang w:val="en-US"/>
              </w:rPr>
            </w:pPr>
          </w:p>
        </w:tc>
        <w:tc>
          <w:tcPr>
            <w:tcW w:w="6901" w:type="dxa"/>
          </w:tcPr>
          <w:p w14:paraId="3878AFE8" w14:textId="62058CC5" w:rsidR="005E4ADF" w:rsidRPr="005E4ADF" w:rsidRDefault="005E4ADF">
            <w:pPr>
              <w:spacing w:afterLines="50" w:after="120"/>
              <w:jc w:val="both"/>
            </w:pPr>
            <w:r>
              <w:rPr>
                <w:rFonts w:hint="eastAsia"/>
              </w:rPr>
              <w:t xml:space="preserve">Just for clarification, why are new RRC parameters necessary? New UE capability signalling is obviously needed, while the existing RRC parameters can be reused for the discussed purpose in our understanding. When the new capability is reported as </w:t>
            </w:r>
            <w:r>
              <w:t>“</w:t>
            </w:r>
            <w:r>
              <w:rPr>
                <w:rFonts w:hint="eastAsia"/>
              </w:rPr>
              <w:t>supported</w:t>
            </w:r>
            <w:r>
              <w:t>”</w:t>
            </w:r>
            <w:r>
              <w:rPr>
                <w:rFonts w:hint="eastAsia"/>
              </w:rPr>
              <w:t xml:space="preserve">, gNB provides the existing </w:t>
            </w:r>
            <w:r>
              <w:t>parameter</w:t>
            </w:r>
            <w:r>
              <w:rPr>
                <w:rFonts w:hint="eastAsia"/>
              </w:rPr>
              <w:t>s for the corresponding carrier, and there is no misunderstanding; is this incorrect?</w:t>
            </w:r>
          </w:p>
        </w:tc>
      </w:tr>
      <w:tr w:rsidR="00E46520" w14:paraId="218C6A9C" w14:textId="77777777" w:rsidTr="009D7CA4">
        <w:tc>
          <w:tcPr>
            <w:tcW w:w="1692" w:type="dxa"/>
          </w:tcPr>
          <w:p w14:paraId="60FA56A7" w14:textId="01C10EBA" w:rsidR="00E46520" w:rsidRDefault="00E46520" w:rsidP="00E46520">
            <w:pPr>
              <w:spacing w:afterLines="50" w:after="120"/>
              <w:jc w:val="both"/>
              <w:rPr>
                <w:sz w:val="22"/>
              </w:rPr>
            </w:pPr>
            <w:r>
              <w:rPr>
                <w:sz w:val="22"/>
                <w:lang w:val="en-US"/>
              </w:rPr>
              <w:t>MediaTek</w:t>
            </w:r>
          </w:p>
        </w:tc>
        <w:tc>
          <w:tcPr>
            <w:tcW w:w="1035" w:type="dxa"/>
          </w:tcPr>
          <w:p w14:paraId="7EDB2C71" w14:textId="77777777" w:rsidR="00E46520" w:rsidRDefault="00E46520" w:rsidP="00E46520">
            <w:pPr>
              <w:spacing w:afterLines="50" w:after="120"/>
              <w:jc w:val="both"/>
              <w:rPr>
                <w:sz w:val="22"/>
                <w:lang w:val="en-US"/>
              </w:rPr>
            </w:pPr>
          </w:p>
        </w:tc>
        <w:tc>
          <w:tcPr>
            <w:tcW w:w="6901" w:type="dxa"/>
          </w:tcPr>
          <w:p w14:paraId="3944DAD8" w14:textId="665EA320" w:rsidR="00E46520" w:rsidRDefault="00E46520" w:rsidP="00E46520">
            <w:pPr>
              <w:spacing w:afterLines="50" w:after="120"/>
              <w:jc w:val="both"/>
            </w:pPr>
            <w:r>
              <w:rPr>
                <w:lang w:val="en-US"/>
              </w:rPr>
              <w:t>We didn’t see the justification of this for FR1 until now either.</w:t>
            </w:r>
          </w:p>
        </w:tc>
      </w:tr>
      <w:tr w:rsidR="00257B36" w14:paraId="35B6A9F6" w14:textId="77777777" w:rsidTr="009D7CA4">
        <w:tc>
          <w:tcPr>
            <w:tcW w:w="1692" w:type="dxa"/>
          </w:tcPr>
          <w:p w14:paraId="0271DDDA" w14:textId="40E5A185" w:rsidR="00257B36" w:rsidRDefault="00257B36" w:rsidP="00257B36">
            <w:pPr>
              <w:spacing w:afterLines="50" w:after="120"/>
              <w:jc w:val="both"/>
              <w:rPr>
                <w:sz w:val="22"/>
                <w:lang w:val="en-US"/>
              </w:rPr>
            </w:pPr>
            <w:r>
              <w:rPr>
                <w:rFonts w:eastAsiaTheme="minorEastAsia" w:hint="eastAsia"/>
                <w:sz w:val="22"/>
                <w:lang w:eastAsia="zh-CN"/>
              </w:rPr>
              <w:t>Z</w:t>
            </w:r>
            <w:r>
              <w:rPr>
                <w:rFonts w:eastAsiaTheme="minorEastAsia"/>
                <w:sz w:val="22"/>
                <w:lang w:eastAsia="zh-CN"/>
              </w:rPr>
              <w:t>TE</w:t>
            </w:r>
          </w:p>
        </w:tc>
        <w:tc>
          <w:tcPr>
            <w:tcW w:w="1035" w:type="dxa"/>
          </w:tcPr>
          <w:p w14:paraId="6558B29C" w14:textId="77777777" w:rsidR="00257B36" w:rsidRDefault="00257B36" w:rsidP="00257B36">
            <w:pPr>
              <w:spacing w:afterLines="50" w:after="120"/>
              <w:jc w:val="both"/>
              <w:rPr>
                <w:sz w:val="22"/>
                <w:lang w:val="en-US"/>
              </w:rPr>
            </w:pPr>
          </w:p>
        </w:tc>
        <w:tc>
          <w:tcPr>
            <w:tcW w:w="6901" w:type="dxa"/>
          </w:tcPr>
          <w:p w14:paraId="44724EE5" w14:textId="77777777" w:rsidR="00257B36" w:rsidRDefault="00257B36" w:rsidP="00257B36">
            <w:pPr>
              <w:spacing w:afterLines="50" w:after="120"/>
              <w:jc w:val="both"/>
              <w:rPr>
                <w:rFonts w:eastAsiaTheme="minorEastAsia"/>
                <w:lang w:eastAsia="zh-CN"/>
              </w:rPr>
            </w:pPr>
            <w:r>
              <w:rPr>
                <w:rFonts w:eastAsiaTheme="minorEastAsia" w:hint="eastAsia"/>
                <w:lang w:eastAsia="zh-CN"/>
              </w:rPr>
              <w:t>@</w:t>
            </w:r>
            <w:r>
              <w:rPr>
                <w:rFonts w:eastAsiaTheme="minorEastAsia"/>
                <w:lang w:eastAsia="zh-CN"/>
              </w:rPr>
              <w:t>QC, The intention is to reuse the same value range of the RRC parameters defined for Re</w:t>
            </w:r>
            <w:r>
              <w:rPr>
                <w:rFonts w:eastAsiaTheme="minorEastAsia" w:hint="eastAsia"/>
                <w:lang w:eastAsia="zh-CN"/>
              </w:rPr>
              <w:t>l</w:t>
            </w:r>
            <w:r>
              <w:rPr>
                <w:rFonts w:eastAsiaTheme="minorEastAsia"/>
                <w:lang w:eastAsia="zh-CN"/>
              </w:rPr>
              <w:t>-17 NTN. My understanding is there is no fundamental difference of using value range between (5) bits and (0...5) bits.</w:t>
            </w:r>
          </w:p>
          <w:p w14:paraId="70499063" w14:textId="77777777" w:rsidR="00257B36" w:rsidRPr="008F63CC" w:rsidRDefault="00257B36" w:rsidP="00257B36">
            <w:pPr>
              <w:pStyle w:val="ListParagraph"/>
              <w:numPr>
                <w:ilvl w:val="0"/>
                <w:numId w:val="55"/>
              </w:numPr>
              <w:spacing w:afterLines="50" w:after="120"/>
              <w:ind w:leftChars="0"/>
              <w:jc w:val="both"/>
              <w:rPr>
                <w:rFonts w:eastAsiaTheme="minorEastAsia"/>
                <w:lang w:eastAsia="zh-CN"/>
              </w:rPr>
            </w:pPr>
            <w:r>
              <w:rPr>
                <w:rFonts w:eastAsiaTheme="minorEastAsia"/>
                <w:lang w:eastAsia="zh-CN"/>
              </w:rPr>
              <w:t>Value range is set as (5) bits: I</w:t>
            </w:r>
            <w:r w:rsidRPr="00900E2A">
              <w:rPr>
                <w:rFonts w:eastAsiaTheme="minorEastAsia"/>
                <w:lang w:eastAsia="zh-CN"/>
              </w:rPr>
              <w:t xml:space="preserve">f NW intends to use 32 HARQ processes, NW can configure </w:t>
            </w:r>
            <w:r w:rsidRPr="008F63CC">
              <w:rPr>
                <w:i/>
                <w:sz w:val="22"/>
              </w:rPr>
              <w:t>harq-ProcessNumberSizeDCI-0-2-Ext-r19</w:t>
            </w:r>
            <w:r w:rsidRPr="008F63CC">
              <w:rPr>
                <w:sz w:val="22"/>
              </w:rPr>
              <w:t xml:space="preserve">. Otherwise, the NW can configure </w:t>
            </w:r>
            <w:r w:rsidRPr="008F63CC">
              <w:rPr>
                <w:rFonts w:eastAsiaTheme="minorEastAsia" w:hint="eastAsia"/>
                <w:i/>
              </w:rPr>
              <w:t>harq-ProcessNumberSizeDCI-0-2-r16</w:t>
            </w:r>
            <w:r w:rsidRPr="008F63CC">
              <w:rPr>
                <w:rFonts w:eastAsiaTheme="minorEastAsia" w:hint="eastAsia"/>
              </w:rPr>
              <w:t xml:space="preserve"> </w:t>
            </w:r>
            <w:r w:rsidRPr="008F63CC">
              <w:rPr>
                <w:rFonts w:eastAsiaTheme="minorEastAsia"/>
              </w:rPr>
              <w:t xml:space="preserve">which has a value range of </w:t>
            </w:r>
            <w:r w:rsidRPr="008F63CC">
              <w:t xml:space="preserve">(0…4). </w:t>
            </w:r>
          </w:p>
          <w:p w14:paraId="51352711" w14:textId="77777777" w:rsidR="00257B36" w:rsidRPr="008F63CC" w:rsidRDefault="00257B36" w:rsidP="00257B36">
            <w:pPr>
              <w:pStyle w:val="ListParagraph"/>
              <w:numPr>
                <w:ilvl w:val="0"/>
                <w:numId w:val="55"/>
              </w:numPr>
              <w:spacing w:afterLines="50" w:after="120"/>
              <w:ind w:leftChars="0"/>
              <w:jc w:val="both"/>
              <w:rPr>
                <w:rFonts w:eastAsiaTheme="minorEastAsia"/>
                <w:lang w:eastAsia="zh-CN"/>
              </w:rPr>
            </w:pPr>
            <w:r w:rsidRPr="00AE4222">
              <w:rPr>
                <w:rFonts w:eastAsiaTheme="minorEastAsia"/>
                <w:lang w:eastAsia="zh-CN"/>
              </w:rPr>
              <w:t>Value range is set as (0…</w:t>
            </w:r>
            <w:r w:rsidRPr="008F63CC">
              <w:rPr>
                <w:rFonts w:eastAsiaTheme="minorEastAsia"/>
                <w:lang w:eastAsia="zh-CN"/>
              </w:rPr>
              <w:t xml:space="preserve">5) bits: If NW intends to use 32 HARQ processes, NW can configure </w:t>
            </w:r>
            <w:r w:rsidRPr="008F63CC">
              <w:rPr>
                <w:i/>
                <w:sz w:val="22"/>
              </w:rPr>
              <w:t xml:space="preserve">harq-ProcessNumberSizeDCI-0-2-Ext-r19 </w:t>
            </w:r>
            <w:r w:rsidRPr="0080671E">
              <w:rPr>
                <w:sz w:val="22"/>
              </w:rPr>
              <w:t>and set the value as ‘5’</w:t>
            </w:r>
            <w:r w:rsidRPr="008F63CC">
              <w:rPr>
                <w:sz w:val="22"/>
              </w:rPr>
              <w:t xml:space="preserve">. Otherwise, the NW still configures </w:t>
            </w:r>
            <w:r w:rsidRPr="008F63CC">
              <w:rPr>
                <w:i/>
                <w:sz w:val="22"/>
              </w:rPr>
              <w:t>harq-ProcessNumberSizeDCI-0-2-Ext-r19</w:t>
            </w:r>
            <w:r w:rsidRPr="008F63CC">
              <w:rPr>
                <w:rFonts w:eastAsiaTheme="minorEastAsia" w:hint="eastAsia"/>
              </w:rPr>
              <w:t xml:space="preserve"> </w:t>
            </w:r>
            <w:r w:rsidRPr="008F63CC">
              <w:rPr>
                <w:rFonts w:eastAsiaTheme="minorEastAsia"/>
              </w:rPr>
              <w:t xml:space="preserve">but configures the value as 0~4 bits.  </w:t>
            </w:r>
          </w:p>
          <w:p w14:paraId="7F288FD0" w14:textId="77777777" w:rsidR="00257B36" w:rsidRDefault="00257B36" w:rsidP="00257B36">
            <w:pPr>
              <w:spacing w:afterLines="50" w:after="120"/>
              <w:jc w:val="both"/>
              <w:rPr>
                <w:rFonts w:eastAsiaTheme="minorEastAsia"/>
                <w:lang w:val="en-US" w:eastAsia="zh-CN"/>
              </w:rPr>
            </w:pPr>
            <w:r>
              <w:rPr>
                <w:rFonts w:eastAsiaTheme="minorEastAsia"/>
                <w:lang w:val="en-US" w:eastAsia="zh-CN"/>
              </w:rPr>
              <w:t xml:space="preserve">Based on the discussion, I feel safer to remove the value range for now and further discuss the details in the next RAN1 meeting or during RRC discussion in later phase of Rel-19. </w:t>
            </w:r>
          </w:p>
          <w:p w14:paraId="52221A32" w14:textId="7E5B314E" w:rsidR="00257B36" w:rsidRDefault="00257B36" w:rsidP="00257B36">
            <w:pPr>
              <w:spacing w:afterLines="50"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vivo, MTK, The UE granularity is per FSPC. UE already has full control of what the UE wants to support or not support. To avoid further discussion like this, we suggest not adding any artificial restrictions.</w:t>
            </w:r>
          </w:p>
          <w:p w14:paraId="0153BEEB" w14:textId="150465FF" w:rsidR="00257B36" w:rsidRDefault="00B4446F" w:rsidP="00257B36">
            <w:pPr>
              <w:spacing w:afterLines="50"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 xml:space="preserve">DCM, It is a normal practice to introduce new RRC parameters once we introduce new UE capabilities. The main reason is to avoid issues in ‘Legacy gNB, New UE’ scenario. More specifically, if a new UE reports the new UE capability while gNB configures the legacy RRC parameter, gNB’s intention is to enable legacy behavior while the new UE may wrongly operates for the new feature. </w:t>
            </w:r>
          </w:p>
          <w:p w14:paraId="071E084D" w14:textId="77777777" w:rsidR="00B4446F" w:rsidRDefault="00B4446F" w:rsidP="00257B36">
            <w:pPr>
              <w:spacing w:afterLines="50" w:after="120"/>
              <w:jc w:val="both"/>
              <w:rPr>
                <w:rFonts w:eastAsiaTheme="minorEastAsia"/>
                <w:lang w:val="en-US" w:eastAsia="zh-CN"/>
              </w:rPr>
            </w:pPr>
          </w:p>
          <w:p w14:paraId="04CFED2E" w14:textId="77777777" w:rsidR="00257B36" w:rsidRDefault="00257B36" w:rsidP="00257B36">
            <w:pPr>
              <w:spacing w:afterLines="50" w:after="120"/>
              <w:jc w:val="both"/>
              <w:rPr>
                <w:rFonts w:eastAsiaTheme="minorEastAsia"/>
                <w:lang w:val="en-US" w:eastAsia="zh-CN"/>
              </w:rPr>
            </w:pPr>
            <w:r>
              <w:rPr>
                <w:rFonts w:eastAsiaTheme="minorEastAsia"/>
                <w:lang w:val="en-US" w:eastAsia="zh-CN"/>
              </w:rPr>
              <w:t xml:space="preserve">@all, Based on further check and offline comment, we found that a maximum 32 HARQ processes is also supported for DCI format 0-3 and 1-3 in Rel-18. So, it is proposed to also add corresponding RRC parameters.  </w:t>
            </w:r>
          </w:p>
          <w:p w14:paraId="37CAACD8" w14:textId="77777777" w:rsidR="00257B36" w:rsidRPr="003B0F3E" w:rsidRDefault="00257B36" w:rsidP="00257B36">
            <w:pPr>
              <w:pStyle w:val="Normal1"/>
              <w:rPr>
                <w:rFonts w:ascii="Courier New" w:eastAsiaTheme="minorEastAsia" w:hAnsi="Courier New" w:cs="Times New Roman"/>
                <w:kern w:val="0"/>
                <w:sz w:val="16"/>
                <w:szCs w:val="20"/>
                <w:lang w:val="en-GB" w:eastAsia="en-US"/>
              </w:rPr>
            </w:pPr>
            <w:r w:rsidRPr="003B0F3E">
              <w:rPr>
                <w:rFonts w:ascii="Courier New" w:eastAsiaTheme="minorEastAsia" w:hAnsi="Courier New" w:cs="Times New Roman" w:hint="eastAsia"/>
                <w:kern w:val="0"/>
                <w:sz w:val="16"/>
                <w:szCs w:val="20"/>
                <w:lang w:val="en-GB" w:eastAsia="en-US"/>
              </w:rPr>
              <w:lastRenderedPageBreak/>
              <w:t xml:space="preserve">harq-ProcessNumberSizeDCI-0-3-r18             INTEGER (0..5) </w:t>
            </w:r>
          </w:p>
          <w:p w14:paraId="7555A31B" w14:textId="77777777" w:rsidR="00257B36" w:rsidRPr="003B0F3E" w:rsidRDefault="00257B36" w:rsidP="00257B36">
            <w:pPr>
              <w:pStyle w:val="Normal1"/>
              <w:rPr>
                <w:rFonts w:ascii="Courier New" w:eastAsiaTheme="minorEastAsia" w:hAnsi="Courier New" w:cs="Times New Roman"/>
                <w:kern w:val="0"/>
                <w:sz w:val="16"/>
                <w:szCs w:val="20"/>
                <w:lang w:val="en-GB" w:eastAsia="en-US"/>
              </w:rPr>
            </w:pPr>
            <w:r w:rsidRPr="003B0F3E">
              <w:rPr>
                <w:rFonts w:ascii="Courier New" w:eastAsiaTheme="minorEastAsia" w:hAnsi="Courier New" w:cs="Times New Roman" w:hint="eastAsia"/>
                <w:kern w:val="0"/>
                <w:sz w:val="16"/>
                <w:szCs w:val="20"/>
                <w:lang w:val="en-GB" w:eastAsia="en-US"/>
              </w:rPr>
              <w:t xml:space="preserve">harq-ProcessNumberSizeDCI-1-3-r18              INTEGER (0..5)  </w:t>
            </w:r>
          </w:p>
          <w:p w14:paraId="715F2C15" w14:textId="1D6142F9" w:rsidR="00257B36" w:rsidRPr="003B0F3E" w:rsidRDefault="00F21651" w:rsidP="00257B36">
            <w:pPr>
              <w:spacing w:afterLines="50" w:after="120"/>
              <w:jc w:val="both"/>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above, we </w:t>
            </w:r>
            <w:r w:rsidR="003C62E4">
              <w:rPr>
                <w:rFonts w:eastAsiaTheme="minorEastAsia"/>
                <w:lang w:val="en-US" w:eastAsia="zh-CN"/>
              </w:rPr>
              <w:t xml:space="preserve">suggest </w:t>
            </w:r>
            <w:r>
              <w:rPr>
                <w:rFonts w:eastAsiaTheme="minorEastAsia"/>
                <w:lang w:val="en-US" w:eastAsia="zh-CN"/>
              </w:rPr>
              <w:t>further updat</w:t>
            </w:r>
            <w:r w:rsidR="003C62E4">
              <w:rPr>
                <w:rFonts w:eastAsiaTheme="minorEastAsia"/>
                <w:lang w:val="en-US" w:eastAsia="zh-CN"/>
              </w:rPr>
              <w:t>ing</w:t>
            </w:r>
            <w:r>
              <w:rPr>
                <w:rFonts w:eastAsiaTheme="minorEastAsia"/>
                <w:lang w:val="en-US" w:eastAsia="zh-CN"/>
              </w:rPr>
              <w:t xml:space="preserve"> the proposal as follows. </w:t>
            </w:r>
          </w:p>
          <w:p w14:paraId="6B2B0368" w14:textId="77777777" w:rsidR="00257B36" w:rsidRDefault="00257B36" w:rsidP="00257B36">
            <w:pPr>
              <w:pStyle w:val="Heading3"/>
              <w:rPr>
                <w:rFonts w:eastAsia="MS Mincho" w:cs="Batang"/>
                <w:b/>
                <w:bCs/>
                <w:sz w:val="22"/>
              </w:rPr>
            </w:pPr>
            <w:r>
              <w:rPr>
                <w:rFonts w:eastAsia="MS Mincho" w:cs="Batang"/>
                <w:b/>
                <w:bCs/>
                <w:sz w:val="22"/>
              </w:rPr>
              <w:t>TEI proposal #</w:t>
            </w:r>
            <w:r>
              <w:rPr>
                <w:rFonts w:eastAsia="MS Mincho" w:cs="Batang" w:hint="eastAsia"/>
                <w:b/>
                <w:bCs/>
                <w:sz w:val="22"/>
              </w:rPr>
              <w:t>1</w:t>
            </w:r>
            <w:r>
              <w:rPr>
                <w:rFonts w:eastAsia="MS Mincho" w:cs="Batang"/>
                <w:b/>
                <w:bCs/>
                <w:sz w:val="22"/>
              </w:rPr>
              <w:t>b</w:t>
            </w:r>
          </w:p>
          <w:p w14:paraId="6C2EAEA1" w14:textId="77777777" w:rsidR="00257B36" w:rsidRPr="00CC6931" w:rsidRDefault="00257B36" w:rsidP="00257B36">
            <w:pPr>
              <w:pStyle w:val="ListParagraph"/>
              <w:numPr>
                <w:ilvl w:val="0"/>
                <w:numId w:val="20"/>
              </w:numPr>
              <w:ind w:leftChars="0"/>
              <w:jc w:val="both"/>
              <w:rPr>
                <w:b/>
                <w:sz w:val="22"/>
              </w:rPr>
            </w:pPr>
            <w:r>
              <w:rPr>
                <w:rFonts w:eastAsia="MS Mincho" w:cs="Batang"/>
                <w:b/>
                <w:bCs/>
                <w:sz w:val="22"/>
              </w:rPr>
              <w:t>Support a maximum of 32 HARQ process numb</w:t>
            </w:r>
            <w:r w:rsidRPr="00CC6931">
              <w:rPr>
                <w:rFonts w:eastAsia="MS Mincho" w:cs="Batang"/>
                <w:b/>
                <w:bCs/>
                <w:sz w:val="22"/>
              </w:rPr>
              <w:t>ers for TN in FR1 and FR2-1 in Rel-19.</w:t>
            </w:r>
          </w:p>
          <w:p w14:paraId="55EE4E73" w14:textId="77777777" w:rsidR="00257B36" w:rsidRPr="00CC6931" w:rsidRDefault="00257B36" w:rsidP="00257B36">
            <w:pPr>
              <w:pStyle w:val="ListParagraph"/>
              <w:numPr>
                <w:ilvl w:val="1"/>
                <w:numId w:val="20"/>
              </w:numPr>
              <w:ind w:leftChars="0"/>
              <w:jc w:val="both"/>
              <w:rPr>
                <w:b/>
                <w:sz w:val="22"/>
              </w:rPr>
            </w:pPr>
            <w:r w:rsidRPr="00CC6931">
              <w:rPr>
                <w:b/>
                <w:sz w:val="22"/>
              </w:rPr>
              <w:t>Introduce new UE capabilities, by duplicating the Rel-17 UE FGs 24-8/24-9 defined for FR2-2 to FR1 and FR2-1.</w:t>
            </w:r>
          </w:p>
          <w:p w14:paraId="32446446" w14:textId="77777777" w:rsidR="00257B36" w:rsidRDefault="00257B36" w:rsidP="00257B36">
            <w:pPr>
              <w:pStyle w:val="ListParagraph"/>
              <w:numPr>
                <w:ilvl w:val="2"/>
                <w:numId w:val="20"/>
              </w:numPr>
              <w:ind w:leftChars="0"/>
              <w:jc w:val="both"/>
              <w:rPr>
                <w:b/>
                <w:sz w:val="22"/>
              </w:rPr>
            </w:pPr>
            <w:r>
              <w:rPr>
                <w:b/>
                <w:sz w:val="22"/>
              </w:rPr>
              <w:t xml:space="preserve">The reporting granularity of the UE capabilities is changed to ‘per FSPC’. </w:t>
            </w:r>
          </w:p>
          <w:p w14:paraId="04C7AAC0" w14:textId="77777777" w:rsidR="00257B36" w:rsidRPr="00DC58DC" w:rsidRDefault="00257B36" w:rsidP="00257B36">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sidRPr="00DC58DC">
              <w:rPr>
                <w:b/>
                <w:strike/>
                <w:color w:val="FF0000"/>
                <w:sz w:val="22"/>
              </w:rPr>
              <w:t>with value range ‘</w:t>
            </w:r>
            <w:r w:rsidRPr="00DC58DC">
              <w:rPr>
                <w:rFonts w:hint="eastAsia"/>
                <w:b/>
                <w:strike/>
                <w:color w:val="FF0000"/>
                <w:sz w:val="22"/>
              </w:rPr>
              <w:t>INTEGER (5)</w:t>
            </w:r>
            <w:r w:rsidRPr="00DC58DC">
              <w:rPr>
                <w:b/>
                <w:strike/>
                <w:color w:val="FF0000"/>
                <w:sz w:val="22"/>
              </w:rPr>
              <w:t>’</w:t>
            </w:r>
            <w:r w:rsidRPr="00DC58DC">
              <w:rPr>
                <w:b/>
                <w:sz w:val="22"/>
              </w:rPr>
              <w:t xml:space="preserve">, harq-ProcessNumberSizeDCI-1-1-Ext-r19 </w:t>
            </w:r>
            <w:r w:rsidRPr="00EF6515">
              <w:rPr>
                <w:b/>
                <w:strike/>
                <w:color w:val="FF0000"/>
                <w:sz w:val="22"/>
              </w:rPr>
              <w:t>with value range ‘</w:t>
            </w:r>
            <w:r w:rsidRPr="00EF6515">
              <w:rPr>
                <w:rFonts w:hint="eastAsia"/>
                <w:b/>
                <w:strike/>
                <w:color w:val="FF0000"/>
                <w:sz w:val="22"/>
              </w:rPr>
              <w:t>INTEGER (5)</w:t>
            </w:r>
            <w:r w:rsidRPr="00EF6515">
              <w:rPr>
                <w:b/>
                <w:strike/>
                <w:color w:val="FF0000"/>
                <w:sz w:val="22"/>
              </w:rPr>
              <w:t>’</w:t>
            </w:r>
            <w:r w:rsidRPr="00DC58DC">
              <w:rPr>
                <w:b/>
                <w:sz w:val="22"/>
              </w:rPr>
              <w:t xml:space="preserve">, harq-ProcessNumberSizeDCI-0-2-Ext-r19 </w:t>
            </w:r>
            <w:r w:rsidRPr="00E109BF">
              <w:rPr>
                <w:b/>
                <w:strike/>
                <w:color w:val="FF0000"/>
                <w:sz w:val="22"/>
              </w:rPr>
              <w:t>with value range ‘</w:t>
            </w:r>
            <w:r w:rsidRPr="00E109BF">
              <w:rPr>
                <w:rFonts w:hint="eastAsia"/>
                <w:b/>
                <w:strike/>
                <w:color w:val="FF0000"/>
                <w:sz w:val="22"/>
              </w:rPr>
              <w:t>INTEGER (5)</w:t>
            </w:r>
            <w:r w:rsidRPr="00E109BF">
              <w:rPr>
                <w:b/>
                <w:strike/>
                <w:color w:val="FF0000"/>
                <w:sz w:val="22"/>
              </w:rPr>
              <w:t>’</w:t>
            </w:r>
            <w:r w:rsidRPr="00DC58DC">
              <w:rPr>
                <w:b/>
                <w:sz w:val="22"/>
              </w:rPr>
              <w:t xml:space="preserve">, harq-ProcessNumberSizeDCI-1-2-Ext-r19 </w:t>
            </w:r>
            <w:r w:rsidRPr="00E109BF">
              <w:rPr>
                <w:b/>
                <w:strike/>
                <w:color w:val="FF0000"/>
                <w:sz w:val="22"/>
              </w:rPr>
              <w:t>with value range ‘</w:t>
            </w:r>
            <w:r w:rsidRPr="00E109BF">
              <w:rPr>
                <w:rFonts w:hint="eastAsia"/>
                <w:b/>
                <w:strike/>
                <w:color w:val="FF0000"/>
                <w:sz w:val="22"/>
              </w:rPr>
              <w:t>INTEGER (</w:t>
            </w:r>
            <w:r w:rsidRPr="00E109BF">
              <w:rPr>
                <w:b/>
                <w:strike/>
                <w:color w:val="FF0000"/>
                <w:sz w:val="22"/>
              </w:rPr>
              <w:t>0…</w:t>
            </w:r>
            <w:r w:rsidRPr="00E109BF">
              <w:rPr>
                <w:rFonts w:hint="eastAsia"/>
                <w:b/>
                <w:strike/>
                <w:color w:val="FF0000"/>
                <w:sz w:val="22"/>
              </w:rPr>
              <w:t>5)</w:t>
            </w:r>
            <w:r w:rsidRPr="00E109BF">
              <w:rPr>
                <w:b/>
                <w:strike/>
                <w:color w:val="FF0000"/>
                <w:sz w:val="22"/>
              </w:rPr>
              <w:t>’</w:t>
            </w:r>
            <w:r w:rsidRPr="00B95D14">
              <w:rPr>
                <w:b/>
                <w:color w:val="FF0000"/>
                <w:sz w:val="22"/>
                <w:u w:val="single"/>
              </w:rPr>
              <w:t>, harq-ProcessNumberSizeDCI-0-3-Ext-r19, harq-ProcessNumberSizeDCI-1-3-Ext-r19</w:t>
            </w:r>
            <w:r w:rsidRPr="00DC58DC">
              <w:rPr>
                <w:b/>
                <w:sz w:val="22"/>
              </w:rPr>
              <w:t>.</w:t>
            </w:r>
          </w:p>
          <w:p w14:paraId="16C8F048" w14:textId="7AEE28A4" w:rsidR="00257B36" w:rsidRDefault="00257B36" w:rsidP="00257B36">
            <w:pPr>
              <w:spacing w:afterLines="50" w:after="120"/>
              <w:jc w:val="both"/>
              <w:rPr>
                <w:lang w:val="en-US"/>
              </w:rPr>
            </w:pPr>
            <w:r>
              <w:rPr>
                <w:rFonts w:ascii="Courier New" w:eastAsiaTheme="minorEastAsia" w:hAnsi="Courier New" w:hint="eastAsia"/>
                <w:sz w:val="16"/>
                <w:lang w:eastAsia="en-US"/>
              </w:rPr>
              <w:t xml:space="preserve"> </w:t>
            </w:r>
          </w:p>
        </w:tc>
      </w:tr>
    </w:tbl>
    <w:p w14:paraId="24365765" w14:textId="77777777" w:rsidR="007D6A83" w:rsidRPr="005E4ADF"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lastRenderedPageBreak/>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non-RedCap UEs</w:t>
            </w:r>
          </w:p>
          <w:p w14:paraId="37D28080" w14:textId="77777777" w:rsidR="007D6A83" w:rsidRDefault="00245759">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4. Duration of DL PRS symbols N3 in units of ms a UE can process every T3 ms</w:t>
                  </w:r>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DengXian"/>
                      <w:color w:val="000000"/>
                      <w:sz w:val="18"/>
                      <w:szCs w:val="18"/>
                    </w:rPr>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 in RRC_CONNECTED </w:t>
                  </w:r>
                  <w:r>
                    <w:rPr>
                      <w:strike/>
                      <w:color w:val="C00000"/>
                      <w:sz w:val="18"/>
                      <w:szCs w:val="18"/>
                    </w:rPr>
                    <w:t xml:space="preserve"> for 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Need for location server to know if the </w:t>
                  </w:r>
                  <w:r>
                    <w:rPr>
                      <w:rFonts w:ascii="Times New Roman" w:hAnsi="Times New Roman"/>
                      <w:color w:val="000000"/>
                      <w:szCs w:val="18"/>
                    </w:rPr>
                    <w:lastRenderedPageBreak/>
                    <w:t>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 xml:space="preserve">PRS measurement with Rx frequency hopping in RRC_INACTIVE </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RedCap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RedCap UEs</w:t>
                  </w:r>
                  <w:r>
                    <w:rPr>
                      <w:color w:val="000000"/>
                      <w:sz w:val="18"/>
                      <w:szCs w:val="18"/>
                    </w:rPr>
                    <w:t xml:space="preserve">  UEs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RedCap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lastRenderedPageBreak/>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 xml:space="preserve">7. Maximum number of positioning SRS resources with Tx </w:t>
                  </w:r>
                  <w:r>
                    <w:rPr>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lastRenderedPageBreak/>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lastRenderedPageBreak/>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ListParagraph"/>
        <w:numPr>
          <w:ilvl w:val="0"/>
          <w:numId w:val="20"/>
        </w:numPr>
        <w:ind w:leftChars="0"/>
        <w:jc w:val="both"/>
        <w:rPr>
          <w:b/>
          <w:szCs w:val="24"/>
        </w:rPr>
      </w:pPr>
      <w:r>
        <w:rPr>
          <w:b/>
          <w:szCs w:val="24"/>
        </w:rPr>
        <w:t>Extend Rel-18’s DL and UL frequency hopping for DL-PRS reception and UL SRS for positioning transmission to non-RedCap UEs</w:t>
      </w:r>
      <w:r>
        <w:rPr>
          <w:rFonts w:hint="eastAsia"/>
          <w:b/>
          <w:szCs w:val="24"/>
        </w:rPr>
        <w:t>.</w:t>
      </w:r>
    </w:p>
    <w:p w14:paraId="6BC5ADB7" w14:textId="77777777" w:rsidR="007D6A83" w:rsidRDefault="00245759">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intraband CA, there can be a nonzero guard band. Given the way the frequency hopping feature is specified, the UE will transmit in all the PRBs across hops, which may result in transmission within the guard </w:t>
            </w:r>
            <w:r>
              <w:rPr>
                <w:sz w:val="22"/>
                <w:lang w:val="en-US"/>
              </w:rPr>
              <w:lastRenderedPageBreak/>
              <w:t>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r>
              <w:rPr>
                <w:sz w:val="22"/>
              </w:rPr>
              <w:t>xiaomi</w:t>
            </w:r>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To Qualcomm, thanks for the in principle support. We are ok to clarify that UE does not transmit SRS for positioning on guardband.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To vivo, MIMO SRS frequency hopping within 100MHz is also supported  in 5G for power boosting. We think it is also beneficial to extend positioning frequency hopping feature to non-RedCap UE. For frequency hopping across CCs, our initial thinking is try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For the guardband issue raise by xiaomi, we think from Rx</w:t>
            </w:r>
            <w:r>
              <w:rPr>
                <w:rFonts w:eastAsia="SimSun"/>
                <w:sz w:val="22"/>
                <w:lang w:val="en-US" w:eastAsia="zh-CN"/>
              </w:rPr>
              <w:t>’</w:t>
            </w:r>
            <w:r>
              <w:rPr>
                <w:rFonts w:eastAsia="SimSun" w:hint="eastAsia"/>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lastRenderedPageBreak/>
              <w:t>To samsung, we target on UEs with no CA capability. The UE may not be able to transmit 300MHz simultaneously, but with frequency hopping across carriers, UE without CA capability can achieve a equivalent larget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lastRenderedPageBreak/>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lastRenderedPageBreak/>
              <w:drawing>
                <wp:inline distT="0" distB="0" distL="0" distR="0" wp14:anchorId="1AE31EEA" wp14:editId="4CA8D70E">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Support to configure maximum of 4 SRS resources for codebook based transmission</w:t>
            </w:r>
          </w:p>
          <w:p w14:paraId="51D695ED"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Support of max 4 SRS resources in a set for codebook based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" filled="f" strokecolor="black [3213]">
                      <v:textbox>
                        <w:txbxContent>
                          <w:p w14:paraId="4734DACE"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ListParagraph"/>
        <w:numPr>
          <w:ilvl w:val="0"/>
          <w:numId w:val="20"/>
        </w:numPr>
        <w:ind w:leftChars="0"/>
        <w:jc w:val="both"/>
        <w:rPr>
          <w:b/>
        </w:rPr>
      </w:pPr>
      <w:r>
        <w:rPr>
          <w:b/>
        </w:rPr>
        <w:t>Support to configure maximum of 4 SRS resources for codebook based transmission</w:t>
      </w:r>
    </w:p>
    <w:p w14:paraId="654F43A4" w14:textId="77777777" w:rsidR="007D6A83" w:rsidRDefault="00245759">
      <w:pPr>
        <w:pStyle w:val="ListParagraph"/>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ListParagraph"/>
        <w:numPr>
          <w:ilvl w:val="1"/>
          <w:numId w:val="20"/>
        </w:numPr>
        <w:ind w:leftChars="0"/>
        <w:jc w:val="both"/>
        <w:rPr>
          <w:b/>
        </w:rPr>
      </w:pPr>
      <w:r>
        <w:rPr>
          <w:b/>
        </w:rPr>
        <w:t>Support of max 4 SRS resources in a set for codebook based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xTyR with x&lt;&lt;y (like 1T4R). For the particular SRS, our understanding is that PCMAX can be quite different for different ports due to a term </w:t>
            </w:r>
            <w:r>
              <w:rPr>
                <w:sz w:val="22"/>
              </w:rPr>
              <w:t>∆T</w:t>
            </w:r>
            <w:r>
              <w:rPr>
                <w:sz w:val="22"/>
                <w:vertAlign w:val="subscript"/>
              </w:rPr>
              <w:t>RxSRS</w:t>
            </w:r>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∆T</w:t>
                  </w:r>
                  <w:r>
                    <w:rPr>
                      <w:rFonts w:eastAsia="Times New Roman"/>
                      <w:sz w:val="20"/>
                      <w:vertAlign w:val="subscript"/>
                      <w:lang w:val="en-US"/>
                    </w:rPr>
                    <w:t>RxSRS</w:t>
                  </w:r>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 xml:space="preserve">SRS-ResourceSet </w:t>
                  </w:r>
                  <w:r>
                    <w:rPr>
                      <w:rFonts w:eastAsia="Times New Roman"/>
                      <w:sz w:val="20"/>
                      <w:lang w:val="en-US"/>
                    </w:rPr>
                    <w:t xml:space="preserve">set as ‘antennaSwitching’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SRS-TxSwitch</w:t>
                  </w:r>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SRS-TxSwitch</w:t>
                  </w:r>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 xml:space="preserve">SRS-TxSwitch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senventh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SRS-TxSwitch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4.5dB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3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when the device is capable of power class 3 or power class 5 or power class 1.5 in the band, or when the device is capable of power class 2 in the band and ΔP</w:t>
                  </w:r>
                  <w:r>
                    <w:rPr>
                      <w:rFonts w:eastAsia="Times New Roman"/>
                      <w:sz w:val="20"/>
                      <w:vertAlign w:val="subscript"/>
                      <w:lang w:val="en-US"/>
                    </w:rPr>
                    <w:t>PowerClass</w:t>
                  </w:r>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7.5dB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6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configured SRS resources consisting of one SRS port when the device is capable of power class 2 in the band and ΔP</w:t>
                  </w:r>
                  <w:r>
                    <w:rPr>
                      <w:rFonts w:eastAsia="Times New Roman"/>
                      <w:sz w:val="20"/>
                      <w:vertAlign w:val="subscript"/>
                      <w:lang w:val="en-US"/>
                    </w:rPr>
                    <w:t>PowerClass</w:t>
                  </w:r>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t xml:space="preserve">According to above, for non-first SRS resource, we understand SRS Tx power will be decreased by 3 to 7.5 dB. </w:t>
            </w:r>
          </w:p>
          <w:p w14:paraId="0D95EBF5" w14:textId="77777777" w:rsidR="007D6A83" w:rsidRDefault="00245759">
            <w:pPr>
              <w:spacing w:afterLines="50" w:after="120"/>
              <w:jc w:val="both"/>
              <w:rPr>
                <w:sz w:val="22"/>
                <w:lang w:val="en-US"/>
              </w:rPr>
            </w:pPr>
            <w:r>
              <w:rPr>
                <w:sz w:val="22"/>
                <w:lang w:val="en-US"/>
              </w:rPr>
              <w:lastRenderedPageBreak/>
              <w:t>A</w:t>
            </w:r>
            <w:r>
              <w:rPr>
                <w:rFonts w:hint="eastAsia"/>
                <w:sz w:val="22"/>
                <w:lang w:val="en-US"/>
              </w:rPr>
              <w:t>nd the above just impacts on P</w:t>
            </w:r>
            <w:r>
              <w:rPr>
                <w:rFonts w:hint="eastAsia"/>
                <w:sz w:val="22"/>
                <w:vertAlign w:val="subscript"/>
                <w:lang w:val="en-US"/>
              </w:rPr>
              <w:t>CMAX_L,f,c</w:t>
            </w:r>
            <w:r>
              <w:rPr>
                <w:rFonts w:hint="eastAsia"/>
                <w:sz w:val="22"/>
                <w:lang w:val="en-US"/>
              </w:rPr>
              <w:t xml:space="preserve"> </w:t>
            </w:r>
            <w:r>
              <w:rPr>
                <w:sz w:val="22"/>
                <w:lang w:val="en-US"/>
              </w:rPr>
              <w:t>–</w:t>
            </w:r>
            <w:r>
              <w:rPr>
                <w:rFonts w:hint="eastAsia"/>
                <w:sz w:val="22"/>
                <w:lang w:val="en-US"/>
              </w:rPr>
              <w:t xml:space="preserve"> which is the lower bound of P</w:t>
            </w:r>
            <w:r>
              <w:rPr>
                <w:rFonts w:hint="eastAsia"/>
                <w:sz w:val="22"/>
                <w:vertAlign w:val="subscript"/>
                <w:lang w:val="en-US"/>
              </w:rPr>
              <w:t>CMAX,f,c</w:t>
            </w:r>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32699F33" w14:textId="77777777" w:rsidR="007D6A83" w:rsidRDefault="00245759">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gNB configures two 2-port SRS resources SRS#0 and SRS#1, the same UE supports 2T4R antenna </w:t>
            </w:r>
            <w:r>
              <w:rPr>
                <w:rFonts w:eastAsiaTheme="minorEastAsia"/>
                <w:sz w:val="22"/>
                <w:lang w:val="en-US" w:eastAsia="zh-CN"/>
              </w:rPr>
              <w:lastRenderedPageBreak/>
              <w:t>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We are generally supportive.  For us this is a simple extension of the 2 state SRI we have from Rel-15 codebook based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∆T</w:t>
            </w:r>
            <w:r>
              <w:rPr>
                <w:sz w:val="22"/>
                <w:vertAlign w:val="subscript"/>
              </w:rPr>
              <w:t>RxSRS</w:t>
            </w:r>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lastRenderedPageBreak/>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lastRenderedPageBreak/>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1E33EFFA"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r>
              <w:rPr>
                <w:rFonts w:eastAsiaTheme="minorEastAsia"/>
                <w:i/>
                <w:sz w:val="18"/>
                <w:szCs w:val="18"/>
                <w:lang w:eastAsia="zh-CN"/>
              </w:rPr>
              <w:t>dmrs-AdditionalPosition</w:t>
            </w:r>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r>
              <w:rPr>
                <w:rFonts w:eastAsiaTheme="minorEastAsia"/>
                <w:i/>
                <w:sz w:val="18"/>
                <w:szCs w:val="18"/>
                <w:lang w:eastAsia="zh-CN"/>
              </w:rPr>
              <w:t>dmrs-type</w:t>
            </w:r>
            <w:r>
              <w:rPr>
                <w:rFonts w:eastAsiaTheme="minorEastAsia"/>
                <w:sz w:val="18"/>
                <w:szCs w:val="18"/>
                <w:lang w:eastAsia="zh-CN"/>
              </w:rPr>
              <w:t xml:space="preserve">, </w:t>
            </w:r>
            <w:r>
              <w:rPr>
                <w:rFonts w:eastAsiaTheme="minorEastAsia"/>
                <w:i/>
                <w:sz w:val="18"/>
                <w:szCs w:val="18"/>
                <w:lang w:eastAsia="zh-CN"/>
              </w:rPr>
              <w:t>dmrs-AdditionalPosition</w:t>
            </w:r>
            <w:r>
              <w:rPr>
                <w:rFonts w:eastAsiaTheme="minorEastAsia"/>
                <w:sz w:val="18"/>
                <w:szCs w:val="18"/>
                <w:lang w:eastAsia="zh-CN"/>
              </w:rPr>
              <w:t>,</w:t>
            </w:r>
            <w:r>
              <w:rPr>
                <w:i/>
                <w:sz w:val="18"/>
                <w:szCs w:val="18"/>
                <w:lang w:eastAsia="zh-CN"/>
              </w:rPr>
              <w:t xml:space="preserve"> maxLength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r>
              <w:rPr>
                <w:i/>
                <w:sz w:val="18"/>
                <w:szCs w:val="18"/>
                <w:lang w:eastAsia="zh-CN"/>
              </w:rPr>
              <w:t>maxLength</w:t>
            </w:r>
            <w:r>
              <w:rPr>
                <w:sz w:val="18"/>
                <w:szCs w:val="18"/>
                <w:lang w:eastAsia="zh-CN"/>
              </w:rPr>
              <w:t xml:space="preserve"> is configured as 2. </w:t>
            </w:r>
            <w:r>
              <w:rPr>
                <w:rFonts w:eastAsiaTheme="minorEastAsia"/>
                <w:sz w:val="18"/>
                <w:szCs w:val="18"/>
                <w:lang w:eastAsia="zh-CN"/>
              </w:rPr>
              <w:t xml:space="preserve">Based on real field data, we observe that the parameter </w:t>
            </w:r>
            <w:r>
              <w:rPr>
                <w:rFonts w:eastAsiaTheme="minorEastAsia"/>
                <w:i/>
                <w:sz w:val="18"/>
                <w:szCs w:val="18"/>
                <w:lang w:eastAsia="zh-CN"/>
              </w:rPr>
              <w:t>dmrs-AdditionalPosition</w:t>
            </w:r>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4F13FB9F">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lastRenderedPageBreak/>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ListParagraph"/>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ListParagraph"/>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So in reality the proposed solution would not bring much gain unless single DMRS issue is addressed first. </w:t>
            </w:r>
            <w:r>
              <w:rPr>
                <w:sz w:val="22"/>
                <w:lang w:val="en-US"/>
              </w:rPr>
              <w:lastRenderedPageBreak/>
              <w:t xml:space="preserve">Also, we agree with concerns raised by Spreadstrum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Tend to agree with companies that the motivation of this enhancement is questionable. Besides, we have another general question is that, if dynamic DMRS overhead reduction is the tarjet, do we need to enhance the dynamic switch between Type 1 DMRS and Type 2 DMRS to save RE (in frequence 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uawei, HiSilicon</w:t>
            </w:r>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Heading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additional spatial propagation information to the LoS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w:lastRenderedPageBreak/>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Caption"/>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SRS spatial relation should be enhanced for single-TRP positioning in mmWave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Heading1"/>
              <w:rPr>
                <w:sz w:val="18"/>
                <w:szCs w:val="18"/>
                <w:lang w:eastAsia="zh-CN"/>
              </w:rPr>
            </w:pPr>
            <w:r>
              <w:rPr>
                <w:rFonts w:hint="eastAsia"/>
                <w:sz w:val="18"/>
                <w:szCs w:val="18"/>
                <w:lang w:eastAsia="zh-CN"/>
              </w:rPr>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use multiple SRS resources for the Rx beam sweeping for the sake of UL AoA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ListParagraph"/>
        <w:numPr>
          <w:ilvl w:val="1"/>
          <w:numId w:val="20"/>
        </w:numPr>
        <w:ind w:leftChars="0"/>
        <w:jc w:val="both"/>
        <w:rPr>
          <w:b/>
        </w:rPr>
      </w:pPr>
      <w:r>
        <w:rPr>
          <w:b/>
        </w:rPr>
        <w:t>A per-band UE capability is introduced.</w:t>
      </w:r>
    </w:p>
    <w:p w14:paraId="79197DCB" w14:textId="77777777" w:rsidR="007D6A83" w:rsidRDefault="00245759">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5"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6" w:name="_Toc146791850"/>
            <w:bookmarkStart w:id="7" w:name="_Toc45810636"/>
            <w:bookmarkStart w:id="8" w:name="_Toc29673364"/>
            <w:bookmarkStart w:id="9" w:name="_Toc29674357"/>
            <w:bookmarkStart w:id="10" w:name="_Toc29673223"/>
            <w:bookmarkStart w:id="11"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6"/>
            <w:bookmarkEnd w:id="7"/>
            <w:bookmarkEnd w:id="8"/>
            <w:bookmarkEnd w:id="9"/>
            <w:bookmarkEnd w:id="10"/>
            <w:bookmarkEnd w:id="11"/>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SRS-PosResource</w:t>
            </w:r>
            <w:r>
              <w:rPr>
                <w:rFonts w:eastAsia="SimSun"/>
                <w:sz w:val="20"/>
                <w:lang w:eastAsia="en-US"/>
              </w:rPr>
              <w:t xml:space="preserve"> and if the higher layer parameter </w:t>
            </w:r>
            <w:r>
              <w:rPr>
                <w:rFonts w:eastAsia="SimSun"/>
                <w:i/>
                <w:sz w:val="20"/>
                <w:lang w:eastAsia="en-US"/>
              </w:rPr>
              <w:t xml:space="preserve">spatialRelationInfoPos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w:t>
            </w:r>
            <w:r>
              <w:rPr>
                <w:rFonts w:eastAsia="SimSun"/>
                <w:i/>
                <w:iCs/>
                <w:sz w:val="20"/>
                <w:lang w:eastAsia="en-US"/>
              </w:rPr>
              <w:lastRenderedPageBreak/>
              <w:t>Resource</w:t>
            </w:r>
            <w:r>
              <w:rPr>
                <w:rFonts w:eastAsia="SimSun"/>
                <w:sz w:val="20"/>
                <w:lang w:eastAsia="en-US"/>
              </w:rPr>
              <w:t xml:space="preserve"> or </w:t>
            </w:r>
            <w:r>
              <w:rPr>
                <w:rFonts w:eastAsia="SimSun"/>
                <w:i/>
                <w:iCs/>
                <w:sz w:val="20"/>
                <w:lang w:eastAsia="en-US"/>
              </w:rPr>
              <w:t>SRS-PosResource</w:t>
            </w:r>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SRS-PosResource</w:t>
            </w:r>
            <w:r>
              <w:rPr>
                <w:rFonts w:eastAsia="SimSun"/>
                <w:sz w:val="20"/>
                <w:lang w:eastAsia="en-US"/>
              </w:rPr>
              <w:t xml:space="preserve"> in RRC_INACTIVE mode, the configured </w:t>
            </w:r>
            <w:r>
              <w:rPr>
                <w:rFonts w:eastAsia="SimSun"/>
                <w:i/>
                <w:sz w:val="20"/>
                <w:lang w:eastAsia="en-US"/>
              </w:rPr>
              <w:t>spatialRelationInfoPos</w:t>
            </w:r>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r>
              <w:rPr>
                <w:rFonts w:eastAsia="SimSun"/>
                <w:i/>
                <w:sz w:val="20"/>
                <w:lang w:eastAsia="en-US"/>
              </w:rPr>
              <w:t>spatialRelationInfoPos</w:t>
            </w:r>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 xml:space="preserve">SRS-PosResource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 xml:space="preserve">SRS-PosResource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SRS-PosResource</w:t>
            </w:r>
            <w:r>
              <w:rPr>
                <w:rFonts w:eastAsia="SimSun"/>
                <w:sz w:val="20"/>
                <w:lang w:val="en-US" w:eastAsia="en-US"/>
              </w:rPr>
              <w:t xml:space="preserve">, the UE can only be provided with a single RS source in </w:t>
            </w:r>
            <w:r>
              <w:rPr>
                <w:rFonts w:eastAsia="SimSun"/>
                <w:i/>
                <w:sz w:val="20"/>
                <w:lang w:eastAsia="en-US"/>
              </w:rPr>
              <w:t>spatialRelationInfoPos</w:t>
            </w:r>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 xml:space="preserve">SRS-PosResource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SRS-PosResource</w:t>
            </w:r>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5"/>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Huawei, HiSilicon, China Unicom, ZTE Corporation, Sanechips.</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lastRenderedPageBreak/>
              <w:t>Introduce a Tx-BeamIndex for SRS for Positioning transmission, which is reported in RRC for UL-TDOA in UEPositioningAssistanceInfo,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r>
              <w:rPr>
                <w:rFonts w:eastAsia="SimSun"/>
                <w:i/>
                <w:sz w:val="20"/>
                <w:lang w:eastAsia="en-US"/>
              </w:rPr>
              <w:t>spatialRelationInfoPos</w:t>
            </w:r>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So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spatialrelationinfo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Even it happens, we think the spec impact is not restricted to the only one RRC parameter. Besides the RRC parameter, how to determine the maximum number of different Tx beam is also needed to be discussed. e.g,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Huawei-&gt; UE capability will be defined as proposed. The proposed solution taking the minimum spec change will be restricted to a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w:t>
            </w:r>
            <w:r>
              <w:rPr>
                <w:sz w:val="22"/>
                <w:lang w:val="en-US"/>
              </w:rPr>
              <w:lastRenderedPageBreak/>
              <w:t>First, it is a corner case for optimization where, in the figure, one LoS link RSRP is comparable to one NLoS link RSRP, and that may only happen when the LoS link has strong penetration loss. However, for FR2 which is the considered scenario, such LoS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t>Huawei, HiSilicon</w:t>
            </w:r>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and also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Caption"/>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24361B7F"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r w:rsidR="00A36855">
        <w:rPr>
          <w:rFonts w:eastAsia="MS Mincho" w:cs="Batang" w:hint="eastAsia"/>
          <w:b/>
          <w:bCs/>
          <w:sz w:val="22"/>
          <w:szCs w:val="22"/>
        </w:rPr>
        <w:t xml:space="preserve"> (updated)</w:t>
      </w:r>
    </w:p>
    <w:p w14:paraId="22CA1403"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544F989F"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lastRenderedPageBreak/>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We can understand the problem and solution, but at the same time we are not sure whether changing UE behavior from this release is really beneficial.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@vivo: The measurements in our tdoc shows that what you are describing is not the case in reality. The UE is taking into account the PDSCH reception performance in the the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tdoc. Pleasde elaborate more on the NW side solution you suggest, I don’t see how estimating a BLER value (?) helps. </w:t>
            </w:r>
          </w:p>
          <w:p w14:paraId="69AE74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tdoc. It is not strange in our view, but the theoretically achievable peak data rate is reduced for these UEs near cell edge, but that is not a concern to us. You are right that the solution doesn’t prevent the UE to not follow </w:t>
            </w:r>
            <w:r>
              <w:rPr>
                <w:rFonts w:eastAsia="Malgun Gothic"/>
                <w:sz w:val="22"/>
                <w:lang w:val="en-US" w:eastAsia="ko-KR"/>
              </w:rPr>
              <w:lastRenderedPageBreak/>
              <w:t xml:space="preserve">specifications (e.g. largest CQI that fulfills &lt;10% BLER), but it makes is less likely since we can use any table with any target. </w:t>
            </w:r>
          </w:p>
          <w:p w14:paraId="5134C947" w14:textId="77777777" w:rsidR="007D6A83" w:rsidRDefault="007D6A83">
            <w:pPr>
              <w:pStyle w:val="ListParagraph"/>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Ideally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make the observation 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Heading3"/>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demod/decode information to help deriving CQI, as long as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With the above, we don’t think the conclusion in TEI proposal #6a is needed. It seems to us that each UE vendor already got the message in Ericsson Tdoc,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MCS_Table for </w:t>
            </w:r>
            <w:r>
              <w:rPr>
                <w:sz w:val="22"/>
                <w:lang w:val="en-US"/>
              </w:rPr>
              <w:lastRenderedPageBreak/>
              <w:t xml:space="preserve">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lastRenderedPageBreak/>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behaviour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r w:rsidR="00513A38" w14:paraId="03FA4BD5" w14:textId="77777777">
        <w:tc>
          <w:tcPr>
            <w:tcW w:w="1693" w:type="dxa"/>
          </w:tcPr>
          <w:p w14:paraId="60D05E11" w14:textId="0EA88BA2" w:rsidR="00513A38" w:rsidRDefault="00513A38">
            <w:pPr>
              <w:spacing w:afterLines="50" w:after="120"/>
              <w:jc w:val="both"/>
              <w:rPr>
                <w:rFonts w:eastAsiaTheme="minorEastAsia"/>
                <w:sz w:val="22"/>
                <w:lang w:eastAsia="zh-CN"/>
              </w:rPr>
            </w:pPr>
            <w:r>
              <w:rPr>
                <w:rFonts w:eastAsiaTheme="minorEastAsia"/>
                <w:sz w:val="22"/>
                <w:lang w:eastAsia="zh-CN"/>
              </w:rPr>
              <w:t>Ericsson</w:t>
            </w:r>
          </w:p>
        </w:tc>
        <w:tc>
          <w:tcPr>
            <w:tcW w:w="1023" w:type="dxa"/>
          </w:tcPr>
          <w:p w14:paraId="34B5AE68" w14:textId="0F6FAEBB" w:rsidR="00513A38" w:rsidRDefault="00513A38">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1D6E893D" w14:textId="74CEECD3" w:rsidR="00513A38" w:rsidRDefault="00513A38" w:rsidP="00E33DBD">
            <w:pPr>
              <w:spacing w:afterLines="50" w:after="120"/>
              <w:jc w:val="both"/>
            </w:pPr>
            <w:r>
              <w:t xml:space="preserve">@vivo The </w:t>
            </w:r>
            <w:r w:rsidRPr="006A1552">
              <w:rPr>
                <w:b/>
                <w:bCs/>
              </w:rPr>
              <w:t>“problem”</w:t>
            </w:r>
            <w:r>
              <w:t xml:space="preserve"> </w:t>
            </w:r>
            <w:r w:rsidR="00E46DA2">
              <w:t xml:space="preserve">introduced in this TEI, </w:t>
            </w:r>
            <w:r>
              <w:t xml:space="preserve">is resolved to not happen again by adding the Note in </w:t>
            </w:r>
            <w:r w:rsidR="006A1552">
              <w:t>the meeting notes as discussed in the online session</w:t>
            </w:r>
            <w:r w:rsidR="00E46DA2">
              <w:t xml:space="preserve"> and suggested by Mr.Chairman</w:t>
            </w:r>
            <w:r w:rsidR="006A1552">
              <w:t xml:space="preserve">. The proposal </w:t>
            </w:r>
            <w:r w:rsidR="00E46DA2">
              <w:t xml:space="preserve">#6a </w:t>
            </w:r>
            <w:r w:rsidR="006A1552">
              <w:t xml:space="preserve">by the moderator is adequate to achieve this. There is no need to introduce new RAN4 test methodology since following the 214 specification should be sufficient. </w:t>
            </w:r>
          </w:p>
          <w:p w14:paraId="2142A47B" w14:textId="77777777" w:rsidR="006A1552" w:rsidRDefault="006A1552" w:rsidP="00E33DBD">
            <w:pPr>
              <w:spacing w:afterLines="50" w:after="120"/>
              <w:jc w:val="both"/>
            </w:pPr>
          </w:p>
          <w:p w14:paraId="38F0ABC4" w14:textId="18BF9EC7" w:rsidR="006A1552" w:rsidRDefault="006A1552" w:rsidP="00E33DBD">
            <w:pPr>
              <w:spacing w:afterLines="50" w:after="120"/>
              <w:jc w:val="both"/>
            </w:pPr>
            <w:r>
              <w:t xml:space="preserve">Then </w:t>
            </w:r>
            <w:r w:rsidR="00FB03EB">
              <w:t xml:space="preserve">we can continue to discuss </w:t>
            </w:r>
            <w:r>
              <w:t xml:space="preserve">the </w:t>
            </w:r>
            <w:r w:rsidRPr="006A1552">
              <w:rPr>
                <w:b/>
                <w:bCs/>
              </w:rPr>
              <w:t>“enhancement”</w:t>
            </w:r>
            <w:r>
              <w:t xml:space="preserve"> </w:t>
            </w:r>
            <w:r w:rsidR="00D31BD5">
              <w:t xml:space="preserve">introduced in this TEI, i.e. </w:t>
            </w:r>
            <w:r>
              <w:t xml:space="preserve">to use </w:t>
            </w:r>
            <w:r w:rsidR="00D31BD5">
              <w:t>any MCS table together with a configured BLER target (as opposed to current spec which explicitly ties</w:t>
            </w:r>
            <w:r w:rsidR="00FB03EB">
              <w:t xml:space="preserve"> a table to a target). It now seems that also Qualcomm </w:t>
            </w:r>
            <w:r w:rsidR="00297BD2">
              <w:t xml:space="preserve">and AT&amp;T </w:t>
            </w:r>
            <w:r w:rsidR="00FB03EB">
              <w:t xml:space="preserve">are open to </w:t>
            </w:r>
            <w:r w:rsidR="00297BD2">
              <w:t>support</w:t>
            </w:r>
            <w:r w:rsidR="00FB03EB">
              <w:t xml:space="preserve"> this</w:t>
            </w:r>
            <w:r w:rsidR="00297BD2">
              <w:t xml:space="preserve"> small technical enhancement and improvement</w:t>
            </w:r>
            <w:r w:rsidR="00FB03EB">
              <w:t xml:space="preserve">. </w:t>
            </w:r>
            <w:r w:rsidR="00D31BD5">
              <w:t xml:space="preserve"> </w:t>
            </w:r>
          </w:p>
        </w:tc>
      </w:tr>
      <w:tr w:rsidR="00573F4B" w14:paraId="201835BE" w14:textId="77777777">
        <w:tc>
          <w:tcPr>
            <w:tcW w:w="1693" w:type="dxa"/>
          </w:tcPr>
          <w:p w14:paraId="11B37302" w14:textId="164EC032" w:rsidR="00573F4B" w:rsidRPr="00573F4B" w:rsidRDefault="00573F4B" w:rsidP="00573F4B">
            <w:pPr>
              <w:spacing w:afterLines="50" w:after="120"/>
              <w:rPr>
                <w:rFonts w:eastAsiaTheme="minorEastAsia"/>
                <w:sz w:val="22"/>
                <w:lang w:eastAsia="zh-CN"/>
              </w:rPr>
            </w:pPr>
            <w:r w:rsidRPr="00573F4B">
              <w:rPr>
                <w:rFonts w:eastAsia="Malgun Gothic" w:hint="eastAsia"/>
                <w:sz w:val="22"/>
                <w:szCs w:val="22"/>
                <w:lang w:eastAsia="ko-KR"/>
              </w:rPr>
              <w:t>S</w:t>
            </w:r>
            <w:r w:rsidRPr="00573F4B">
              <w:rPr>
                <w:rFonts w:eastAsia="Malgun Gothic"/>
                <w:sz w:val="22"/>
                <w:szCs w:val="22"/>
                <w:lang w:eastAsia="ko-KR"/>
              </w:rPr>
              <w:t>amsung</w:t>
            </w:r>
          </w:p>
        </w:tc>
        <w:tc>
          <w:tcPr>
            <w:tcW w:w="1023" w:type="dxa"/>
          </w:tcPr>
          <w:p w14:paraId="2C4FD6F0" w14:textId="77777777" w:rsidR="00573F4B" w:rsidRPr="00573F4B" w:rsidRDefault="00573F4B">
            <w:pPr>
              <w:spacing w:afterLines="50" w:after="120"/>
              <w:jc w:val="both"/>
              <w:rPr>
                <w:rFonts w:eastAsiaTheme="minorEastAsia"/>
                <w:sz w:val="22"/>
                <w:lang w:val="en-US" w:eastAsia="zh-CN"/>
              </w:rPr>
            </w:pPr>
          </w:p>
        </w:tc>
        <w:tc>
          <w:tcPr>
            <w:tcW w:w="6912" w:type="dxa"/>
          </w:tcPr>
          <w:p w14:paraId="0DF58C68" w14:textId="609AE077" w:rsidR="00573F4B" w:rsidRPr="00573F4B" w:rsidRDefault="00573F4B" w:rsidP="00E33DBD">
            <w:pPr>
              <w:spacing w:afterLines="50" w:after="120"/>
              <w:jc w:val="both"/>
            </w:pPr>
            <w:r w:rsidRPr="00573F4B">
              <w:rPr>
                <w:rFonts w:eastAsia="Malgun Gothic"/>
                <w:sz w:val="22"/>
                <w:szCs w:val="22"/>
                <w:lang w:eastAsia="ko-KR"/>
              </w:rPr>
              <w:t>Agree with Vivo. Based on the discussions and the clarifications from the proponent, the mentioned issue does not relate to whether the target BLER is 10% or any other (configured or fixed) value, but it relates to whether the implementation of affected UEs is consistent with the specifications.</w:t>
            </w:r>
          </w:p>
        </w:tc>
      </w:tr>
      <w:tr w:rsidR="00E46520" w14:paraId="10AA9EBF" w14:textId="77777777">
        <w:tc>
          <w:tcPr>
            <w:tcW w:w="1693" w:type="dxa"/>
          </w:tcPr>
          <w:p w14:paraId="43EEABC7" w14:textId="05447987" w:rsidR="00E46520" w:rsidRPr="00573F4B" w:rsidRDefault="00E46520" w:rsidP="00E46520">
            <w:pPr>
              <w:spacing w:afterLines="50" w:after="120"/>
              <w:rPr>
                <w:rFonts w:eastAsia="Malgun Gothic"/>
                <w:sz w:val="22"/>
                <w:szCs w:val="22"/>
                <w:lang w:eastAsia="ko-KR"/>
              </w:rPr>
            </w:pPr>
            <w:r>
              <w:rPr>
                <w:rFonts w:eastAsia="Malgun Gothic"/>
                <w:sz w:val="22"/>
                <w:szCs w:val="22"/>
                <w:lang w:val="en-US" w:eastAsia="ko-KR"/>
              </w:rPr>
              <w:t>MediaTek</w:t>
            </w:r>
          </w:p>
        </w:tc>
        <w:tc>
          <w:tcPr>
            <w:tcW w:w="1023" w:type="dxa"/>
          </w:tcPr>
          <w:p w14:paraId="3640CDC1" w14:textId="77777777" w:rsidR="00E46520" w:rsidRPr="00573F4B" w:rsidRDefault="00E46520" w:rsidP="00E46520">
            <w:pPr>
              <w:spacing w:afterLines="50" w:after="120"/>
              <w:jc w:val="both"/>
              <w:rPr>
                <w:rFonts w:eastAsiaTheme="minorEastAsia"/>
                <w:sz w:val="22"/>
                <w:lang w:val="en-US" w:eastAsia="zh-CN"/>
              </w:rPr>
            </w:pPr>
          </w:p>
        </w:tc>
        <w:tc>
          <w:tcPr>
            <w:tcW w:w="6912" w:type="dxa"/>
          </w:tcPr>
          <w:p w14:paraId="6F22447F" w14:textId="2EF6D7FB" w:rsidR="00E46520" w:rsidRPr="00573F4B" w:rsidRDefault="00E46520" w:rsidP="00E46520">
            <w:pPr>
              <w:spacing w:afterLines="50" w:after="120"/>
              <w:jc w:val="both"/>
              <w:rPr>
                <w:rFonts w:eastAsia="Malgun Gothic"/>
                <w:sz w:val="22"/>
                <w:szCs w:val="22"/>
                <w:lang w:eastAsia="ko-KR"/>
              </w:rPr>
            </w:pPr>
            <w:r>
              <w:rPr>
                <w:rFonts w:eastAsia="Malgun Gothic"/>
                <w:sz w:val="22"/>
                <w:szCs w:val="22"/>
                <w:lang w:val="en-US" w:eastAsia="ko-KR"/>
              </w:rPr>
              <w:t>We agree that making such a Conclusion is not necessary and does not necessarily help, as there is some flexibility for UE implementations today.</w:t>
            </w:r>
          </w:p>
        </w:tc>
      </w:tr>
      <w:tr w:rsidR="00BE39B3" w14:paraId="29252FB5" w14:textId="77777777">
        <w:tc>
          <w:tcPr>
            <w:tcW w:w="1693" w:type="dxa"/>
          </w:tcPr>
          <w:p w14:paraId="3D2FCA2B" w14:textId="6304CCE2" w:rsidR="00BE39B3" w:rsidRDefault="00BE39B3" w:rsidP="00E46520">
            <w:pPr>
              <w:spacing w:afterLines="50" w:after="120"/>
              <w:rPr>
                <w:rFonts w:eastAsia="Malgun Gothic"/>
                <w:sz w:val="22"/>
                <w:szCs w:val="22"/>
                <w:lang w:val="en-US" w:eastAsia="ko-KR"/>
              </w:rPr>
            </w:pPr>
            <w:r>
              <w:rPr>
                <w:rFonts w:eastAsia="Malgun Gothic"/>
                <w:sz w:val="22"/>
                <w:szCs w:val="22"/>
                <w:lang w:val="en-US" w:eastAsia="ko-KR"/>
              </w:rPr>
              <w:t>Ericsson</w:t>
            </w:r>
          </w:p>
        </w:tc>
        <w:tc>
          <w:tcPr>
            <w:tcW w:w="1023" w:type="dxa"/>
          </w:tcPr>
          <w:p w14:paraId="6D6B9BAA" w14:textId="77777777" w:rsidR="00BE39B3" w:rsidRPr="00573F4B" w:rsidRDefault="00BE39B3" w:rsidP="00E46520">
            <w:pPr>
              <w:spacing w:afterLines="50" w:after="120"/>
              <w:jc w:val="both"/>
              <w:rPr>
                <w:rFonts w:eastAsiaTheme="minorEastAsia"/>
                <w:sz w:val="22"/>
                <w:lang w:val="en-US" w:eastAsia="zh-CN"/>
              </w:rPr>
            </w:pPr>
          </w:p>
        </w:tc>
        <w:tc>
          <w:tcPr>
            <w:tcW w:w="6912" w:type="dxa"/>
          </w:tcPr>
          <w:p w14:paraId="6D6125DA" w14:textId="1E504382" w:rsidR="00BE39B3" w:rsidRDefault="00BE39B3" w:rsidP="00E46520">
            <w:pPr>
              <w:spacing w:afterLines="50" w:after="120"/>
              <w:jc w:val="both"/>
            </w:pPr>
            <w:r>
              <w:rPr>
                <w:rFonts w:eastAsia="Malgun Gothic"/>
                <w:sz w:val="22"/>
                <w:szCs w:val="22"/>
                <w:lang w:val="en-US" w:eastAsia="ko-KR"/>
              </w:rPr>
              <w:t xml:space="preserve">@samsung, let me iterate: </w:t>
            </w:r>
            <w:r>
              <w:rPr>
                <w:szCs w:val="22"/>
              </w:rPr>
              <w:t>T</w:t>
            </w:r>
            <w:r>
              <w:t xml:space="preserve">he </w:t>
            </w:r>
            <w:r w:rsidRPr="006A1552">
              <w:rPr>
                <w:b/>
                <w:bCs/>
              </w:rPr>
              <w:t>“enhancement”</w:t>
            </w:r>
            <w:r>
              <w:t xml:space="preserve"> introduced in this TEI, i.e. to use any MCS table together with a configured BLER target (as opposed to current spec which explicitly ties a table to a target) is not </w:t>
            </w:r>
            <w:r w:rsidR="004105FD">
              <w:t>more or less unrelated</w:t>
            </w:r>
            <w:r>
              <w:t xml:space="preserve"> to the problem seen in the field. </w:t>
            </w:r>
            <w:r w:rsidR="004105FD">
              <w:t xml:space="preserve">As I said online, even for </w:t>
            </w:r>
            <w:r w:rsidR="00DE17B7">
              <w:t xml:space="preserve">well behaving UEs, the enhancement is beneficial. </w:t>
            </w:r>
          </w:p>
          <w:p w14:paraId="76AF2698" w14:textId="77777777" w:rsidR="00074D60" w:rsidRDefault="00074D60" w:rsidP="00E46520">
            <w:pPr>
              <w:spacing w:afterLines="50" w:after="120"/>
              <w:jc w:val="both"/>
              <w:rPr>
                <w:szCs w:val="22"/>
              </w:rPr>
            </w:pPr>
          </w:p>
          <w:p w14:paraId="543FA837" w14:textId="5C46E75B" w:rsidR="00074D60" w:rsidRDefault="00074D60" w:rsidP="00E46520">
            <w:pPr>
              <w:spacing w:afterLines="50" w:after="120"/>
              <w:jc w:val="both"/>
              <w:rPr>
                <w:rFonts w:eastAsia="Malgun Gothic"/>
                <w:sz w:val="22"/>
                <w:szCs w:val="22"/>
                <w:lang w:val="en-US" w:eastAsia="ko-KR"/>
              </w:rPr>
            </w:pPr>
            <w:r>
              <w:rPr>
                <w:szCs w:val="22"/>
              </w:rPr>
              <w:t>@mediatek, @samsung:</w:t>
            </w:r>
            <w:r w:rsidR="00DF6C80">
              <w:rPr>
                <w:szCs w:val="22"/>
              </w:rPr>
              <w:t xml:space="preserve"> I hope your “flexibility” does not involve using the BLER </w:t>
            </w:r>
            <w:r w:rsidR="007B3EBC">
              <w:rPr>
                <w:szCs w:val="22"/>
              </w:rPr>
              <w:t xml:space="preserve">statistics </w:t>
            </w:r>
            <w:r w:rsidR="00DF6C80">
              <w:rPr>
                <w:szCs w:val="22"/>
              </w:rPr>
              <w:t>of the ongoing PDSCH reception</w:t>
            </w:r>
            <w:r w:rsidR="007B3EBC">
              <w:rPr>
                <w:szCs w:val="22"/>
              </w:rPr>
              <w:t xml:space="preserve">s. </w:t>
            </w:r>
            <w:r w:rsidR="00F82F90">
              <w:rPr>
                <w:szCs w:val="22"/>
              </w:rPr>
              <w:t>This is what we believe is the reason why these UEs have bad throughput in the field</w:t>
            </w:r>
            <w:r w:rsidR="004C47F7">
              <w:rPr>
                <w:szCs w:val="22"/>
              </w:rPr>
              <w:t xml:space="preserve"> when the </w:t>
            </w:r>
            <w:r w:rsidR="00067DDF">
              <w:rPr>
                <w:szCs w:val="22"/>
              </w:rPr>
              <w:t>OLA on the NW side is not the same as the CQI BLER target configured to the UE</w:t>
            </w:r>
            <w:r w:rsidR="00F82F90">
              <w:rPr>
                <w:szCs w:val="22"/>
              </w:rPr>
              <w:t xml:space="preserve">. </w:t>
            </w:r>
            <w:r w:rsidR="004C47F7">
              <w:rPr>
                <w:szCs w:val="22"/>
              </w:rPr>
              <w:t xml:space="preserve">The 214 specifications is clear on how the UE shall estimate the CQI. </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lastRenderedPageBreak/>
              <w:t xml:space="preserve">UL Tx switching is configured between C1 and C2 </w:t>
            </w:r>
          </w:p>
          <w:p w14:paraId="467529FC" w14:textId="77777777" w:rsidR="007D6A83" w:rsidRDefault="00245759">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ListParagraph"/>
              <w:numPr>
                <w:ilvl w:val="0"/>
                <w:numId w:val="29"/>
              </w:numPr>
              <w:ind w:leftChars="0"/>
              <w:jc w:val="both"/>
              <w:rPr>
                <w:rFonts w:eastAsia="Times New Roman"/>
                <w:sz w:val="18"/>
                <w:szCs w:val="18"/>
                <w:lang w:eastAsia="en-US"/>
              </w:rPr>
            </w:pPr>
            <w:r>
              <w:rPr>
                <w:i/>
                <w:iCs/>
                <w:sz w:val="18"/>
                <w:szCs w:val="18"/>
              </w:rPr>
              <w:t>SRS-CarrierSwitching</w:t>
            </w:r>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ListParagraph"/>
              <w:numPr>
                <w:ilvl w:val="0"/>
                <w:numId w:val="30"/>
              </w:numPr>
              <w:ind w:leftChars="0"/>
              <w:jc w:val="both"/>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14:paraId="3905C3A3" w14:textId="77777777" w:rsidR="007D6A83" w:rsidRDefault="00245759">
            <w:pPr>
              <w:pStyle w:val="ListParagraph"/>
              <w:numPr>
                <w:ilvl w:val="0"/>
                <w:numId w:val="30"/>
              </w:numPr>
              <w:ind w:leftChars="0"/>
              <w:jc w:val="both"/>
              <w:rPr>
                <w:sz w:val="18"/>
                <w:szCs w:val="18"/>
              </w:rPr>
            </w:pPr>
            <w:r>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SRS-CS + ulTxswitch</w:t>
            </w:r>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Proposal 1: RAN1 to resolve ambiguities with SRS-CS+ulTxswitch for the following areas:</w:t>
            </w:r>
          </w:p>
          <w:p w14:paraId="2F655FC8" w14:textId="77777777" w:rsidR="007D6A83" w:rsidRDefault="00245759">
            <w:pPr>
              <w:pStyle w:val="ListParagraph"/>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ListParagraph"/>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In this scenario, the UE is configured with a set of CCs for uplink tx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2119"/>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For determining the switching time we differentiate between the following two cases:</w:t>
            </w:r>
          </w:p>
          <w:p w14:paraId="5F0252F9"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Pr>
                <w:rFonts w:eastAsia="SimSun"/>
                <w:i/>
                <w:iCs/>
                <w:sz w:val="18"/>
                <w:szCs w:val="18"/>
              </w:rPr>
              <w:t>switchingTimeUL.</w:t>
            </w:r>
          </w:p>
          <w:p w14:paraId="77360394" w14:textId="77777777" w:rsidR="007D6A83" w:rsidRDefault="00245759">
            <w:pPr>
              <w:pStyle w:val="ListParagraph"/>
              <w:numPr>
                <w:ilvl w:val="0"/>
                <w:numId w:val="32"/>
              </w:numPr>
              <w:ind w:leftChars="0"/>
              <w:rPr>
                <w:rFonts w:eastAsia="SimSun"/>
                <w:sz w:val="18"/>
                <w:szCs w:val="18"/>
              </w:rPr>
            </w:pPr>
            <w:r>
              <w:rPr>
                <w:rFonts w:eastAsia="SimSun"/>
                <w:b/>
                <w:bCs/>
                <w:sz w:val="18"/>
                <w:szCs w:val="18"/>
              </w:rPr>
              <w:lastRenderedPageBreak/>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Pr>
                <w:i/>
                <w:iCs/>
                <w:sz w:val="18"/>
                <w:szCs w:val="18"/>
              </w:rPr>
              <w:t xml:space="preserve">switchingTimeUL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r>
              <w:rPr>
                <w:i/>
                <w:iCs/>
                <w:sz w:val="18"/>
                <w:szCs w:val="18"/>
              </w:rPr>
              <w:t>switchingTimeUL</w:t>
            </w:r>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ListParagraph"/>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r>
              <w:rPr>
                <w:b/>
                <w:bCs/>
                <w:i/>
                <w:iCs/>
                <w:sz w:val="18"/>
                <w:szCs w:val="18"/>
              </w:rPr>
              <w:t>switchingTimeUL</w:t>
            </w:r>
            <w:r>
              <w:rPr>
                <w:sz w:val="18"/>
                <w:szCs w:val="18"/>
              </w:rPr>
              <w:t xml:space="preserve"> </w:t>
            </w:r>
            <w:r>
              <w:rPr>
                <w:b/>
                <w:bCs/>
                <w:sz w:val="18"/>
                <w:szCs w:val="18"/>
              </w:rPr>
              <w:t>corresponding to a switch between CC1 and CC2.</w:t>
            </w:r>
          </w:p>
          <w:p w14:paraId="7B68ADBA" w14:textId="77777777" w:rsidR="007D6A83" w:rsidRDefault="00245759">
            <w:pPr>
              <w:pStyle w:val="ListParagraph"/>
              <w:numPr>
                <w:ilvl w:val="1"/>
                <w:numId w:val="32"/>
              </w:numPr>
              <w:ind w:leftChars="0"/>
              <w:contextualSpacing/>
              <w:rPr>
                <w:b/>
                <w:bCs/>
                <w:sz w:val="18"/>
                <w:szCs w:val="18"/>
              </w:rPr>
            </w:pPr>
            <w:r>
              <w:rPr>
                <w:b/>
                <w:bCs/>
                <w:sz w:val="18"/>
                <w:szCs w:val="18"/>
              </w:rPr>
              <w:t xml:space="preserve">Otherwise, the retuning time is given by </w:t>
            </w:r>
            <w:r>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ListParagraph"/>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ListParagraph"/>
              <w:numPr>
                <w:ilvl w:val="1"/>
                <w:numId w:val="32"/>
              </w:numPr>
              <w:ind w:leftChars="0"/>
              <w:contextualSpacing/>
              <w:rPr>
                <w:b/>
                <w:bCs/>
                <w:sz w:val="18"/>
                <w:szCs w:val="18"/>
              </w:rPr>
            </w:pPr>
            <w:r>
              <w:rPr>
                <w:b/>
                <w:bCs/>
                <w:sz w:val="18"/>
                <w:szCs w:val="18"/>
              </w:rPr>
              <w:t xml:space="preserve">The switching time from CC2 to CC1 is given by </w:t>
            </w:r>
            <w:r>
              <w:rPr>
                <w:b/>
                <w:bCs/>
                <w:i/>
                <w:iCs/>
                <w:sz w:val="18"/>
                <w:szCs w:val="18"/>
              </w:rPr>
              <w:t>switchingTimeUL</w:t>
            </w:r>
            <w:r>
              <w:rPr>
                <w:b/>
                <w:bCs/>
                <w:sz w:val="18"/>
                <w:szCs w:val="18"/>
              </w:rPr>
              <w:t>.</w:t>
            </w:r>
          </w:p>
          <w:p w14:paraId="45DBF168" w14:textId="77777777" w:rsidR="007D6A83" w:rsidRDefault="00245759">
            <w:pPr>
              <w:pStyle w:val="ListParagraph"/>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ListParagraph"/>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Heading3"/>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7</w:t>
      </w:r>
    </w:p>
    <w:p w14:paraId="75E12251" w14:textId="77777777" w:rsidR="007D6A83" w:rsidRDefault="00245759">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ListParagraph"/>
        <w:numPr>
          <w:ilvl w:val="1"/>
          <w:numId w:val="20"/>
        </w:numPr>
        <w:ind w:leftChars="0"/>
        <w:jc w:val="both"/>
        <w:rPr>
          <w:b/>
          <w:szCs w:val="24"/>
        </w:rPr>
      </w:pPr>
      <w:r>
        <w:rPr>
          <w:b/>
          <w:szCs w:val="24"/>
        </w:rPr>
        <w:t>For SRS switching time:</w:t>
      </w:r>
    </w:p>
    <w:p w14:paraId="4CF80208" w14:textId="77777777" w:rsidR="007D6A83" w:rsidRDefault="00245759">
      <w:pPr>
        <w:pStyle w:val="ListParagraph"/>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14:paraId="6172D5F4" w14:textId="77777777" w:rsidR="007D6A83" w:rsidRDefault="00245759">
      <w:pPr>
        <w:pStyle w:val="ListParagraph"/>
        <w:numPr>
          <w:ilvl w:val="2"/>
          <w:numId w:val="20"/>
        </w:numPr>
        <w:ind w:leftChars="0"/>
        <w:jc w:val="both"/>
        <w:rPr>
          <w:b/>
          <w:szCs w:val="24"/>
        </w:rPr>
      </w:pPr>
      <w:r>
        <w:rPr>
          <w:b/>
          <w:szCs w:val="24"/>
        </w:rPr>
        <w:t>Otherwise, the retuning time is given by switchingTimeUL + N_(Tx1-Tx2), with N_(Tx1-Tx2) corresponding to an N-port transmission in CC1 from the current switching state</w:t>
      </w:r>
      <w:r>
        <w:rPr>
          <w:rFonts w:hint="eastAsia"/>
          <w:b/>
          <w:szCs w:val="24"/>
        </w:rPr>
        <w:t>.</w:t>
      </w:r>
    </w:p>
    <w:p w14:paraId="0D86E4CF" w14:textId="77777777" w:rsidR="007D6A83" w:rsidRDefault="00245759">
      <w:pPr>
        <w:pStyle w:val="ListParagraph"/>
        <w:numPr>
          <w:ilvl w:val="1"/>
          <w:numId w:val="20"/>
        </w:numPr>
        <w:ind w:leftChars="0"/>
        <w:jc w:val="both"/>
        <w:rPr>
          <w:b/>
          <w:szCs w:val="24"/>
        </w:rPr>
      </w:pPr>
      <w:r>
        <w:rPr>
          <w:b/>
          <w:szCs w:val="24"/>
        </w:rPr>
        <w:t>For switching state after SRS transmission:</w:t>
      </w:r>
    </w:p>
    <w:p w14:paraId="0B0493A6" w14:textId="77777777" w:rsidR="007D6A83" w:rsidRDefault="00245759">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ListParagraph"/>
        <w:numPr>
          <w:ilvl w:val="2"/>
          <w:numId w:val="20"/>
        </w:numPr>
        <w:ind w:leftChars="0"/>
        <w:jc w:val="both"/>
        <w:rPr>
          <w:b/>
          <w:szCs w:val="24"/>
        </w:rPr>
      </w:pPr>
      <w:r>
        <w:rPr>
          <w:b/>
          <w:szCs w:val="24"/>
        </w:rPr>
        <w:t>The switching time from CC2 to CC1 is given by switchingTimeUL.</w:t>
      </w:r>
    </w:p>
    <w:p w14:paraId="3DEA318A" w14:textId="77777777" w:rsidR="007D6A83" w:rsidRDefault="00245759">
      <w:pPr>
        <w:pStyle w:val="ListParagraph"/>
        <w:numPr>
          <w:ilvl w:val="1"/>
          <w:numId w:val="20"/>
        </w:numPr>
        <w:ind w:leftChars="0"/>
        <w:jc w:val="both"/>
        <w:rPr>
          <w:b/>
          <w:szCs w:val="24"/>
        </w:rPr>
      </w:pPr>
      <w:r>
        <w:rPr>
          <w:b/>
          <w:szCs w:val="24"/>
        </w:rPr>
        <w:t>For simultaneous transmission:</w:t>
      </w:r>
    </w:p>
    <w:p w14:paraId="5C7B45D6" w14:textId="77777777" w:rsidR="007D6A83" w:rsidRDefault="00245759">
      <w:pPr>
        <w:pStyle w:val="ListParagraph"/>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38C0BBCB" w:rsidR="007D6A83" w:rsidRPr="00A36855" w:rsidRDefault="00A36855" w:rsidP="00A36855">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0D0AE918" w14:textId="2A744374" w:rsidR="00A36855" w:rsidRPr="00A36855" w:rsidRDefault="00A36855" w:rsidP="00A36855">
      <w:pPr>
        <w:pStyle w:val="ListParagraph"/>
        <w:numPr>
          <w:ilvl w:val="0"/>
          <w:numId w:val="20"/>
        </w:numPr>
        <w:ind w:leftChars="0"/>
        <w:jc w:val="both"/>
        <w:rPr>
          <w:b/>
          <w:szCs w:val="24"/>
        </w:rPr>
      </w:pPr>
      <w:r w:rsidRPr="00A36855">
        <w:rPr>
          <w:b/>
          <w:szCs w:val="24"/>
        </w:rPr>
        <w:t>For uplink Tx switching + SRS carrier switching:</w:t>
      </w:r>
    </w:p>
    <w:p w14:paraId="03F72A4E" w14:textId="09B20232" w:rsidR="00A36855" w:rsidRPr="00A36855" w:rsidRDefault="00A36855" w:rsidP="00A36855">
      <w:pPr>
        <w:pStyle w:val="ListParagraph"/>
        <w:numPr>
          <w:ilvl w:val="1"/>
          <w:numId w:val="20"/>
        </w:numPr>
        <w:ind w:leftChars="0"/>
        <w:jc w:val="both"/>
        <w:rPr>
          <w:b/>
          <w:szCs w:val="24"/>
        </w:rPr>
      </w:pPr>
      <w:r w:rsidRPr="00A36855">
        <w:rPr>
          <w:b/>
          <w:szCs w:val="24"/>
        </w:rPr>
        <w:t>Define switching times.</w:t>
      </w:r>
    </w:p>
    <w:p w14:paraId="3C1E9986" w14:textId="179BB0C9" w:rsidR="00A36855" w:rsidRPr="00A36855" w:rsidRDefault="00A36855" w:rsidP="00A36855">
      <w:pPr>
        <w:pStyle w:val="ListParagraph"/>
        <w:numPr>
          <w:ilvl w:val="1"/>
          <w:numId w:val="20"/>
        </w:numPr>
        <w:ind w:leftChars="0"/>
        <w:jc w:val="both"/>
        <w:rPr>
          <w:b/>
          <w:szCs w:val="24"/>
        </w:rPr>
      </w:pPr>
      <w:r w:rsidRPr="00A36855">
        <w:rPr>
          <w:b/>
          <w:szCs w:val="24"/>
        </w:rPr>
        <w:t>Define rules / capabilities for simultaneous transmission.</w:t>
      </w:r>
    </w:p>
    <w:p w14:paraId="5578F4A9" w14:textId="1E3B3CFE" w:rsidR="00A36855" w:rsidRDefault="00A36855" w:rsidP="00A36855">
      <w:pPr>
        <w:pStyle w:val="ListParagraph"/>
        <w:numPr>
          <w:ilvl w:val="1"/>
          <w:numId w:val="20"/>
        </w:numPr>
        <w:ind w:leftChars="0"/>
        <w:jc w:val="both"/>
        <w:rPr>
          <w:b/>
          <w:szCs w:val="24"/>
        </w:rPr>
      </w:pPr>
      <w:r w:rsidRPr="00A36855">
        <w:rPr>
          <w:b/>
          <w:szCs w:val="24"/>
        </w:rPr>
        <w:t>Define switching state after SRS carrier switching.</w:t>
      </w:r>
    </w:p>
    <w:p w14:paraId="30D4D965" w14:textId="77777777" w:rsidR="0051197B" w:rsidRDefault="0051197B" w:rsidP="0051197B">
      <w:pPr>
        <w:jc w:val="both"/>
        <w:rPr>
          <w:b/>
          <w:szCs w:val="24"/>
        </w:rPr>
      </w:pPr>
    </w:p>
    <w:p w14:paraId="0759C501" w14:textId="77777777" w:rsidR="0051197B" w:rsidRPr="00A36855" w:rsidRDefault="0051197B" w:rsidP="0051197B">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7b (updated)</w:t>
      </w:r>
    </w:p>
    <w:p w14:paraId="19E75D94" w14:textId="77777777" w:rsidR="0051197B" w:rsidRPr="00A36855" w:rsidRDefault="0051197B" w:rsidP="0051197B">
      <w:pPr>
        <w:pStyle w:val="ListParagraph"/>
        <w:numPr>
          <w:ilvl w:val="0"/>
          <w:numId w:val="20"/>
        </w:numPr>
        <w:ind w:leftChars="0"/>
        <w:jc w:val="both"/>
        <w:rPr>
          <w:b/>
          <w:szCs w:val="24"/>
        </w:rPr>
      </w:pPr>
      <w:r w:rsidRPr="00A36855">
        <w:rPr>
          <w:b/>
          <w:szCs w:val="24"/>
        </w:rPr>
        <w:t>For uplink Tx switching + SRS carrier switching:</w:t>
      </w:r>
    </w:p>
    <w:p w14:paraId="5BFDC2AB" w14:textId="77777777" w:rsidR="0051197B" w:rsidRPr="00A36855" w:rsidRDefault="0051197B" w:rsidP="0051197B">
      <w:pPr>
        <w:pStyle w:val="ListParagraph"/>
        <w:numPr>
          <w:ilvl w:val="1"/>
          <w:numId w:val="20"/>
        </w:numPr>
        <w:ind w:leftChars="0"/>
        <w:jc w:val="both"/>
        <w:rPr>
          <w:b/>
          <w:szCs w:val="24"/>
        </w:rPr>
      </w:pPr>
      <w:r>
        <w:rPr>
          <w:rFonts w:hint="eastAsia"/>
          <w:b/>
          <w:color w:val="FF0000"/>
          <w:szCs w:val="24"/>
        </w:rPr>
        <w:t>Discuss</w:t>
      </w:r>
      <w:r w:rsidRPr="00535EBA">
        <w:rPr>
          <w:b/>
          <w:strike/>
          <w:color w:val="FF0000"/>
          <w:szCs w:val="24"/>
        </w:rPr>
        <w:t>Define</w:t>
      </w:r>
      <w:r w:rsidRPr="00A36855">
        <w:rPr>
          <w:b/>
          <w:szCs w:val="24"/>
        </w:rPr>
        <w:t xml:space="preserve"> switching times.</w:t>
      </w:r>
    </w:p>
    <w:p w14:paraId="3121F409" w14:textId="77777777" w:rsidR="0051197B" w:rsidRDefault="0051197B" w:rsidP="0051197B">
      <w:pPr>
        <w:pStyle w:val="ListParagraph"/>
        <w:numPr>
          <w:ilvl w:val="1"/>
          <w:numId w:val="20"/>
        </w:numPr>
        <w:ind w:leftChars="0"/>
        <w:jc w:val="both"/>
        <w:rPr>
          <w:b/>
          <w:szCs w:val="24"/>
        </w:rPr>
      </w:pPr>
      <w:r>
        <w:rPr>
          <w:rFonts w:hint="eastAsia"/>
          <w:b/>
          <w:color w:val="FF0000"/>
          <w:szCs w:val="24"/>
        </w:rPr>
        <w:t>Discuss</w:t>
      </w:r>
      <w:r w:rsidRPr="00535EBA">
        <w:rPr>
          <w:b/>
          <w:strike/>
          <w:color w:val="FF0000"/>
          <w:szCs w:val="24"/>
        </w:rPr>
        <w:t>Define</w:t>
      </w:r>
      <w:r w:rsidRPr="00A36855">
        <w:rPr>
          <w:b/>
          <w:szCs w:val="24"/>
        </w:rPr>
        <w:t xml:space="preserve"> switching state after SRS carrier switching.</w:t>
      </w:r>
    </w:p>
    <w:p w14:paraId="5EB881EC" w14:textId="77777777" w:rsidR="0051197B" w:rsidRPr="0051197B" w:rsidRDefault="0051197B" w:rsidP="0051197B">
      <w:pPr>
        <w:pStyle w:val="ListParagraph"/>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2F8473C3" w14:textId="46F5CCA4" w:rsidR="0051197B" w:rsidRPr="0051197B" w:rsidRDefault="0051197B" w:rsidP="0051197B">
      <w:pPr>
        <w:pStyle w:val="ListParagraph"/>
        <w:numPr>
          <w:ilvl w:val="1"/>
          <w:numId w:val="20"/>
        </w:numPr>
        <w:overflowPunct w:val="0"/>
        <w:autoSpaceDE w:val="0"/>
        <w:autoSpaceDN w:val="0"/>
        <w:adjustRightInd w:val="0"/>
        <w:spacing w:after="180"/>
        <w:ind w:leftChars="0"/>
        <w:textAlignment w:val="baseline"/>
        <w:rPr>
          <w:b/>
          <w:szCs w:val="24"/>
        </w:rPr>
      </w:pPr>
      <w:r w:rsidRPr="0051197B">
        <w:rPr>
          <w:rFonts w:hint="eastAsia"/>
          <w:b/>
          <w:color w:val="FF0000"/>
          <w:szCs w:val="24"/>
        </w:rPr>
        <w:t>Discuss</w:t>
      </w:r>
      <w:r w:rsidRPr="0051197B">
        <w:rPr>
          <w:b/>
          <w:strike/>
          <w:color w:val="FF0000"/>
          <w:szCs w:val="24"/>
        </w:rPr>
        <w:t>Define</w:t>
      </w:r>
      <w:r w:rsidRPr="0051197B">
        <w:rPr>
          <w:b/>
          <w:szCs w:val="24"/>
        </w:rPr>
        <w:t xml:space="preserve"> rules / capabilities for simultaneous transmission.</w:t>
      </w:r>
    </w:p>
    <w:p w14:paraId="1BA4B14C" w14:textId="77777777" w:rsidR="007D6A83" w:rsidRDefault="007D6A83">
      <w:pPr>
        <w:rPr>
          <w:rFonts w:eastAsia="MS Mincho" w:cs="Batang"/>
          <w:sz w:val="22"/>
          <w:szCs w:val="22"/>
        </w:rPr>
      </w:pPr>
    </w:p>
    <w:p w14:paraId="183280B6" w14:textId="32DA3FB4"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7D6A83" w14:paraId="6B0E9BA1" w14:textId="77777777" w:rsidTr="00877493">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rsidTr="00877493">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lastRenderedPageBreak/>
              <w:t>Huawei, HiSilicon</w:t>
            </w:r>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srs-SwitchingAffectedBandsListNR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rsidTr="00877493">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Pr>
                <w:i/>
                <w:sz w:val="22"/>
                <w:lang w:val="en-US"/>
              </w:rPr>
              <w:t>srs-SwitchingAffectedBandsListNR</w:t>
            </w:r>
            <w:r>
              <w:rPr>
                <w:sz w:val="22"/>
                <w:lang w:val="en-US"/>
              </w:rPr>
              <w:t xml:space="preserve"> would be. For the intermittent SRS UL Tx, a scheduling gap doesn’t result in significant penalties even if the DL scheduling needs to be interrupted.</w:t>
            </w:r>
          </w:p>
        </w:tc>
      </w:tr>
      <w:tr w:rsidR="007D6A83" w14:paraId="5C1E2DCE" w14:textId="77777777" w:rsidTr="00877493">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rsidTr="00877493">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r>
              <w:rPr>
                <w:i/>
                <w:sz w:val="22"/>
                <w:lang w:val="en-US"/>
              </w:rPr>
              <w:t>srs-SwitchingAffectedBandsListNR</w:t>
            </w:r>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rsidTr="00877493">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is configured. For the case of switchedUL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rsidTr="00877493">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rsidTr="00877493">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rsidTr="00877493">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rsidTr="00877493">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r>
              <w:rPr>
                <w:i/>
                <w:iCs/>
                <w:sz w:val="22"/>
                <w:szCs w:val="22"/>
                <w:lang w:eastAsia="en-GB"/>
              </w:rPr>
              <w:t xml:space="preserve">srs-SwitchingAffectedBandsListNR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rsidTr="00877493">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rsidTr="00877493">
        <w:tc>
          <w:tcPr>
            <w:tcW w:w="1680" w:type="dxa"/>
          </w:tcPr>
          <w:p w14:paraId="129590C7" w14:textId="4B42B7D8" w:rsidR="003A3042" w:rsidRDefault="003A3042">
            <w:pPr>
              <w:spacing w:afterLines="50" w:after="120"/>
              <w:jc w:val="both"/>
              <w:rPr>
                <w:rFonts w:eastAsia="SimSun"/>
                <w:sz w:val="22"/>
                <w:lang w:val="en-US" w:eastAsia="zh-CN"/>
              </w:rPr>
            </w:pPr>
            <w:r>
              <w:rPr>
                <w:rFonts w:eastAsia="SimSun" w:hint="eastAsia"/>
                <w:sz w:val="22"/>
                <w:lang w:val="en-US" w:eastAsia="zh-CN"/>
              </w:rPr>
              <w:lastRenderedPageBreak/>
              <w:t>v</w:t>
            </w:r>
            <w:r>
              <w:rPr>
                <w:rFonts w:eastAsia="SimSun"/>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SimSun"/>
                <w:sz w:val="22"/>
                <w:szCs w:val="22"/>
                <w:lang w:val="en-US" w:eastAsia="zh-CN"/>
              </w:rPr>
            </w:pPr>
            <w:r>
              <w:rPr>
                <w:rFonts w:eastAsia="SimSun"/>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rsidTr="00877493">
        <w:tc>
          <w:tcPr>
            <w:tcW w:w="1680" w:type="dxa"/>
          </w:tcPr>
          <w:p w14:paraId="65DFBEB6" w14:textId="33B3B4E0" w:rsidR="00DF5824" w:rsidRDefault="00DF5824">
            <w:pPr>
              <w:spacing w:afterLines="50" w:after="120"/>
              <w:jc w:val="both"/>
              <w:rPr>
                <w:rFonts w:eastAsia="SimSun"/>
                <w:sz w:val="22"/>
                <w:lang w:val="en-US" w:eastAsia="zh-CN"/>
              </w:rPr>
            </w:pPr>
            <w:r>
              <w:rPr>
                <w:rFonts w:eastAsia="SimSun"/>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ListParagraph"/>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ListParagraph"/>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ListParagraph"/>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ListParagraph"/>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SimSun"/>
                <w:sz w:val="22"/>
                <w:szCs w:val="22"/>
                <w:lang w:val="en-US" w:eastAsia="zh-CN"/>
              </w:rPr>
              <w:t xml:space="preserve">On the topic of “define rules / capabilities for simultaneous transmission”, we are </w:t>
            </w:r>
            <w:r>
              <w:rPr>
                <w:rFonts w:eastAsia="SimSun"/>
                <w:sz w:val="22"/>
                <w:szCs w:val="22"/>
                <w:lang w:val="en-US" w:eastAsia="zh-CN"/>
              </w:rPr>
              <w:t xml:space="preserve">OK with reusing </w:t>
            </w:r>
            <w:r>
              <w:rPr>
                <w:i/>
                <w:iCs/>
                <w:sz w:val="22"/>
                <w:szCs w:val="22"/>
                <w:lang w:eastAsia="en-GB"/>
              </w:rPr>
              <w:t>srs-SwitchingAffectedBandsListNR</w:t>
            </w:r>
            <w:r>
              <w:rPr>
                <w:sz w:val="22"/>
                <w:szCs w:val="22"/>
                <w:lang w:eastAsia="en-GB"/>
              </w:rPr>
              <w:t>, with the following caveat:</w:t>
            </w:r>
          </w:p>
          <w:p w14:paraId="42D8B4F7" w14:textId="77777777" w:rsidR="00DF5824" w:rsidRPr="00DF5824" w:rsidRDefault="00DF5824" w:rsidP="00DF5824">
            <w:pPr>
              <w:pStyle w:val="ListParagraph"/>
              <w:numPr>
                <w:ilvl w:val="2"/>
                <w:numId w:val="20"/>
              </w:numPr>
              <w:ind w:leftChars="0"/>
              <w:contextualSpacing/>
              <w:rPr>
                <w:b/>
                <w:bCs/>
                <w:sz w:val="20"/>
              </w:rPr>
            </w:pPr>
            <w:r w:rsidRPr="00DF5824">
              <w:rPr>
                <w:sz w:val="22"/>
                <w:szCs w:val="22"/>
                <w:lang w:eastAsia="en-GB"/>
              </w:rPr>
              <w:t>If</w:t>
            </w:r>
            <w:r>
              <w:rPr>
                <w:b/>
                <w:bCs/>
                <w:sz w:val="20"/>
              </w:rPr>
              <w:t xml:space="preserve"> </w:t>
            </w:r>
            <w:r>
              <w:rPr>
                <w:i/>
                <w:iCs/>
                <w:sz w:val="22"/>
                <w:szCs w:val="22"/>
                <w:lang w:eastAsia="en-GB"/>
              </w:rPr>
              <w:t>srs-SwitchingAffectedBandsListNR</w:t>
            </w:r>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ListParagraph"/>
              <w:numPr>
                <w:ilvl w:val="2"/>
                <w:numId w:val="20"/>
              </w:numPr>
              <w:ind w:leftChars="0"/>
              <w:contextualSpacing/>
              <w:rPr>
                <w:b/>
                <w:bCs/>
                <w:sz w:val="20"/>
              </w:rPr>
            </w:pPr>
            <w:r w:rsidRPr="00DF5824">
              <w:rPr>
                <w:sz w:val="22"/>
                <w:szCs w:val="22"/>
                <w:lang w:eastAsia="en-GB"/>
              </w:rPr>
              <w:t>If</w:t>
            </w:r>
            <w:r>
              <w:rPr>
                <w:b/>
                <w:bCs/>
                <w:sz w:val="20"/>
              </w:rPr>
              <w:t xml:space="preserve"> </w:t>
            </w:r>
            <w:r>
              <w:rPr>
                <w:i/>
                <w:iCs/>
                <w:sz w:val="22"/>
                <w:szCs w:val="22"/>
                <w:lang w:eastAsia="en-GB"/>
              </w:rPr>
              <w:t>srs-SwitchingAffectedBandsListNR</w:t>
            </w:r>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t xml:space="preserve">For #8, we would be OK with reusing </w:t>
            </w:r>
            <w:r w:rsidRPr="00DF5824">
              <w:rPr>
                <w:sz w:val="22"/>
                <w:szCs w:val="22"/>
                <w:lang w:eastAsia="en-GB"/>
              </w:rPr>
              <w:t xml:space="preserve"> </w:t>
            </w:r>
            <w:r>
              <w:rPr>
                <w:i/>
                <w:iCs/>
                <w:sz w:val="22"/>
                <w:szCs w:val="22"/>
                <w:lang w:eastAsia="en-GB"/>
              </w:rPr>
              <w:t>srs-SwitchingAffectedBandsListNR</w:t>
            </w:r>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is reused as the indication.</w:t>
            </w:r>
          </w:p>
          <w:p w14:paraId="5235001F" w14:textId="77777777"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56527D14" w14:textId="77777777"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r w:rsidR="00AE678B" w14:paraId="3C08994A" w14:textId="77777777" w:rsidTr="00877493">
        <w:tc>
          <w:tcPr>
            <w:tcW w:w="1680" w:type="dxa"/>
          </w:tcPr>
          <w:p w14:paraId="3AF5E025" w14:textId="21DDE310" w:rsidR="00AE678B" w:rsidRDefault="00AE678B" w:rsidP="00AE678B">
            <w:pPr>
              <w:spacing w:afterLines="50" w:after="120"/>
              <w:jc w:val="both"/>
              <w:rPr>
                <w:rFonts w:eastAsia="SimSun"/>
                <w:sz w:val="22"/>
                <w:lang w:val="en-US" w:eastAsia="zh-CN"/>
              </w:rPr>
            </w:pPr>
            <w:r>
              <w:rPr>
                <w:rFonts w:eastAsia="MS Mincho" w:hint="eastAsia"/>
                <w:sz w:val="22"/>
                <w:lang w:val="en-US"/>
              </w:rPr>
              <w:t>Moderator</w:t>
            </w:r>
          </w:p>
        </w:tc>
        <w:tc>
          <w:tcPr>
            <w:tcW w:w="1121" w:type="dxa"/>
          </w:tcPr>
          <w:p w14:paraId="05A4B6F9" w14:textId="77777777" w:rsidR="00AE678B" w:rsidRDefault="00AE678B" w:rsidP="00AE678B">
            <w:pPr>
              <w:spacing w:afterLines="50" w:after="120"/>
              <w:jc w:val="both"/>
              <w:rPr>
                <w:rFonts w:eastAsiaTheme="minorEastAsia"/>
                <w:sz w:val="22"/>
                <w:lang w:val="en-US" w:eastAsia="zh-CN"/>
              </w:rPr>
            </w:pPr>
          </w:p>
        </w:tc>
        <w:tc>
          <w:tcPr>
            <w:tcW w:w="6822" w:type="dxa"/>
          </w:tcPr>
          <w:p w14:paraId="16C2E1E4" w14:textId="4F547228" w:rsidR="00A36855" w:rsidRDefault="00A36855" w:rsidP="00AE678B">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proponent</w:t>
            </w:r>
            <w:r>
              <w:rPr>
                <w:rFonts w:eastAsia="MS Mincho"/>
                <w:sz w:val="22"/>
              </w:rPr>
              <w:t>’</w:t>
            </w:r>
            <w:r>
              <w:rPr>
                <w:rFonts w:eastAsia="MS Mincho" w:hint="eastAsia"/>
                <w:sz w:val="22"/>
              </w:rPr>
              <w:t xml:space="preserve">s </w:t>
            </w:r>
            <w:r>
              <w:rPr>
                <w:rFonts w:eastAsia="MS Mincho"/>
                <w:sz w:val="22"/>
              </w:rPr>
              <w:t>comment as follows:</w:t>
            </w:r>
          </w:p>
          <w:p w14:paraId="3DAD7184" w14:textId="77777777" w:rsidR="00A36855" w:rsidRPr="00A36855" w:rsidRDefault="00A36855" w:rsidP="00A36855">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41E89CBC" w14:textId="77777777" w:rsidR="00A36855" w:rsidRPr="00A36855" w:rsidRDefault="00A36855" w:rsidP="00A36855">
            <w:pPr>
              <w:pStyle w:val="ListParagraph"/>
              <w:numPr>
                <w:ilvl w:val="0"/>
                <w:numId w:val="20"/>
              </w:numPr>
              <w:ind w:leftChars="0"/>
              <w:jc w:val="both"/>
              <w:rPr>
                <w:b/>
                <w:szCs w:val="24"/>
              </w:rPr>
            </w:pPr>
            <w:r w:rsidRPr="00A36855">
              <w:rPr>
                <w:b/>
                <w:szCs w:val="24"/>
              </w:rPr>
              <w:t>For uplink Tx switching + SRS carrier switching:</w:t>
            </w:r>
          </w:p>
          <w:p w14:paraId="13D1B297" w14:textId="77777777" w:rsidR="00A36855" w:rsidRPr="00A36855" w:rsidRDefault="00A36855" w:rsidP="00A36855">
            <w:pPr>
              <w:pStyle w:val="ListParagraph"/>
              <w:numPr>
                <w:ilvl w:val="1"/>
                <w:numId w:val="20"/>
              </w:numPr>
              <w:ind w:leftChars="0"/>
              <w:jc w:val="both"/>
              <w:rPr>
                <w:b/>
                <w:szCs w:val="24"/>
              </w:rPr>
            </w:pPr>
            <w:r w:rsidRPr="00A36855">
              <w:rPr>
                <w:b/>
                <w:szCs w:val="24"/>
              </w:rPr>
              <w:t>Define switching times.</w:t>
            </w:r>
          </w:p>
          <w:p w14:paraId="6EBCF99C" w14:textId="77777777" w:rsidR="00A36855" w:rsidRPr="00A36855" w:rsidRDefault="00A36855" w:rsidP="00A36855">
            <w:pPr>
              <w:pStyle w:val="ListParagraph"/>
              <w:numPr>
                <w:ilvl w:val="1"/>
                <w:numId w:val="20"/>
              </w:numPr>
              <w:ind w:leftChars="0"/>
              <w:jc w:val="both"/>
              <w:rPr>
                <w:b/>
                <w:szCs w:val="24"/>
              </w:rPr>
            </w:pPr>
            <w:r w:rsidRPr="00A36855">
              <w:rPr>
                <w:b/>
                <w:szCs w:val="24"/>
              </w:rPr>
              <w:t>Define rules / capabilities for simultaneous transmission.</w:t>
            </w:r>
          </w:p>
          <w:p w14:paraId="62C0BCB2" w14:textId="77777777" w:rsidR="00A36855" w:rsidRPr="00A36855" w:rsidRDefault="00A36855" w:rsidP="00A36855">
            <w:pPr>
              <w:pStyle w:val="ListParagraph"/>
              <w:numPr>
                <w:ilvl w:val="1"/>
                <w:numId w:val="20"/>
              </w:numPr>
              <w:ind w:leftChars="0"/>
              <w:jc w:val="both"/>
              <w:rPr>
                <w:b/>
                <w:szCs w:val="24"/>
              </w:rPr>
            </w:pPr>
            <w:r w:rsidRPr="00A36855">
              <w:rPr>
                <w:b/>
                <w:szCs w:val="24"/>
              </w:rPr>
              <w:t>Define switching state after SRS carrier switching.</w:t>
            </w:r>
          </w:p>
          <w:p w14:paraId="229A53EB" w14:textId="4D13ACBC" w:rsidR="00A36855" w:rsidRDefault="00A36855" w:rsidP="00AE678B">
            <w:pPr>
              <w:spacing w:afterLines="50" w:after="120"/>
              <w:jc w:val="both"/>
              <w:rPr>
                <w:rFonts w:eastAsia="MS Mincho"/>
                <w:sz w:val="22"/>
                <w:szCs w:val="22"/>
                <w:lang w:val="en-US"/>
              </w:rPr>
            </w:pPr>
            <w:r>
              <w:rPr>
                <w:rFonts w:eastAsia="MS Mincho" w:hint="eastAsia"/>
                <w:sz w:val="22"/>
                <w:szCs w:val="22"/>
                <w:lang w:val="en-US"/>
              </w:rPr>
              <w:t xml:space="preserve">The intention of the </w:t>
            </w:r>
            <w:r w:rsidR="00E2047E">
              <w:rPr>
                <w:rFonts w:eastAsia="MS Mincho" w:hint="eastAsia"/>
                <w:sz w:val="22"/>
                <w:szCs w:val="22"/>
                <w:lang w:val="en-US"/>
              </w:rPr>
              <w:t xml:space="preserve">update </w:t>
            </w:r>
            <w:r>
              <w:rPr>
                <w:rFonts w:eastAsia="MS Mincho" w:hint="eastAsia"/>
                <w:sz w:val="22"/>
                <w:szCs w:val="22"/>
                <w:lang w:val="en-US"/>
              </w:rPr>
              <w:t>is to firstly agree</w:t>
            </w:r>
            <w:r w:rsidR="00E2047E">
              <w:rPr>
                <w:rFonts w:eastAsia="MS Mincho" w:hint="eastAsia"/>
                <w:sz w:val="22"/>
                <w:szCs w:val="22"/>
                <w:lang w:val="en-US"/>
              </w:rPr>
              <w:t xml:space="preserve"> general principle. </w:t>
            </w:r>
            <w:r>
              <w:rPr>
                <w:rFonts w:eastAsia="MS Mincho" w:hint="eastAsia"/>
                <w:sz w:val="22"/>
                <w:szCs w:val="22"/>
                <w:lang w:val="en-US"/>
              </w:rPr>
              <w:t xml:space="preserve">Although TEI </w:t>
            </w:r>
            <w:r>
              <w:rPr>
                <w:rFonts w:eastAsia="MS Mincho"/>
                <w:sz w:val="22"/>
                <w:szCs w:val="22"/>
                <w:lang w:val="en-US"/>
              </w:rPr>
              <w:t>proposal</w:t>
            </w:r>
            <w:r>
              <w:rPr>
                <w:rFonts w:eastAsia="MS Mincho" w:hint="eastAsia"/>
                <w:sz w:val="22"/>
                <w:szCs w:val="22"/>
                <w:lang w:val="en-US"/>
              </w:rPr>
              <w:t xml:space="preserve"> usually includes the complete solution</w:t>
            </w:r>
            <w:r w:rsidR="00C1402D">
              <w:rPr>
                <w:rFonts w:eastAsia="MS Mincho" w:hint="eastAsia"/>
                <w:sz w:val="22"/>
                <w:szCs w:val="22"/>
                <w:lang w:val="en-US"/>
              </w:rPr>
              <w:t>s</w:t>
            </w:r>
            <w:r>
              <w:rPr>
                <w:rFonts w:eastAsia="MS Mincho" w:hint="eastAsia"/>
                <w:sz w:val="22"/>
                <w:szCs w:val="22"/>
                <w:lang w:val="en-US"/>
              </w:rPr>
              <w:t>, FL would like to hear other companies</w:t>
            </w:r>
            <w:r>
              <w:rPr>
                <w:rFonts w:eastAsia="MS Mincho"/>
                <w:sz w:val="22"/>
                <w:szCs w:val="22"/>
                <w:lang w:val="en-US"/>
              </w:rPr>
              <w:t>’</w:t>
            </w:r>
            <w:r>
              <w:rPr>
                <w:rFonts w:eastAsia="MS Mincho" w:hint="eastAsia"/>
                <w:sz w:val="22"/>
                <w:szCs w:val="22"/>
                <w:lang w:val="en-US"/>
              </w:rPr>
              <w:t xml:space="preserve"> view on th</w:t>
            </w:r>
            <w:r w:rsidR="00C1402D">
              <w:rPr>
                <w:rFonts w:eastAsia="MS Mincho" w:hint="eastAsia"/>
                <w:sz w:val="22"/>
                <w:szCs w:val="22"/>
                <w:lang w:val="en-US"/>
              </w:rPr>
              <w:t>is approach first</w:t>
            </w:r>
            <w:r>
              <w:rPr>
                <w:rFonts w:eastAsia="MS Mincho" w:hint="eastAsia"/>
                <w:sz w:val="22"/>
                <w:szCs w:val="22"/>
                <w:lang w:val="en-US"/>
              </w:rPr>
              <w:t>.</w:t>
            </w:r>
          </w:p>
          <w:p w14:paraId="2C41CAB5" w14:textId="50F5BF63" w:rsidR="009F3A65" w:rsidRDefault="00C1402D" w:rsidP="009F3A65">
            <w:pPr>
              <w:spacing w:afterLines="50" w:after="120"/>
              <w:jc w:val="both"/>
              <w:rPr>
                <w:rFonts w:eastAsia="MS Mincho"/>
                <w:sz w:val="22"/>
                <w:szCs w:val="22"/>
                <w:lang w:val="en-US"/>
              </w:rPr>
            </w:pPr>
            <w:r>
              <w:rPr>
                <w:rFonts w:hint="eastAsia"/>
                <w:sz w:val="22"/>
                <w:lang w:val="en-US"/>
              </w:rPr>
              <w:t>Also, s</w:t>
            </w:r>
            <w:r w:rsidR="009F3A65">
              <w:rPr>
                <w:rFonts w:hint="eastAsia"/>
                <w:sz w:val="22"/>
                <w:lang w:val="en-US"/>
              </w:rPr>
              <w:t>ince the following concern</w:t>
            </w:r>
            <w:r>
              <w:rPr>
                <w:rFonts w:hint="eastAsia"/>
                <w:sz w:val="22"/>
                <w:lang w:val="en-US"/>
              </w:rPr>
              <w:t>s</w:t>
            </w:r>
            <w:r w:rsidR="009F3A65">
              <w:rPr>
                <w:rFonts w:hint="eastAsia"/>
                <w:sz w:val="22"/>
                <w:lang w:val="en-US"/>
              </w:rPr>
              <w:t xml:space="preserve"> w</w:t>
            </w:r>
            <w:r>
              <w:rPr>
                <w:rFonts w:hint="eastAsia"/>
                <w:sz w:val="22"/>
                <w:lang w:val="en-US"/>
              </w:rPr>
              <w:t>ere</w:t>
            </w:r>
            <w:r w:rsidR="009F3A65">
              <w:rPr>
                <w:rFonts w:hint="eastAsia"/>
                <w:sz w:val="22"/>
                <w:lang w:val="en-US"/>
              </w:rPr>
              <w:t xml:space="preserve"> raised from companies, p</w:t>
            </w:r>
            <w:r w:rsidR="009F3A65">
              <w:rPr>
                <w:sz w:val="22"/>
                <w:lang w:val="en-US"/>
              </w:rPr>
              <w:t>roponent is encouraged to address the conc</w:t>
            </w:r>
            <w:r w:rsidR="009F3A65">
              <w:rPr>
                <w:sz w:val="22"/>
                <w:szCs w:val="22"/>
                <w:lang w:val="en-US"/>
              </w:rPr>
              <w:t>ern</w:t>
            </w:r>
            <w:r>
              <w:rPr>
                <w:rFonts w:hint="eastAsia"/>
                <w:sz w:val="22"/>
                <w:szCs w:val="22"/>
                <w:lang w:val="en-US"/>
              </w:rPr>
              <w:t>s</w:t>
            </w:r>
            <w:r w:rsidR="009F3A65">
              <w:rPr>
                <w:sz w:val="22"/>
                <w:szCs w:val="22"/>
                <w:lang w:val="en-US"/>
              </w:rPr>
              <w:t xml:space="preserve"> from companies.</w:t>
            </w:r>
          </w:p>
          <w:p w14:paraId="23D42BB1" w14:textId="0FF1560F" w:rsidR="00A36855" w:rsidRDefault="009F3A65" w:rsidP="009F3A65">
            <w:pPr>
              <w:spacing w:afterLines="50" w:after="120"/>
              <w:jc w:val="both"/>
              <w:rPr>
                <w:rFonts w:eastAsia="MS Mincho"/>
                <w:sz w:val="22"/>
                <w:szCs w:val="22"/>
                <w:lang w:val="en-US"/>
              </w:rPr>
            </w:pPr>
            <w:r>
              <w:rPr>
                <w:rFonts w:eastAsia="MS Mincho" w:hint="eastAsia"/>
                <w:sz w:val="22"/>
                <w:szCs w:val="22"/>
                <w:lang w:val="en-US"/>
              </w:rPr>
              <w:t>・</w:t>
            </w:r>
            <w:r w:rsidRPr="009F3A65">
              <w:rPr>
                <w:rFonts w:eastAsia="MS Mincho"/>
                <w:sz w:val="22"/>
                <w:szCs w:val="22"/>
                <w:lang w:val="en-US"/>
              </w:rPr>
              <w:t>switching time should be discussed in RAN4</w:t>
            </w:r>
            <w:r>
              <w:rPr>
                <w:rFonts w:eastAsia="MS Mincho" w:hint="eastAsia"/>
                <w:sz w:val="22"/>
                <w:szCs w:val="22"/>
                <w:lang w:val="en-US"/>
              </w:rPr>
              <w:t xml:space="preserve"> not in RAN1</w:t>
            </w:r>
          </w:p>
          <w:p w14:paraId="29C2ABB3" w14:textId="3DD93393" w:rsidR="009F3A65" w:rsidRPr="00E2047E" w:rsidRDefault="009F3A65" w:rsidP="00AE678B">
            <w:pPr>
              <w:spacing w:afterLines="50" w:after="120"/>
              <w:jc w:val="both"/>
              <w:rPr>
                <w:rFonts w:eastAsia="MS Mincho"/>
                <w:sz w:val="22"/>
                <w:szCs w:val="22"/>
                <w:lang w:val="en-US"/>
              </w:rPr>
            </w:pPr>
            <w:r>
              <w:rPr>
                <w:rFonts w:eastAsia="MS Mincho" w:hint="eastAsia"/>
                <w:sz w:val="22"/>
                <w:szCs w:val="22"/>
                <w:lang w:val="en-US"/>
              </w:rPr>
              <w:t>・</w:t>
            </w:r>
            <w:r>
              <w:rPr>
                <w:rFonts w:eastAsia="MS Mincho" w:hint="eastAsia"/>
                <w:sz w:val="22"/>
                <w:szCs w:val="22"/>
                <w:lang w:val="en-US"/>
              </w:rPr>
              <w:t>scope of proposal is big for TEI</w:t>
            </w:r>
          </w:p>
          <w:p w14:paraId="1B0C2588" w14:textId="26D2256E" w:rsidR="00A36855" w:rsidRPr="00A36855" w:rsidRDefault="00A36855" w:rsidP="00AE678B">
            <w:pPr>
              <w:spacing w:afterLines="50" w:after="120"/>
              <w:jc w:val="both"/>
              <w:rPr>
                <w:sz w:val="22"/>
                <w:szCs w:val="22"/>
                <w:lang w:val="en-US"/>
              </w:rPr>
            </w:pPr>
            <w:r>
              <w:rPr>
                <w:rFonts w:hint="eastAsia"/>
                <w:sz w:val="22"/>
                <w:szCs w:val="22"/>
                <w:lang w:val="en-US"/>
              </w:rPr>
              <w:lastRenderedPageBreak/>
              <w:t xml:space="preserve">@QC Since the </w:t>
            </w:r>
            <w:r w:rsidR="00E2047E">
              <w:rPr>
                <w:rFonts w:hint="eastAsia"/>
                <w:sz w:val="22"/>
                <w:szCs w:val="22"/>
                <w:lang w:val="en-US"/>
              </w:rPr>
              <w:t xml:space="preserve">target </w:t>
            </w:r>
            <w:r>
              <w:rPr>
                <w:rFonts w:hint="eastAsia"/>
                <w:sz w:val="22"/>
                <w:szCs w:val="22"/>
                <w:lang w:val="en-US"/>
              </w:rPr>
              <w:t>scenarios are different between TEI proposal#7 and TEI proposal#8, FL thinks proposals should be treated separately. Especially, FL think</w:t>
            </w:r>
            <w:r w:rsidR="009F3A65">
              <w:rPr>
                <w:rFonts w:hint="eastAsia"/>
                <w:sz w:val="22"/>
                <w:szCs w:val="22"/>
                <w:lang w:val="en-US"/>
              </w:rPr>
              <w:t>s</w:t>
            </w:r>
            <w:r>
              <w:rPr>
                <w:rFonts w:hint="eastAsia"/>
                <w:sz w:val="22"/>
                <w:szCs w:val="22"/>
                <w:lang w:val="en-US"/>
              </w:rPr>
              <w:t xml:space="preserve"> it is </w:t>
            </w:r>
            <w:r w:rsidR="009F3A65">
              <w:rPr>
                <w:rFonts w:hint="eastAsia"/>
                <w:sz w:val="22"/>
                <w:szCs w:val="22"/>
                <w:lang w:val="en-US"/>
              </w:rPr>
              <w:t xml:space="preserve">not </w:t>
            </w:r>
            <w:r>
              <w:rPr>
                <w:rFonts w:hint="eastAsia"/>
                <w:sz w:val="22"/>
                <w:szCs w:val="22"/>
                <w:lang w:val="en-US"/>
              </w:rPr>
              <w:t xml:space="preserve">a good idea to integrate </w:t>
            </w:r>
            <w:r w:rsidR="00E2047E">
              <w:rPr>
                <w:rFonts w:hint="eastAsia"/>
                <w:sz w:val="22"/>
                <w:szCs w:val="22"/>
                <w:lang w:val="en-US"/>
              </w:rPr>
              <w:t>proposals</w:t>
            </w:r>
            <w:r>
              <w:rPr>
                <w:rFonts w:hint="eastAsia"/>
                <w:sz w:val="22"/>
                <w:szCs w:val="22"/>
                <w:lang w:val="en-US"/>
              </w:rPr>
              <w:t xml:space="preserve"> when some companies raise</w:t>
            </w:r>
            <w:r w:rsidR="009F3A65">
              <w:rPr>
                <w:rFonts w:hint="eastAsia"/>
                <w:sz w:val="22"/>
                <w:szCs w:val="22"/>
                <w:lang w:val="en-US"/>
              </w:rPr>
              <w:t>d</w:t>
            </w:r>
            <w:r>
              <w:rPr>
                <w:rFonts w:hint="eastAsia"/>
                <w:sz w:val="22"/>
                <w:szCs w:val="22"/>
                <w:lang w:val="en-US"/>
              </w:rPr>
              <w:t xml:space="preserve"> the concern that proposal#7</w:t>
            </w:r>
            <w:r w:rsidR="009F3A65">
              <w:rPr>
                <w:rFonts w:hint="eastAsia"/>
                <w:sz w:val="22"/>
                <w:szCs w:val="22"/>
                <w:lang w:val="en-US"/>
              </w:rPr>
              <w:t xml:space="preserve"> itself</w:t>
            </w:r>
            <w:r>
              <w:rPr>
                <w:rFonts w:hint="eastAsia"/>
                <w:sz w:val="22"/>
                <w:szCs w:val="22"/>
                <w:lang w:val="en-US"/>
              </w:rPr>
              <w:t xml:space="preserve"> is </w:t>
            </w:r>
            <w:r w:rsidR="00E2047E">
              <w:rPr>
                <w:rFonts w:hint="eastAsia"/>
                <w:sz w:val="22"/>
                <w:szCs w:val="22"/>
                <w:lang w:val="en-US"/>
              </w:rPr>
              <w:t xml:space="preserve">already </w:t>
            </w:r>
            <w:r>
              <w:rPr>
                <w:rFonts w:hint="eastAsia"/>
                <w:sz w:val="22"/>
                <w:szCs w:val="22"/>
                <w:lang w:val="en-US"/>
              </w:rPr>
              <w:t xml:space="preserve">too </w:t>
            </w:r>
            <w:r w:rsidR="009F3A65">
              <w:rPr>
                <w:rFonts w:hint="eastAsia"/>
                <w:sz w:val="22"/>
                <w:szCs w:val="22"/>
                <w:lang w:val="en-US"/>
              </w:rPr>
              <w:t>big</w:t>
            </w:r>
            <w:r>
              <w:rPr>
                <w:rFonts w:hint="eastAsia"/>
                <w:sz w:val="22"/>
                <w:szCs w:val="22"/>
                <w:lang w:val="en-US"/>
              </w:rPr>
              <w:t xml:space="preserve"> for TEI.</w:t>
            </w:r>
          </w:p>
        </w:tc>
      </w:tr>
      <w:tr w:rsidR="00CA04EA" w14:paraId="586D7517" w14:textId="77777777" w:rsidTr="00877493">
        <w:tc>
          <w:tcPr>
            <w:tcW w:w="1680" w:type="dxa"/>
          </w:tcPr>
          <w:p w14:paraId="0E8354F6" w14:textId="09E10351" w:rsidR="00CA04EA" w:rsidRPr="00CA04EA" w:rsidRDefault="00CA04EA" w:rsidP="00CA04EA">
            <w:pPr>
              <w:spacing w:afterLines="50" w:after="120"/>
              <w:jc w:val="both"/>
              <w:rPr>
                <w:rFonts w:eastAsia="MS Mincho"/>
                <w:sz w:val="22"/>
                <w:lang w:val="en-US"/>
              </w:rPr>
            </w:pPr>
            <w:r w:rsidRPr="00CA04EA">
              <w:rPr>
                <w:rFonts w:eastAsia="SimSun"/>
                <w:sz w:val="22"/>
                <w:lang w:val="en-US" w:eastAsia="zh-CN"/>
              </w:rPr>
              <w:lastRenderedPageBreak/>
              <w:t>Samsung</w:t>
            </w:r>
          </w:p>
        </w:tc>
        <w:tc>
          <w:tcPr>
            <w:tcW w:w="1121" w:type="dxa"/>
          </w:tcPr>
          <w:p w14:paraId="5F5F130B" w14:textId="77777777" w:rsidR="00CA04EA" w:rsidRPr="00CA04EA" w:rsidRDefault="00CA04EA" w:rsidP="00CA04EA">
            <w:pPr>
              <w:spacing w:afterLines="50" w:after="120"/>
              <w:jc w:val="both"/>
              <w:rPr>
                <w:rFonts w:eastAsiaTheme="minorEastAsia"/>
                <w:sz w:val="22"/>
                <w:lang w:val="en-US" w:eastAsia="zh-CN"/>
              </w:rPr>
            </w:pPr>
          </w:p>
        </w:tc>
        <w:tc>
          <w:tcPr>
            <w:tcW w:w="6822" w:type="dxa"/>
          </w:tcPr>
          <w:p w14:paraId="1848E044" w14:textId="77777777" w:rsidR="00CA04EA" w:rsidRPr="00CA04EA" w:rsidRDefault="00CA04EA" w:rsidP="00CA04EA">
            <w:pPr>
              <w:spacing w:afterLines="50" w:after="120"/>
              <w:jc w:val="both"/>
              <w:rPr>
                <w:sz w:val="22"/>
                <w:lang w:val="en-US"/>
              </w:rPr>
            </w:pPr>
            <w:r w:rsidRPr="00CA04EA">
              <w:rPr>
                <w:sz w:val="22"/>
                <w:lang w:val="en-US"/>
              </w:rPr>
              <w:t>We agree that SRS switching time and switching state after SRS transmission could be discussed further to see if it is possible to agree on some meaningful clarifications. However, if we only partially address the switching cases, i.e., for Dual UL (1T+1T or 0T+2T) this would not be complete, and including other cases such as Switched UL (1T+0T or 0T+2T) would then result in even more specification work.</w:t>
            </w:r>
          </w:p>
          <w:p w14:paraId="5D6A773E" w14:textId="3ED06021" w:rsidR="00CA04EA" w:rsidRPr="00CA04EA" w:rsidRDefault="00CA04EA" w:rsidP="00CA04EA">
            <w:pPr>
              <w:spacing w:afterLines="50" w:after="120"/>
              <w:jc w:val="both"/>
              <w:rPr>
                <w:rFonts w:eastAsia="MS Mincho"/>
                <w:sz w:val="22"/>
              </w:rPr>
            </w:pPr>
            <w:r w:rsidRPr="00CA04EA">
              <w:rPr>
                <w:sz w:val="22"/>
                <w:lang w:val="en-US"/>
              </w:rPr>
              <w:t>For simultaneous transmission, we don’t agree on the general principle that rules/capabilities are needed. The network can make a worst case assumption and we don’t see much penalty attached.</w:t>
            </w:r>
          </w:p>
        </w:tc>
      </w:tr>
      <w:tr w:rsidR="00535EBA" w14:paraId="731C6072" w14:textId="77777777" w:rsidTr="00877493">
        <w:tc>
          <w:tcPr>
            <w:tcW w:w="1680" w:type="dxa"/>
          </w:tcPr>
          <w:p w14:paraId="5DB39BCE" w14:textId="427CBC57" w:rsidR="00535EBA" w:rsidRPr="00535EBA" w:rsidRDefault="00535EBA" w:rsidP="00535EBA">
            <w:pPr>
              <w:spacing w:afterLines="50" w:after="120"/>
              <w:jc w:val="both"/>
              <w:rPr>
                <w:rFonts w:eastAsia="MS Mincho"/>
                <w:sz w:val="22"/>
                <w:lang w:val="en-US"/>
              </w:rPr>
            </w:pPr>
            <w:r>
              <w:rPr>
                <w:rFonts w:eastAsia="MS Mincho" w:hint="eastAsia"/>
                <w:sz w:val="22"/>
                <w:lang w:val="en-US"/>
              </w:rPr>
              <w:t>Moderator</w:t>
            </w:r>
          </w:p>
        </w:tc>
        <w:tc>
          <w:tcPr>
            <w:tcW w:w="1121" w:type="dxa"/>
          </w:tcPr>
          <w:p w14:paraId="4E6D1430" w14:textId="77777777" w:rsidR="00535EBA" w:rsidRPr="00CA04EA" w:rsidRDefault="00535EBA" w:rsidP="00535EBA">
            <w:pPr>
              <w:spacing w:afterLines="50" w:after="120"/>
              <w:jc w:val="both"/>
              <w:rPr>
                <w:rFonts w:eastAsiaTheme="minorEastAsia"/>
                <w:sz w:val="22"/>
                <w:lang w:val="en-US" w:eastAsia="zh-CN"/>
              </w:rPr>
            </w:pPr>
          </w:p>
        </w:tc>
        <w:tc>
          <w:tcPr>
            <w:tcW w:w="6822" w:type="dxa"/>
          </w:tcPr>
          <w:p w14:paraId="596320A1" w14:textId="6A76D117" w:rsidR="00535EBA" w:rsidRDefault="00535EBA" w:rsidP="00535EBA">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offline discussion with proponent</w:t>
            </w:r>
            <w:r>
              <w:rPr>
                <w:rFonts w:eastAsia="MS Mincho"/>
                <w:sz w:val="22"/>
              </w:rPr>
              <w:t xml:space="preserve"> as follows:</w:t>
            </w:r>
          </w:p>
          <w:p w14:paraId="4AE7B24E" w14:textId="18D99B75" w:rsidR="00535EBA" w:rsidRPr="00A36855" w:rsidRDefault="00535EBA" w:rsidP="00535EBA">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7b (updated)</w:t>
            </w:r>
          </w:p>
          <w:p w14:paraId="35B030CE" w14:textId="77777777" w:rsidR="00535EBA" w:rsidRPr="00A36855" w:rsidRDefault="00535EBA" w:rsidP="00535EBA">
            <w:pPr>
              <w:pStyle w:val="ListParagraph"/>
              <w:numPr>
                <w:ilvl w:val="0"/>
                <w:numId w:val="20"/>
              </w:numPr>
              <w:ind w:leftChars="0"/>
              <w:jc w:val="both"/>
              <w:rPr>
                <w:b/>
                <w:szCs w:val="24"/>
              </w:rPr>
            </w:pPr>
            <w:r w:rsidRPr="00A36855">
              <w:rPr>
                <w:b/>
                <w:szCs w:val="24"/>
              </w:rPr>
              <w:t>For uplink Tx switching + SRS carrier switching:</w:t>
            </w:r>
          </w:p>
          <w:p w14:paraId="434D19D7" w14:textId="5C2C3556" w:rsidR="00535EBA" w:rsidRPr="00A36855" w:rsidRDefault="00535EBA" w:rsidP="00535EBA">
            <w:pPr>
              <w:pStyle w:val="ListParagraph"/>
              <w:numPr>
                <w:ilvl w:val="1"/>
                <w:numId w:val="20"/>
              </w:numPr>
              <w:ind w:leftChars="0"/>
              <w:jc w:val="both"/>
              <w:rPr>
                <w:b/>
                <w:szCs w:val="24"/>
              </w:rPr>
            </w:pPr>
            <w:r>
              <w:rPr>
                <w:rFonts w:hint="eastAsia"/>
                <w:b/>
                <w:color w:val="FF0000"/>
                <w:szCs w:val="24"/>
              </w:rPr>
              <w:t>Discuss</w:t>
            </w:r>
            <w:r w:rsidRPr="00535EBA">
              <w:rPr>
                <w:b/>
                <w:strike/>
                <w:color w:val="FF0000"/>
                <w:szCs w:val="24"/>
              </w:rPr>
              <w:t>Define</w:t>
            </w:r>
            <w:r w:rsidRPr="00A36855">
              <w:rPr>
                <w:b/>
                <w:szCs w:val="24"/>
              </w:rPr>
              <w:t xml:space="preserve"> switching times.</w:t>
            </w:r>
          </w:p>
          <w:p w14:paraId="140E4F5C" w14:textId="633D0407" w:rsidR="00535EBA" w:rsidRDefault="00535EBA" w:rsidP="00535EBA">
            <w:pPr>
              <w:pStyle w:val="ListParagraph"/>
              <w:numPr>
                <w:ilvl w:val="1"/>
                <w:numId w:val="20"/>
              </w:numPr>
              <w:ind w:leftChars="0"/>
              <w:jc w:val="both"/>
              <w:rPr>
                <w:b/>
                <w:szCs w:val="24"/>
              </w:rPr>
            </w:pPr>
            <w:r>
              <w:rPr>
                <w:rFonts w:hint="eastAsia"/>
                <w:b/>
                <w:color w:val="FF0000"/>
                <w:szCs w:val="24"/>
              </w:rPr>
              <w:t>Discuss</w:t>
            </w:r>
            <w:r w:rsidRPr="00535EBA">
              <w:rPr>
                <w:b/>
                <w:strike/>
                <w:color w:val="FF0000"/>
                <w:szCs w:val="24"/>
              </w:rPr>
              <w:t>Define</w:t>
            </w:r>
            <w:r w:rsidRPr="00A36855">
              <w:rPr>
                <w:b/>
                <w:szCs w:val="24"/>
              </w:rPr>
              <w:t xml:space="preserve"> switching state after SRS carrier switching.</w:t>
            </w:r>
          </w:p>
          <w:p w14:paraId="4E00840D" w14:textId="2A05DCEC" w:rsidR="00535EBA" w:rsidRPr="00535EBA" w:rsidRDefault="00535EBA" w:rsidP="00535EBA">
            <w:pPr>
              <w:pStyle w:val="ListParagraph"/>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1A0646AD" w14:textId="77777777" w:rsidR="00535EBA" w:rsidRDefault="00535EBA" w:rsidP="00535EBA">
            <w:pPr>
              <w:pStyle w:val="ListParagraph"/>
              <w:numPr>
                <w:ilvl w:val="1"/>
                <w:numId w:val="20"/>
              </w:numPr>
              <w:ind w:leftChars="0"/>
              <w:jc w:val="both"/>
              <w:rPr>
                <w:b/>
                <w:szCs w:val="24"/>
              </w:rPr>
            </w:pPr>
            <w:r>
              <w:rPr>
                <w:rFonts w:hint="eastAsia"/>
                <w:b/>
                <w:color w:val="FF0000"/>
                <w:szCs w:val="24"/>
              </w:rPr>
              <w:t>Discuss</w:t>
            </w:r>
            <w:r w:rsidRPr="00535EBA">
              <w:rPr>
                <w:b/>
                <w:strike/>
                <w:color w:val="FF0000"/>
                <w:szCs w:val="24"/>
              </w:rPr>
              <w:t>Define</w:t>
            </w:r>
            <w:r w:rsidRPr="00A36855">
              <w:rPr>
                <w:b/>
                <w:szCs w:val="24"/>
              </w:rPr>
              <w:t xml:space="preserve"> rules / capabilities for simultaneous transmission.</w:t>
            </w:r>
          </w:p>
          <w:p w14:paraId="49AC53EC" w14:textId="5E2B5279" w:rsidR="00877493" w:rsidRPr="00877493" w:rsidRDefault="009D7CA4" w:rsidP="009D7CA4">
            <w:pPr>
              <w:jc w:val="both"/>
              <w:rPr>
                <w:rFonts w:eastAsia="MS Mincho"/>
                <w:sz w:val="22"/>
              </w:rPr>
            </w:pPr>
            <w:r>
              <w:rPr>
                <w:rFonts w:eastAsia="MS Mincho"/>
                <w:sz w:val="22"/>
              </w:rPr>
              <w:t>Companies are encouraged to check above TEI proposal and to provide feedback if any</w:t>
            </w:r>
            <w:r>
              <w:rPr>
                <w:rFonts w:eastAsia="MS Mincho" w:hint="eastAsia"/>
                <w:sz w:val="22"/>
              </w:rPr>
              <w:t>.</w:t>
            </w:r>
          </w:p>
        </w:tc>
      </w:tr>
      <w:tr w:rsidR="00877493" w14:paraId="40F024ED" w14:textId="77777777" w:rsidTr="00877493">
        <w:tc>
          <w:tcPr>
            <w:tcW w:w="1680" w:type="dxa"/>
          </w:tcPr>
          <w:p w14:paraId="1DEA4943" w14:textId="68CB8179" w:rsidR="00877493" w:rsidRDefault="00877493" w:rsidP="00535EBA">
            <w:pPr>
              <w:spacing w:afterLines="50" w:after="120"/>
              <w:jc w:val="both"/>
              <w:rPr>
                <w:rFonts w:eastAsia="MS Mincho"/>
                <w:sz w:val="22"/>
                <w:lang w:val="en-US"/>
              </w:rPr>
            </w:pPr>
            <w:r>
              <w:rPr>
                <w:rFonts w:eastAsia="MS Mincho" w:hint="eastAsia"/>
                <w:sz w:val="22"/>
                <w:lang w:val="en-US"/>
              </w:rPr>
              <w:t>Moderator</w:t>
            </w:r>
          </w:p>
        </w:tc>
        <w:tc>
          <w:tcPr>
            <w:tcW w:w="1121" w:type="dxa"/>
          </w:tcPr>
          <w:p w14:paraId="400940CB" w14:textId="77777777" w:rsidR="00877493" w:rsidRPr="00CA04EA" w:rsidRDefault="00877493" w:rsidP="00535EBA">
            <w:pPr>
              <w:spacing w:afterLines="50" w:after="120"/>
              <w:jc w:val="both"/>
              <w:rPr>
                <w:rFonts w:eastAsiaTheme="minorEastAsia"/>
                <w:sz w:val="22"/>
                <w:lang w:val="en-US" w:eastAsia="zh-CN"/>
              </w:rPr>
            </w:pPr>
          </w:p>
        </w:tc>
        <w:tc>
          <w:tcPr>
            <w:tcW w:w="6822" w:type="dxa"/>
          </w:tcPr>
          <w:p w14:paraId="6232E0A9" w14:textId="0315FCAD" w:rsidR="00877493" w:rsidRDefault="00877493" w:rsidP="00877493">
            <w:pPr>
              <w:spacing w:afterLines="50" w:after="120"/>
              <w:jc w:val="both"/>
              <w:rPr>
                <w:rFonts w:eastAsiaTheme="minorEastAsia"/>
                <w:sz w:val="22"/>
                <w:lang w:val="en-US" w:eastAsia="zh-CN"/>
              </w:rPr>
            </w:pPr>
            <w:r>
              <w:rPr>
                <w:rFonts w:eastAsia="MS Mincho" w:hint="eastAsia"/>
                <w:sz w:val="22"/>
                <w:lang w:val="en-US"/>
              </w:rPr>
              <w:t>T</w:t>
            </w:r>
            <w:r>
              <w:rPr>
                <w:rFonts w:eastAsiaTheme="minorEastAsia"/>
                <w:sz w:val="22"/>
                <w:lang w:val="en-US" w:eastAsia="zh-CN"/>
              </w:rPr>
              <w:t xml:space="preserve">his proposal is supported by </w:t>
            </w:r>
            <w:r>
              <w:rPr>
                <w:rFonts w:eastAsia="MS Mincho" w:hint="eastAsia"/>
                <w:sz w:val="22"/>
                <w:lang w:val="en-US"/>
              </w:rPr>
              <w:t>3 companies. However</w:t>
            </w:r>
            <w:r>
              <w:rPr>
                <w:rFonts w:eastAsiaTheme="minorEastAsia"/>
                <w:sz w:val="22"/>
                <w:lang w:val="en-US" w:eastAsia="zh-CN"/>
              </w:rPr>
              <w:t xml:space="preserve">, </w:t>
            </w:r>
            <w:r>
              <w:rPr>
                <w:rFonts w:eastAsia="MS Mincho" w:hint="eastAsia"/>
                <w:sz w:val="22"/>
                <w:lang w:val="en-US"/>
              </w:rPr>
              <w:t>it</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E078117" w14:textId="54E1AE33" w:rsidR="00877493" w:rsidRDefault="00877493" w:rsidP="00877493">
            <w:pPr>
              <w:spacing w:afterLines="50" w:after="120"/>
              <w:jc w:val="both"/>
              <w:rPr>
                <w:rFonts w:eastAsia="MS Mincho"/>
                <w:sz w:val="22"/>
              </w:rPr>
            </w:pPr>
            <w:r>
              <w:rPr>
                <w:rFonts w:eastAsiaTheme="minorEastAsia"/>
                <w:sz w:val="22"/>
                <w:lang w:val="en-US" w:eastAsia="zh-CN"/>
              </w:rPr>
              <w:t>Proponent is encouraged to address the concern from companies.</w:t>
            </w:r>
          </w:p>
        </w:tc>
      </w:tr>
      <w:tr w:rsidR="00E46520" w14:paraId="136F7789" w14:textId="77777777" w:rsidTr="00877493">
        <w:tc>
          <w:tcPr>
            <w:tcW w:w="1680" w:type="dxa"/>
          </w:tcPr>
          <w:p w14:paraId="09FD8435" w14:textId="26B245AA" w:rsidR="00E46520" w:rsidRDefault="00E46520" w:rsidP="00E46520">
            <w:pPr>
              <w:spacing w:afterLines="50" w:after="120"/>
              <w:jc w:val="both"/>
              <w:rPr>
                <w:rFonts w:eastAsia="MS Mincho"/>
                <w:sz w:val="22"/>
                <w:lang w:val="en-US"/>
              </w:rPr>
            </w:pPr>
            <w:r>
              <w:rPr>
                <w:rFonts w:eastAsia="PMingLiU"/>
                <w:sz w:val="22"/>
                <w:lang w:val="en-US" w:eastAsia="zh-TW"/>
              </w:rPr>
              <w:t>MediaTek</w:t>
            </w:r>
          </w:p>
        </w:tc>
        <w:tc>
          <w:tcPr>
            <w:tcW w:w="1121" w:type="dxa"/>
          </w:tcPr>
          <w:p w14:paraId="5DC5A47E" w14:textId="77777777" w:rsidR="00E46520" w:rsidRPr="00CA04EA" w:rsidRDefault="00E46520" w:rsidP="00E46520">
            <w:pPr>
              <w:spacing w:afterLines="50" w:after="120"/>
              <w:jc w:val="both"/>
              <w:rPr>
                <w:rFonts w:eastAsiaTheme="minorEastAsia"/>
                <w:sz w:val="22"/>
                <w:lang w:val="en-US" w:eastAsia="zh-CN"/>
              </w:rPr>
            </w:pPr>
          </w:p>
        </w:tc>
        <w:tc>
          <w:tcPr>
            <w:tcW w:w="6822" w:type="dxa"/>
          </w:tcPr>
          <w:p w14:paraId="202748BA" w14:textId="77777777" w:rsidR="00E46520" w:rsidRDefault="00E46520" w:rsidP="00E46520">
            <w:pPr>
              <w:spacing w:afterLines="50" w:after="120"/>
              <w:jc w:val="both"/>
              <w:rPr>
                <w:rFonts w:eastAsia="SimSun"/>
                <w:sz w:val="22"/>
                <w:szCs w:val="22"/>
                <w:lang w:val="en-US" w:eastAsia="zh-CN"/>
              </w:rPr>
            </w:pPr>
            <w:r>
              <w:rPr>
                <w:rFonts w:eastAsia="SimSun"/>
                <w:sz w:val="22"/>
                <w:szCs w:val="22"/>
                <w:lang w:val="en-US" w:eastAsia="zh-CN"/>
              </w:rPr>
              <w:t>We are open to discussing the two issues identified by Apple and Qualcomm regarding SRS-CS + UL Tx and SRS-CS + UL-CA.</w:t>
            </w:r>
          </w:p>
          <w:p w14:paraId="1E1DCEDE" w14:textId="77777777" w:rsidR="00E46520" w:rsidRDefault="00E46520" w:rsidP="00E46520">
            <w:pPr>
              <w:spacing w:afterLines="50" w:after="120"/>
              <w:jc w:val="both"/>
              <w:rPr>
                <w:rFonts w:eastAsia="SimSun"/>
                <w:sz w:val="22"/>
                <w:szCs w:val="22"/>
                <w:lang w:val="en-US" w:eastAsia="zh-CN"/>
              </w:rPr>
            </w:pPr>
            <w:r>
              <w:rPr>
                <w:rFonts w:eastAsia="SimSun"/>
                <w:sz w:val="22"/>
                <w:szCs w:val="22"/>
                <w:lang w:val="en-US" w:eastAsia="zh-CN"/>
              </w:rPr>
              <w:t xml:space="preserve">As to SRS-CS + UL Tx, it seems that </w:t>
            </w:r>
            <w:r>
              <w:rPr>
                <w:rFonts w:eastAsia="SimSun"/>
                <w:i/>
                <w:iCs/>
                <w:sz w:val="22"/>
                <w:szCs w:val="22"/>
                <w:lang w:val="en-US" w:eastAsia="zh-CN"/>
              </w:rPr>
              <w:t>srs-SwitchingTimesListNR</w:t>
            </w:r>
            <w:r>
              <w:rPr>
                <w:rFonts w:eastAsia="SimSun"/>
                <w:sz w:val="22"/>
                <w:szCs w:val="22"/>
                <w:lang w:val="en-US" w:eastAsia="zh-CN"/>
              </w:rPr>
              <w:t xml:space="preserve"> may not fully address all the identified issues, as explained by Qualcomm.</w:t>
            </w:r>
          </w:p>
          <w:p w14:paraId="7895DAD2" w14:textId="77777777" w:rsidR="00E46520" w:rsidRDefault="00E46520" w:rsidP="00E46520">
            <w:pPr>
              <w:spacing w:afterLines="50" w:after="120"/>
              <w:jc w:val="both"/>
              <w:rPr>
                <w:rFonts w:eastAsia="SimSun"/>
                <w:sz w:val="22"/>
                <w:szCs w:val="22"/>
                <w:lang w:val="en-US" w:eastAsia="zh-CN"/>
              </w:rPr>
            </w:pPr>
            <w:r>
              <w:rPr>
                <w:rFonts w:eastAsia="SimSun"/>
                <w:sz w:val="22"/>
                <w:szCs w:val="22"/>
                <w:lang w:val="en-US" w:eastAsia="zh-CN"/>
              </w:rPr>
              <w:t xml:space="preserve">For SRS-CS + UL-CA, we are uncertain if </w:t>
            </w:r>
            <w:r>
              <w:rPr>
                <w:rFonts w:eastAsia="SimSun"/>
                <w:i/>
                <w:iCs/>
                <w:sz w:val="22"/>
                <w:szCs w:val="22"/>
                <w:lang w:val="en-US" w:eastAsia="zh-CN"/>
              </w:rPr>
              <w:t>srs-SwitchingTimesListNR</w:t>
            </w:r>
            <w:r>
              <w:rPr>
                <w:rFonts w:eastAsia="SimSun"/>
                <w:sz w:val="22"/>
                <w:szCs w:val="22"/>
                <w:lang w:val="en-US" w:eastAsia="zh-CN"/>
              </w:rPr>
              <w:t xml:space="preserve"> can be used to indicate the case of simultaneous SRS-CS transmissions illustrated in Figure 6 of [7]. Specifically, for each "source-target" pair, the UE can use </w:t>
            </w:r>
            <w:r>
              <w:rPr>
                <w:rFonts w:eastAsia="SimSun"/>
                <w:i/>
                <w:iCs/>
                <w:sz w:val="22"/>
                <w:szCs w:val="22"/>
                <w:lang w:val="en-US" w:eastAsia="zh-CN"/>
              </w:rPr>
              <w:t>srs-SwitchingTimesListNR</w:t>
            </w:r>
            <w:r>
              <w:rPr>
                <w:rFonts w:eastAsia="SimSun"/>
                <w:sz w:val="22"/>
                <w:szCs w:val="22"/>
                <w:lang w:val="en-US" w:eastAsia="zh-CN"/>
              </w:rPr>
              <w:t xml:space="preserve"> to indicate which other bands in the band combination are affected by the SRS switch. However, do the uplink transmissions affected on other bands include SRS-CS in addition to normal uplink transmissions such as PUSCH, PUCCH, Codebook-based SRS, etc.? </w:t>
            </w:r>
          </w:p>
          <w:p w14:paraId="02445B4E" w14:textId="27F8AD61" w:rsidR="00E46520" w:rsidRDefault="00E46520" w:rsidP="00E46520">
            <w:pPr>
              <w:spacing w:afterLines="50" w:after="120"/>
              <w:jc w:val="both"/>
              <w:rPr>
                <w:rFonts w:eastAsia="MS Mincho"/>
                <w:sz w:val="22"/>
                <w:lang w:val="en-US"/>
              </w:rPr>
            </w:pPr>
            <w:r>
              <w:rPr>
                <w:rFonts w:eastAsia="SimSun"/>
                <w:sz w:val="22"/>
                <w:szCs w:val="22"/>
                <w:lang w:val="en-US" w:eastAsia="zh-CN"/>
              </w:rPr>
              <w:t>Some clarification and alignment of understanding would be helpful.</w:t>
            </w:r>
          </w:p>
        </w:tc>
      </w:tr>
      <w:tr w:rsidR="003E650E" w14:paraId="475A0358" w14:textId="77777777" w:rsidTr="00877493">
        <w:tc>
          <w:tcPr>
            <w:tcW w:w="1680" w:type="dxa"/>
          </w:tcPr>
          <w:p w14:paraId="0FB2E803" w14:textId="3F761FA4" w:rsidR="003E650E" w:rsidRDefault="003E650E" w:rsidP="00E46520">
            <w:pPr>
              <w:spacing w:afterLines="50" w:after="120"/>
              <w:jc w:val="both"/>
              <w:rPr>
                <w:rFonts w:eastAsia="PMingLiU"/>
                <w:sz w:val="22"/>
                <w:lang w:val="en-US" w:eastAsia="zh-TW"/>
              </w:rPr>
            </w:pPr>
            <w:r>
              <w:rPr>
                <w:rFonts w:eastAsia="PMingLiU"/>
                <w:sz w:val="22"/>
                <w:lang w:val="en-US" w:eastAsia="zh-TW"/>
              </w:rPr>
              <w:t>Verizon</w:t>
            </w:r>
          </w:p>
        </w:tc>
        <w:tc>
          <w:tcPr>
            <w:tcW w:w="1121" w:type="dxa"/>
          </w:tcPr>
          <w:p w14:paraId="5D7B67F8" w14:textId="31A8AEEB" w:rsidR="003E650E" w:rsidRPr="00CA04EA" w:rsidRDefault="003E650E" w:rsidP="00E46520">
            <w:pPr>
              <w:spacing w:afterLines="50" w:after="120"/>
              <w:jc w:val="both"/>
              <w:rPr>
                <w:rFonts w:eastAsiaTheme="minorEastAsia"/>
                <w:sz w:val="22"/>
                <w:lang w:val="en-US" w:eastAsia="zh-CN"/>
              </w:rPr>
            </w:pPr>
            <w:r>
              <w:rPr>
                <w:rFonts w:eastAsiaTheme="minorEastAsia"/>
                <w:sz w:val="22"/>
                <w:lang w:val="en-US" w:eastAsia="zh-CN"/>
              </w:rPr>
              <w:t>Y</w:t>
            </w:r>
          </w:p>
        </w:tc>
        <w:tc>
          <w:tcPr>
            <w:tcW w:w="6822" w:type="dxa"/>
          </w:tcPr>
          <w:p w14:paraId="62508DBA" w14:textId="38F92EB0" w:rsidR="003E650E" w:rsidRDefault="003E650E" w:rsidP="00E46520">
            <w:pPr>
              <w:spacing w:afterLines="50" w:after="120"/>
              <w:jc w:val="both"/>
              <w:rPr>
                <w:rFonts w:eastAsia="SimSun"/>
                <w:sz w:val="22"/>
                <w:szCs w:val="22"/>
                <w:lang w:val="en-US" w:eastAsia="zh-CN"/>
              </w:rPr>
            </w:pPr>
            <w:r>
              <w:rPr>
                <w:rFonts w:eastAsia="SimSun"/>
                <w:sz w:val="22"/>
                <w:szCs w:val="22"/>
                <w:lang w:val="en-US" w:eastAsia="zh-CN"/>
              </w:rPr>
              <w:t>We support this proposal.</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ListParagraph"/>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ListParagraph"/>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ListParagraph"/>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ListParagraph"/>
              <w:numPr>
                <w:ilvl w:val="1"/>
                <w:numId w:val="34"/>
              </w:numPr>
              <w:ind w:leftChars="0"/>
              <w:contextualSpacing/>
              <w:rPr>
                <w:b/>
                <w:sz w:val="18"/>
                <w:szCs w:val="18"/>
              </w:rPr>
            </w:pPr>
            <w:r>
              <w:rPr>
                <w:b/>
                <w:sz w:val="18"/>
                <w:szCs w:val="18"/>
              </w:rPr>
              <w:lastRenderedPageBreak/>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C0201FD"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ListParagraph"/>
        <w:numPr>
          <w:ilvl w:val="1"/>
          <w:numId w:val="20"/>
        </w:numPr>
        <w:ind w:leftChars="0"/>
        <w:jc w:val="both"/>
        <w:rPr>
          <w:b/>
        </w:rPr>
      </w:pPr>
      <w:r>
        <w:rPr>
          <w:b/>
        </w:rPr>
        <w:t>The new capability is per band combination.</w:t>
      </w:r>
    </w:p>
    <w:p w14:paraId="27D577F8" w14:textId="77777777" w:rsidR="007D6A83" w:rsidRDefault="00245759">
      <w:pPr>
        <w:pStyle w:val="ListParagraph"/>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ListParagraph"/>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BEAE60F" w14:textId="77777777" w:rsidR="007D6A83" w:rsidRDefault="00245759">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3733CC43"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sidR="00877493">
        <w:rPr>
          <w:rFonts w:eastAsia="MS Mincho" w:cs="Batang" w:hint="eastAsia"/>
          <w:color w:val="FF0000"/>
          <w:sz w:val="22"/>
          <w:szCs w:val="22"/>
        </w:rPr>
        <w:t>, Apple</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r>
              <w:rPr>
                <w:i/>
                <w:iCs/>
                <w:lang w:eastAsia="en-GB"/>
              </w:rPr>
              <w:t>SwitchingAffectedBandsListNR</w:t>
            </w:r>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r>
              <w:rPr>
                <w:i/>
                <w:iCs/>
                <w:lang w:eastAsia="en-GB"/>
              </w:rPr>
              <w:t>SwitchingAffectedBandsListNR</w:t>
            </w:r>
            <w:r>
              <w:rPr>
                <w:lang w:eastAsia="en-GB"/>
              </w:rPr>
              <w:t xml:space="preserve"> makes a band enter the prioritization rules in 38.214 Section 6.2.1.3. These rules are about SRS carrier </w:t>
            </w:r>
            <w:r>
              <w:rPr>
                <w:lang w:eastAsia="en-GB"/>
              </w:rPr>
              <w:lastRenderedPageBreak/>
              <w:t xml:space="preserve">switching vs normal uplink carrier. There is no priority rule defined for SRS CS + SRS CS transmissions that are conflicting according to </w:t>
            </w:r>
            <w:r>
              <w:rPr>
                <w:i/>
                <w:iCs/>
                <w:lang w:eastAsia="en-GB"/>
              </w:rPr>
              <w:t>SwitchingAffectedBandsListNR</w:t>
            </w:r>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r>
              <w:rPr>
                <w:i/>
                <w:iCs/>
                <w:lang w:eastAsia="en-GB"/>
              </w:rPr>
              <w:t>SwitchingAffectedBandsListNR</w:t>
            </w:r>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r>
              <w:rPr>
                <w:i/>
                <w:iCs/>
                <w:lang w:eastAsia="en-GB"/>
              </w:rPr>
              <w:t>SwitchingAffectedBandsListNR,</w:t>
            </w:r>
            <w:r>
              <w:rPr>
                <w:lang w:eastAsia="en-GB"/>
              </w:rPr>
              <w:t xml:space="preserve"> if simultanoues transmission is not possible. But it does not go the other way, i.e. if UE is able to do simultaneous transmission, it will be for which uplink channels (on a CC rather than source)+SRS-AS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by taking into account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4A80ED14">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Caption"/>
              <w:jc w:val="center"/>
              <w:rPr>
                <w:sz w:val="18"/>
                <w:szCs w:val="18"/>
              </w:rPr>
            </w:pPr>
            <w:r>
              <w:rPr>
                <w:sz w:val="18"/>
                <w:szCs w:val="18"/>
              </w:rPr>
              <w:t>Figure 3: Proposal evaluation for eType-II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lastRenderedPageBreak/>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DeltaPower containing an offset </w:t>
            </w:r>
            <w:r>
              <w:rPr>
                <w:rFonts w:eastAsia="Times New Roman"/>
                <w:b/>
                <w:bCs/>
                <w:i/>
                <w:iCs/>
                <w:sz w:val="18"/>
                <w:szCs w:val="18"/>
              </w:rPr>
              <w:t>DeltaPowerPerAP</w:t>
            </w:r>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57171185" w14:textId="77777777" w:rsidR="007D6A83"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B07F083"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18" w:name="_Hlk178586617"/>
            <w:r w:rsidR="00245759">
              <w:rPr>
                <w:rFonts w:eastAsiaTheme="minorEastAsia"/>
                <w:b/>
                <w:bCs/>
                <w:sz w:val="18"/>
                <w:szCs w:val="18"/>
                <w:lang w:val="en-US"/>
              </w:rPr>
              <w:t>across the antenna ports</w:t>
            </w:r>
            <w:bookmarkEnd w:id="18"/>
            <w:r w:rsidR="00245759">
              <w:rPr>
                <w:rFonts w:eastAsiaTheme="minorEastAsia"/>
                <w:b/>
                <w:bCs/>
                <w:sz w:val="18"/>
                <w:szCs w:val="18"/>
                <w:lang w:val="en-US"/>
              </w:rPr>
              <w:t>,</w:t>
            </w:r>
          </w:p>
          <w:p w14:paraId="6AA29938"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2218C35C"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1" w:name="_Hlk179205669"/>
          <w:bookmarkEnd w:id="20"/>
          <w:p w14:paraId="2B0B60DD"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DeltaPower containing an offset </w:t>
      </w:r>
      <w:r>
        <w:rPr>
          <w:b/>
          <w:bCs/>
          <w:i/>
          <w:iCs/>
          <w:sz w:val="22"/>
          <w:szCs w:val="22"/>
        </w:rPr>
        <w:t>DeltaPowerPerAP</w:t>
      </w:r>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gNodeB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lastRenderedPageBreak/>
              <w:t>If the feedback CSI is mismatched from a power perspective, the gNodeB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Lenovo/ MotM</w:t>
            </w:r>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If it is 2), we have questions for the performance curve: How to understand SE v.s.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CommentText"/>
              <w:rPr>
                <w:rFonts w:eastAsiaTheme="minorEastAsia"/>
                <w:bCs/>
                <w:lang w:eastAsia="zh-CN"/>
              </w:rPr>
            </w:pPr>
            <w:r>
              <w:rPr>
                <w:rFonts w:eastAsiaTheme="minorEastAsia"/>
                <w:lang w:eastAsia="zh-CN"/>
              </w:rPr>
              <w:t xml:space="preserve">First, </w:t>
            </w:r>
            <w:r>
              <w:rPr>
                <w:rFonts w:eastAsia="Calibri"/>
                <w:i/>
              </w:rPr>
              <w:t xml:space="preserve">powerControlOffset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the main target use case of eType-II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ListParagraph"/>
              <w:numPr>
                <w:ilvl w:val="0"/>
                <w:numId w:val="39"/>
              </w:numPr>
              <w:spacing w:afterLines="50" w:after="120"/>
              <w:ind w:leftChars="0"/>
              <w:jc w:val="both"/>
              <w:rPr>
                <w:sz w:val="22"/>
                <w:lang w:val="en-US"/>
              </w:rPr>
            </w:pPr>
            <w:r>
              <w:rPr>
                <w:sz w:val="22"/>
                <w:lang w:val="en-US"/>
              </w:rPr>
              <w:lastRenderedPageBreak/>
              <w:t>LPC constraint is not a problem in gNB implementation as long as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lastRenderedPageBreak/>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eType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w:t>
            </w:r>
            <w:r>
              <w:rPr>
                <w:rFonts w:eastAsia="Malgun Gothic"/>
                <w:sz w:val="18"/>
                <w:szCs w:val="18"/>
                <w:lang w:eastAsia="ko-KR"/>
              </w:rPr>
              <w:lastRenderedPageBreak/>
              <w:t xml:space="preserve">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Caption"/>
              <w:jc w:val="center"/>
              <w:rPr>
                <w:rFonts w:eastAsia="DengXian"/>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2CC1CF23" w14:textId="77777777" w:rsidR="007D6A83" w:rsidRDefault="00245759">
            <w:pPr>
              <w:pStyle w:val="Caption"/>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ListParagraph"/>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20CEC9F0" w:rsidR="007D6A83" w:rsidRDefault="00245759">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5"/>
        <w:gridCol w:w="1411"/>
        <w:gridCol w:w="6562"/>
      </w:tblGrid>
      <w:tr w:rsidR="007D6A83" w14:paraId="70A9C181" w14:textId="77777777" w:rsidTr="00E46520">
        <w:tc>
          <w:tcPr>
            <w:tcW w:w="1655"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411" w:type="dxa"/>
            <w:shd w:val="clear" w:color="auto" w:fill="F2F2F2" w:themeFill="background1" w:themeFillShade="F2"/>
          </w:tcPr>
          <w:p w14:paraId="7D5C472F"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56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rsidTr="00E46520">
        <w:tc>
          <w:tcPr>
            <w:tcW w:w="1655"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411" w:type="dxa"/>
          </w:tcPr>
          <w:p w14:paraId="08E17722" w14:textId="77777777" w:rsidR="007D6A83" w:rsidRDefault="007D6A83">
            <w:pPr>
              <w:spacing w:afterLines="50" w:after="120"/>
              <w:jc w:val="both"/>
              <w:rPr>
                <w:rFonts w:eastAsia="Malgun Gothic"/>
                <w:sz w:val="22"/>
                <w:lang w:val="en-US" w:eastAsia="ko-KR"/>
              </w:rPr>
            </w:pPr>
          </w:p>
        </w:tc>
        <w:tc>
          <w:tcPr>
            <w:tcW w:w="6562" w:type="dxa"/>
          </w:tcPr>
          <w:p w14:paraId="4CA403C1"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rsidTr="00E46520">
        <w:tc>
          <w:tcPr>
            <w:tcW w:w="1655"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411"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562" w:type="dxa"/>
          </w:tcPr>
          <w:p w14:paraId="25F1401C" w14:textId="77777777" w:rsidR="007D6A83" w:rsidRDefault="00245759">
            <w:pPr>
              <w:pStyle w:val="CommentText"/>
            </w:pPr>
            <w:r>
              <w:t>Reasons:</w:t>
            </w:r>
          </w:p>
          <w:p w14:paraId="33352C9E" w14:textId="77777777" w:rsidR="007D6A83" w:rsidRDefault="00245759">
            <w:pPr>
              <w:pStyle w:val="CommentText"/>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CommentText"/>
              <w:numPr>
                <w:ilvl w:val="0"/>
                <w:numId w:val="40"/>
              </w:numPr>
            </w:pPr>
            <w:r>
              <w:t>UL latency reduction for SSSG is not necessary.</w:t>
            </w:r>
          </w:p>
          <w:p w14:paraId="2BC9220B" w14:textId="77777777" w:rsidR="007D6A83" w:rsidRDefault="00245759">
            <w:pPr>
              <w:pStyle w:val="CommentText"/>
            </w:pPr>
            <w:r>
              <w:t>This issue is similar to PDCCH skipping termination by SR. But there is difference from PDCCH skipping.</w:t>
            </w:r>
          </w:p>
          <w:p w14:paraId="5E2BCAB3" w14:textId="77777777" w:rsidR="007D6A83" w:rsidRDefault="00245759">
            <w:pPr>
              <w:pStyle w:val="CommentText"/>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CommentText"/>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rsidTr="00E46520">
        <w:tc>
          <w:tcPr>
            <w:tcW w:w="1655"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411" w:type="dxa"/>
          </w:tcPr>
          <w:p w14:paraId="04B0FD06" w14:textId="77777777" w:rsidR="007D6A83" w:rsidRDefault="00245759">
            <w:pPr>
              <w:spacing w:afterLines="50" w:after="120"/>
              <w:jc w:val="both"/>
              <w:rPr>
                <w:sz w:val="22"/>
                <w:lang w:val="en-US"/>
              </w:rPr>
            </w:pPr>
            <w:r>
              <w:rPr>
                <w:sz w:val="22"/>
                <w:lang w:val="en-US"/>
              </w:rPr>
              <w:t>Y</w:t>
            </w:r>
          </w:p>
        </w:tc>
        <w:tc>
          <w:tcPr>
            <w:tcW w:w="656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gNB,  </w:t>
            </w:r>
            <w:r>
              <w:rPr>
                <w:rFonts w:eastAsiaTheme="minorEastAsia" w:hint="eastAsia"/>
                <w:sz w:val="22"/>
                <w:lang w:val="en-US" w:eastAsia="zh-CN"/>
              </w:rPr>
              <w:t>g</w:t>
            </w:r>
            <w:r>
              <w:rPr>
                <w:rFonts w:eastAsiaTheme="minorEastAsia"/>
                <w:sz w:val="22"/>
                <w:lang w:val="en-US" w:eastAsia="zh-CN"/>
              </w:rPr>
              <w:t xml:space="preserve">NB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rsidTr="00E46520">
        <w:tc>
          <w:tcPr>
            <w:tcW w:w="1655"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411" w:type="dxa"/>
          </w:tcPr>
          <w:p w14:paraId="7EF18A5E" w14:textId="77777777" w:rsidR="007D6A83" w:rsidRDefault="00245759">
            <w:pPr>
              <w:spacing w:afterLines="50" w:after="120"/>
              <w:jc w:val="both"/>
              <w:rPr>
                <w:sz w:val="22"/>
                <w:lang w:val="en-US"/>
              </w:rPr>
            </w:pPr>
            <w:r>
              <w:rPr>
                <w:sz w:val="22"/>
                <w:lang w:val="en-US"/>
              </w:rPr>
              <w:t>Y</w:t>
            </w:r>
          </w:p>
        </w:tc>
        <w:tc>
          <w:tcPr>
            <w:tcW w:w="656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rsidTr="00E46520">
        <w:tc>
          <w:tcPr>
            <w:tcW w:w="1655"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411"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56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rsidTr="00E46520">
        <w:tc>
          <w:tcPr>
            <w:tcW w:w="1655"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411" w:type="dxa"/>
          </w:tcPr>
          <w:p w14:paraId="00CC1273" w14:textId="77777777" w:rsidR="007D6A83" w:rsidRDefault="007D6A83">
            <w:pPr>
              <w:spacing w:afterLines="50" w:after="120"/>
              <w:jc w:val="both"/>
              <w:rPr>
                <w:rFonts w:eastAsiaTheme="minorEastAsia"/>
                <w:sz w:val="22"/>
                <w:lang w:val="en-US" w:eastAsia="zh-CN"/>
              </w:rPr>
            </w:pPr>
          </w:p>
        </w:tc>
        <w:tc>
          <w:tcPr>
            <w:tcW w:w="656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rsidTr="00E46520">
        <w:tc>
          <w:tcPr>
            <w:tcW w:w="1655"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411"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56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rsidTr="00E46520">
        <w:tc>
          <w:tcPr>
            <w:tcW w:w="1655" w:type="dxa"/>
          </w:tcPr>
          <w:p w14:paraId="3FBDD44F" w14:textId="77777777" w:rsidR="007D6A83" w:rsidRDefault="00245759">
            <w:pPr>
              <w:spacing w:afterLines="50" w:after="120"/>
              <w:jc w:val="both"/>
              <w:rPr>
                <w:sz w:val="22"/>
                <w:lang w:val="en-US"/>
              </w:rPr>
            </w:pPr>
            <w:r>
              <w:rPr>
                <w:sz w:val="22"/>
                <w:lang w:val="en-US"/>
              </w:rPr>
              <w:lastRenderedPageBreak/>
              <w:t>Nokia</w:t>
            </w:r>
          </w:p>
        </w:tc>
        <w:tc>
          <w:tcPr>
            <w:tcW w:w="1411" w:type="dxa"/>
          </w:tcPr>
          <w:p w14:paraId="7086A0FB" w14:textId="77777777" w:rsidR="007D6A83" w:rsidRDefault="00245759">
            <w:pPr>
              <w:spacing w:afterLines="50" w:after="120"/>
              <w:jc w:val="both"/>
              <w:rPr>
                <w:sz w:val="22"/>
                <w:lang w:val="en-US"/>
              </w:rPr>
            </w:pPr>
            <w:r>
              <w:rPr>
                <w:sz w:val="22"/>
                <w:lang w:val="en-US"/>
              </w:rPr>
              <w:t>TBD</w:t>
            </w:r>
          </w:p>
        </w:tc>
        <w:tc>
          <w:tcPr>
            <w:tcW w:w="656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rsidTr="00E46520">
        <w:tc>
          <w:tcPr>
            <w:tcW w:w="1655"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411"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56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rsidR="007D6A83" w14:paraId="6CA463F6" w14:textId="77777777" w:rsidTr="00E46520">
        <w:tc>
          <w:tcPr>
            <w:tcW w:w="1655"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411" w:type="dxa"/>
          </w:tcPr>
          <w:p w14:paraId="41D5791E" w14:textId="77777777" w:rsidR="007D6A83" w:rsidRDefault="007D6A83">
            <w:pPr>
              <w:spacing w:afterLines="50" w:after="120"/>
              <w:jc w:val="both"/>
              <w:rPr>
                <w:rFonts w:eastAsia="SimSun"/>
                <w:sz w:val="22"/>
                <w:lang w:val="en-US" w:eastAsia="zh-CN"/>
              </w:rPr>
            </w:pPr>
          </w:p>
        </w:tc>
        <w:tc>
          <w:tcPr>
            <w:tcW w:w="656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rsidTr="00E46520">
        <w:tc>
          <w:tcPr>
            <w:tcW w:w="1655"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411" w:type="dxa"/>
          </w:tcPr>
          <w:p w14:paraId="6A5EF4F9" w14:textId="77777777" w:rsidR="007D6A83" w:rsidRDefault="007D6A83">
            <w:pPr>
              <w:spacing w:afterLines="50" w:after="120"/>
              <w:jc w:val="both"/>
              <w:rPr>
                <w:rFonts w:eastAsia="SimSun"/>
                <w:sz w:val="22"/>
                <w:lang w:val="en-US" w:eastAsia="zh-CN"/>
              </w:rPr>
            </w:pPr>
          </w:p>
        </w:tc>
        <w:tc>
          <w:tcPr>
            <w:tcW w:w="656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rsidTr="00E46520">
        <w:tc>
          <w:tcPr>
            <w:tcW w:w="1655"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411" w:type="dxa"/>
          </w:tcPr>
          <w:p w14:paraId="0362B9D8" w14:textId="3A5E0CA9" w:rsidR="00E00014" w:rsidRDefault="00E00014">
            <w:pPr>
              <w:spacing w:afterLines="50" w:after="120"/>
              <w:jc w:val="both"/>
              <w:rPr>
                <w:rFonts w:eastAsia="SimSun"/>
                <w:sz w:val="22"/>
                <w:lang w:val="en-US" w:eastAsia="zh-CN"/>
              </w:rPr>
            </w:pPr>
            <w:r>
              <w:rPr>
                <w:rFonts w:eastAsia="SimSun" w:hint="eastAsia"/>
                <w:sz w:val="22"/>
                <w:lang w:val="en-US" w:eastAsia="zh-CN"/>
              </w:rPr>
              <w:t>N</w:t>
            </w:r>
          </w:p>
        </w:tc>
        <w:tc>
          <w:tcPr>
            <w:tcW w:w="656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similar to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behaviour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behaviour.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rsidTr="00E46520">
        <w:tc>
          <w:tcPr>
            <w:tcW w:w="1655"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411" w:type="dxa"/>
          </w:tcPr>
          <w:p w14:paraId="0061FE64" w14:textId="15B748F6" w:rsidR="004E4F2E" w:rsidRDefault="004E4F2E">
            <w:pPr>
              <w:spacing w:afterLines="50" w:after="120"/>
              <w:jc w:val="both"/>
              <w:rPr>
                <w:rFonts w:eastAsia="SimSun"/>
                <w:sz w:val="22"/>
                <w:lang w:val="en-US" w:eastAsia="zh-CN"/>
              </w:rPr>
            </w:pPr>
            <w:r>
              <w:rPr>
                <w:rFonts w:eastAsia="SimSun"/>
                <w:sz w:val="22"/>
                <w:lang w:val="en-US" w:eastAsia="zh-CN"/>
              </w:rPr>
              <w:t>Yes</w:t>
            </w:r>
          </w:p>
        </w:tc>
        <w:tc>
          <w:tcPr>
            <w:tcW w:w="656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rsidTr="00E46520">
        <w:tc>
          <w:tcPr>
            <w:tcW w:w="1655"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t>Qualcomm</w:t>
            </w:r>
          </w:p>
        </w:tc>
        <w:tc>
          <w:tcPr>
            <w:tcW w:w="1411" w:type="dxa"/>
          </w:tcPr>
          <w:p w14:paraId="04DB538D" w14:textId="77777777" w:rsidR="004926C1" w:rsidRDefault="004926C1" w:rsidP="004926C1">
            <w:pPr>
              <w:spacing w:afterLines="50" w:after="120"/>
              <w:jc w:val="both"/>
              <w:rPr>
                <w:rFonts w:eastAsia="SimSun"/>
                <w:sz w:val="22"/>
                <w:lang w:val="en-US" w:eastAsia="zh-CN"/>
              </w:rPr>
            </w:pPr>
          </w:p>
        </w:tc>
        <w:tc>
          <w:tcPr>
            <w:tcW w:w="656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Misalignment between gNB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The issue of SSSG misalignment is not unique to this SR overriding scenario. During the Rel-17 UE power saving discussions, the same issue </w:t>
            </w:r>
            <w:r w:rsidRPr="00614FE8">
              <w:rPr>
                <w:rFonts w:eastAsia="Malgun Gothic"/>
                <w:sz w:val="22"/>
                <w:lang w:val="en-US" w:eastAsia="ko-KR"/>
              </w:rPr>
              <w:lastRenderedPageBreak/>
              <w:t>was identified in various scenarios. For instance, the gNB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In the Rel-17 discussions, however, RAN1 decided not to pursue any complex mechanisms to handle the misalignment (except for the inactivity timer-based fallback to SSSG #0), leaving it up to gNB implementation. For example, as Huawei/HiSilicon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We believe the same principle should apply here. There are transparent solutions addressing the misalignment issue, and it can be left up to gNB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For example, in a random and bursty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rsidTr="00E46520">
        <w:tc>
          <w:tcPr>
            <w:tcW w:w="1655" w:type="dxa"/>
          </w:tcPr>
          <w:p w14:paraId="7BC11B30" w14:textId="63FF4703" w:rsidR="009355E2" w:rsidRDefault="009355E2" w:rsidP="004926C1">
            <w:pPr>
              <w:spacing w:afterLines="50" w:after="120"/>
              <w:jc w:val="both"/>
              <w:rPr>
                <w:rFonts w:eastAsia="Malgun Gothic"/>
                <w:sz w:val="22"/>
                <w:lang w:eastAsia="ko-KR"/>
              </w:rPr>
            </w:pPr>
            <w:r>
              <w:rPr>
                <w:rFonts w:eastAsia="Malgun Gothic"/>
                <w:sz w:val="22"/>
                <w:lang w:eastAsia="ko-KR"/>
              </w:rPr>
              <w:lastRenderedPageBreak/>
              <w:t>Apple</w:t>
            </w:r>
          </w:p>
        </w:tc>
        <w:tc>
          <w:tcPr>
            <w:tcW w:w="1411" w:type="dxa"/>
          </w:tcPr>
          <w:p w14:paraId="3A3D067C" w14:textId="61AA37A2" w:rsidR="009355E2" w:rsidRDefault="009355E2" w:rsidP="004926C1">
            <w:pPr>
              <w:spacing w:afterLines="50" w:after="120"/>
              <w:jc w:val="both"/>
              <w:rPr>
                <w:rFonts w:eastAsia="SimSun"/>
                <w:sz w:val="22"/>
                <w:lang w:val="en-US" w:eastAsia="zh-CN"/>
              </w:rPr>
            </w:pPr>
            <w:r>
              <w:rPr>
                <w:rFonts w:eastAsia="SimSun"/>
                <w:sz w:val="22"/>
                <w:lang w:val="en-US" w:eastAsia="zh-CN"/>
              </w:rPr>
              <w:t>No</w:t>
            </w:r>
          </w:p>
        </w:tc>
        <w:tc>
          <w:tcPr>
            <w:tcW w:w="656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Vivo’s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On misalignment between UE and gNB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r w:rsidR="00CA04EA" w14:paraId="7E4E3EF2" w14:textId="77777777" w:rsidTr="00E46520">
        <w:tc>
          <w:tcPr>
            <w:tcW w:w="1655" w:type="dxa"/>
          </w:tcPr>
          <w:p w14:paraId="6C95901D" w14:textId="337DAFBA" w:rsidR="00CA04EA" w:rsidRDefault="00CA04EA" w:rsidP="00CA04EA">
            <w:pPr>
              <w:spacing w:afterLines="50" w:after="120"/>
              <w:jc w:val="both"/>
              <w:rPr>
                <w:rFonts w:eastAsia="Malgun Gothic"/>
                <w:sz w:val="22"/>
                <w:lang w:eastAsia="ko-KR"/>
              </w:rPr>
            </w:pPr>
            <w:r>
              <w:rPr>
                <w:rFonts w:eastAsia="Malgun Gothic"/>
                <w:sz w:val="22"/>
                <w:lang w:eastAsia="ko-KR"/>
              </w:rPr>
              <w:t>Samsung</w:t>
            </w:r>
          </w:p>
        </w:tc>
        <w:tc>
          <w:tcPr>
            <w:tcW w:w="1411" w:type="dxa"/>
          </w:tcPr>
          <w:p w14:paraId="40C6A571" w14:textId="77CB4058" w:rsidR="00CA04EA" w:rsidRDefault="00CA04EA" w:rsidP="00CA04EA">
            <w:pPr>
              <w:spacing w:afterLines="50" w:after="120"/>
              <w:jc w:val="both"/>
              <w:rPr>
                <w:rFonts w:eastAsia="SimSun"/>
                <w:sz w:val="22"/>
                <w:lang w:val="en-US" w:eastAsia="zh-CN"/>
              </w:rPr>
            </w:pPr>
            <w:r>
              <w:rPr>
                <w:rFonts w:eastAsia="SimSun"/>
                <w:sz w:val="22"/>
                <w:lang w:val="en-US" w:eastAsia="zh-CN"/>
              </w:rPr>
              <w:t>N</w:t>
            </w:r>
          </w:p>
        </w:tc>
        <w:tc>
          <w:tcPr>
            <w:tcW w:w="6562" w:type="dxa"/>
          </w:tcPr>
          <w:p w14:paraId="1FC5B219" w14:textId="4B705EA3" w:rsidR="00CA04EA" w:rsidRDefault="00CA04EA" w:rsidP="00CA04EA">
            <w:pPr>
              <w:spacing w:afterLines="50" w:after="120"/>
              <w:jc w:val="both"/>
              <w:rPr>
                <w:rFonts w:eastAsia="Malgun Gothic"/>
                <w:sz w:val="22"/>
                <w:lang w:val="en-US" w:eastAsia="ko-KR"/>
              </w:rPr>
            </w:pPr>
            <w:r>
              <w:rPr>
                <w:rFonts w:eastAsia="Malgun Gothic"/>
                <w:sz w:val="22"/>
                <w:lang w:val="en-US" w:eastAsia="ko-KR"/>
              </w:rPr>
              <w:t xml:space="preserve">The proposal is reasonable but it is an optimization and, if there is a latency issue, the proposal will not solve it. For latency sensitive services, such as URLLC-like applications, SSSG switching is not appropriate. For latency non-sensitive services, such as eMBB applications, a latency increase cannot be avoided as the case of data arrival in the DL cannot be addressed. Therefore, any improvement can only be partial for data arrival in the UL. Further, for eMBB applications where data arrival is typically more likely in the DL, the benefit of some latency reduction in the UL becomes even less important in the overall operation. </w:t>
            </w:r>
          </w:p>
        </w:tc>
      </w:tr>
      <w:tr w:rsidR="000F4F3C" w:rsidRPr="00614FE8" w14:paraId="4182C340" w14:textId="77777777" w:rsidTr="00E46520">
        <w:tc>
          <w:tcPr>
            <w:tcW w:w="1655" w:type="dxa"/>
          </w:tcPr>
          <w:p w14:paraId="2A1AFDBC"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lastRenderedPageBreak/>
              <w:t>Huawei, HiSilicon</w:t>
            </w:r>
          </w:p>
        </w:tc>
        <w:tc>
          <w:tcPr>
            <w:tcW w:w="1411" w:type="dxa"/>
          </w:tcPr>
          <w:p w14:paraId="6884E252"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t>Yes, if nested SSSG configuration is included in this TEI</w:t>
            </w:r>
          </w:p>
        </w:tc>
        <w:tc>
          <w:tcPr>
            <w:tcW w:w="6562" w:type="dxa"/>
          </w:tcPr>
          <w:p w14:paraId="4CEB5980" w14:textId="77777777" w:rsidR="000F4F3C" w:rsidRDefault="000F4F3C" w:rsidP="000F4F3C">
            <w:pPr>
              <w:spacing w:afterLines="50" w:after="120"/>
              <w:ind w:left="9"/>
              <w:rPr>
                <w:rFonts w:eastAsiaTheme="minorEastAsia"/>
                <w:sz w:val="22"/>
                <w:lang w:val="en-US" w:eastAsia="zh-CN"/>
              </w:rPr>
            </w:pPr>
            <w:r>
              <w:rPr>
                <w:rFonts w:eastAsia="Malgun Gothic"/>
                <w:sz w:val="22"/>
                <w:lang w:val="en-US" w:eastAsia="ko-KR"/>
              </w:rPr>
              <w:t>Firstly, we think this issue should be resolved for SSSG switching feature to minimize the latency impact. If this cannot be resolved, the gNB may not tend to switch a UE to the sparsely monitored SSSG, which would on the other hand impact the power saving gain obtained by the UE.</w:t>
            </w:r>
            <w:r>
              <w:rPr>
                <w:rFonts w:eastAsiaTheme="minorEastAsia"/>
                <w:sz w:val="22"/>
                <w:lang w:val="en-US" w:eastAsia="zh-CN"/>
              </w:rPr>
              <w:t xml:space="preserve"> </w:t>
            </w:r>
          </w:p>
          <w:p w14:paraId="7BD56B0C" w14:textId="77777777" w:rsidR="000F4F3C" w:rsidRDefault="000F4F3C" w:rsidP="000F4F3C">
            <w:pPr>
              <w:spacing w:afterLines="50" w:after="120"/>
              <w:ind w:left="9"/>
              <w:rPr>
                <w:rFonts w:eastAsia="Malgun Gothic"/>
                <w:sz w:val="22"/>
                <w:lang w:val="en-US" w:eastAsia="ko-KR"/>
              </w:rPr>
            </w:pPr>
            <w:r>
              <w:rPr>
                <w:rFonts w:eastAsia="Malgun Gothic"/>
                <w:sz w:val="22"/>
                <w:lang w:val="en-US" w:eastAsia="ko-KR"/>
              </w:rPr>
              <w:t>Secondly, we do see the issue of mis-alignment of SSSG switching, and this mis-alignment happens when SR is introduced, therefore, we would like to resolve this mis-alignment issue together with the SR optimization.</w:t>
            </w:r>
          </w:p>
          <w:p w14:paraId="4578AC9C" w14:textId="77777777" w:rsidR="000F4F3C" w:rsidRPr="00614FE8" w:rsidRDefault="000F4F3C" w:rsidP="000F4F3C">
            <w:pPr>
              <w:spacing w:afterLines="50" w:after="120"/>
              <w:ind w:left="9"/>
              <w:rPr>
                <w:rFonts w:eastAsia="Malgun Gothic"/>
                <w:sz w:val="22"/>
                <w:lang w:val="en-US" w:eastAsia="ko-KR"/>
              </w:rPr>
            </w:pPr>
            <w:r>
              <w:rPr>
                <w:rFonts w:eastAsia="Malgun Gothic"/>
                <w:sz w:val="22"/>
                <w:lang w:val="en-US" w:eastAsia="ko-KR"/>
              </w:rPr>
              <w:t>If the nested SSSG, i.e. “</w:t>
            </w:r>
            <w:r w:rsidRPr="005C2441">
              <w:rPr>
                <w:rFonts w:eastAsia="Malgun Gothic"/>
                <w:sz w:val="22"/>
                <w:lang w:val="en-US" w:eastAsia="ko-KR"/>
              </w:rPr>
              <w:t xml:space="preserve">requiring SSSG#1 (the sparsely monitored SSSG as the subset of search spaces of SSSG#0 </w:t>
            </w:r>
            <w:r w:rsidRPr="005C2441">
              <w:rPr>
                <w:rFonts w:eastAsia="Malgun Gothic" w:hint="eastAsia"/>
                <w:sz w:val="22"/>
                <w:lang w:val="en-US" w:eastAsia="ko-KR"/>
              </w:rPr>
              <w:t>(</w:t>
            </w:r>
            <w:r w:rsidRPr="005C2441">
              <w:rPr>
                <w:rFonts w:eastAsia="Malgun Gothic"/>
                <w:sz w:val="22"/>
                <w:lang w:val="en-US" w:eastAsia="ko-KR"/>
              </w:rPr>
              <w:t>the densely monitored SSSG)”,</w:t>
            </w:r>
            <w:r>
              <w:rPr>
                <w:rFonts w:eastAsia="Malgun Gothic"/>
                <w:sz w:val="22"/>
                <w:lang w:val="en-US" w:eastAsia="ko-KR"/>
              </w:rPr>
              <w:t xml:space="preserve"> can be included in the proposal, we are willing to support this TEI.</w:t>
            </w:r>
          </w:p>
        </w:tc>
      </w:tr>
      <w:tr w:rsidR="00E46520" w:rsidRPr="00614FE8" w14:paraId="3FF26E94" w14:textId="77777777" w:rsidTr="00E46520">
        <w:tc>
          <w:tcPr>
            <w:tcW w:w="1655" w:type="dxa"/>
          </w:tcPr>
          <w:p w14:paraId="5F3CD725" w14:textId="2E06E458" w:rsidR="00E46520" w:rsidRPr="005C2441" w:rsidRDefault="00E46520" w:rsidP="00E46520">
            <w:pPr>
              <w:spacing w:afterLines="50" w:after="120"/>
              <w:ind w:left="9"/>
              <w:rPr>
                <w:rFonts w:eastAsia="Malgun Gothic"/>
                <w:sz w:val="22"/>
                <w:lang w:val="en-US" w:eastAsia="ko-KR"/>
              </w:rPr>
            </w:pPr>
            <w:r>
              <w:rPr>
                <w:rFonts w:eastAsia="Malgun Gothic"/>
                <w:sz w:val="22"/>
                <w:lang w:val="en-US" w:eastAsia="ko-KR"/>
              </w:rPr>
              <w:t>MediaTek</w:t>
            </w:r>
          </w:p>
        </w:tc>
        <w:tc>
          <w:tcPr>
            <w:tcW w:w="1411" w:type="dxa"/>
          </w:tcPr>
          <w:p w14:paraId="3C167E1C" w14:textId="5972D7D0" w:rsidR="00E46520" w:rsidRPr="005C2441" w:rsidRDefault="00E46520" w:rsidP="00E46520">
            <w:pPr>
              <w:spacing w:afterLines="50" w:after="120"/>
              <w:ind w:left="9"/>
              <w:rPr>
                <w:rFonts w:eastAsia="Malgun Gothic"/>
                <w:sz w:val="22"/>
                <w:lang w:val="en-US" w:eastAsia="ko-KR"/>
              </w:rPr>
            </w:pPr>
            <w:r>
              <w:rPr>
                <w:rFonts w:eastAsia="Malgun Gothic"/>
                <w:sz w:val="22"/>
                <w:lang w:val="en-US" w:eastAsia="ko-KR"/>
              </w:rPr>
              <w:t>Y</w:t>
            </w:r>
          </w:p>
        </w:tc>
        <w:tc>
          <w:tcPr>
            <w:tcW w:w="6562" w:type="dxa"/>
          </w:tcPr>
          <w:p w14:paraId="25CE2A38" w14:textId="77777777" w:rsidR="00E46520" w:rsidRDefault="00E46520" w:rsidP="00E46520">
            <w:pPr>
              <w:spacing w:afterLines="50" w:after="120"/>
              <w:ind w:left="1400" w:hanging="440"/>
              <w:rPr>
                <w:rFonts w:eastAsia="Malgun Gothic"/>
                <w:sz w:val="22"/>
                <w:lang w:val="en-US" w:eastAsia="ko-KR"/>
              </w:rPr>
            </w:pPr>
            <w:r>
              <w:rPr>
                <w:rFonts w:eastAsia="Malgun Gothic"/>
                <w:sz w:val="22"/>
                <w:lang w:val="en-US" w:eastAsia="ko-KR"/>
              </w:rPr>
              <w:t xml:space="preserve">We think any misalignment issue can be resolved by usage of such PDCCH monitoring subsets (as pointed out by Huawei), and we don’t see a problem with such an approach being enabled by network implementations. </w:t>
            </w:r>
          </w:p>
          <w:p w14:paraId="45F0BF94" w14:textId="71367025" w:rsidR="00E46520" w:rsidRDefault="00E46520" w:rsidP="00E46520">
            <w:pPr>
              <w:spacing w:afterLines="50" w:after="120"/>
              <w:ind w:left="9"/>
              <w:rPr>
                <w:rFonts w:eastAsia="Malgun Gothic"/>
                <w:sz w:val="22"/>
                <w:lang w:val="en-US" w:eastAsia="ko-KR"/>
              </w:rPr>
            </w:pPr>
            <w:r>
              <w:rPr>
                <w:rFonts w:eastAsia="Malgun Gothic"/>
                <w:sz w:val="22"/>
                <w:lang w:val="en-US" w:eastAsia="ko-KR"/>
              </w:rPr>
              <w:t>We also agree with Qualcomm that the skipping and SSSG are targeting slightly different scenarios in terms of traffic characteristics.</w:t>
            </w:r>
          </w:p>
        </w:tc>
      </w:tr>
    </w:tbl>
    <w:p w14:paraId="73ADE32E" w14:textId="77777777" w:rsidR="007D6A83" w:rsidRPr="000F4F3C" w:rsidRDefault="007D6A83">
      <w:pPr>
        <w:rPr>
          <w:b/>
          <w:lang w:val="en-US"/>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mDCI based mTRP,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 xml:space="preserve">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w:t>
            </w:r>
            <w:r>
              <w:rPr>
                <w:rFonts w:eastAsia="DengXian"/>
                <w:sz w:val="18"/>
                <w:szCs w:val="18"/>
                <w:lang w:eastAsia="zh-CN"/>
              </w:rPr>
              <w:lastRenderedPageBreak/>
              <w:t>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r>
              <w:rPr>
                <w:rFonts w:asciiTheme="majorBidi" w:hAnsiTheme="majorBidi" w:cstheme="majorBidi"/>
                <w:b/>
                <w:bCs/>
                <w:i/>
                <w:iCs/>
                <w:sz w:val="18"/>
                <w:szCs w:val="18"/>
              </w:rPr>
              <w:t>coresetPoolIndex</w:t>
            </w:r>
            <w:r>
              <w:rPr>
                <w:rFonts w:asciiTheme="majorBidi" w:hAnsiTheme="majorBidi" w:cstheme="majorBidi"/>
                <w:b/>
                <w:bCs/>
                <w:sz w:val="18"/>
                <w:szCs w:val="18"/>
              </w:rPr>
              <w:t xml:space="preserve"> in </w:t>
            </w:r>
            <w:r>
              <w:rPr>
                <w:rFonts w:asciiTheme="majorBidi" w:hAnsiTheme="majorBidi" w:cstheme="majorBidi"/>
                <w:b/>
                <w:bCs/>
                <w:i/>
                <w:iCs/>
                <w:sz w:val="18"/>
                <w:szCs w:val="18"/>
              </w:rPr>
              <w:t>ControlResourceSet</w:t>
            </w:r>
            <w:r>
              <w:rPr>
                <w:rFonts w:asciiTheme="majorBidi" w:hAnsiTheme="majorBidi" w:cstheme="majorBidi"/>
                <w:b/>
                <w:bCs/>
                <w:sz w:val="18"/>
                <w:szCs w:val="18"/>
              </w:rPr>
              <w:t>.</w:t>
            </w:r>
          </w:p>
          <w:p w14:paraId="2C4ABF32"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ListParagraph"/>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r>
        <w:rPr>
          <w:b/>
          <w:bCs/>
          <w:i/>
          <w:iCs/>
        </w:rPr>
        <w:t>coresetPoolIndex</w:t>
      </w:r>
      <w:r>
        <w:rPr>
          <w:b/>
          <w:bCs/>
        </w:rPr>
        <w:t xml:space="preserve"> in </w:t>
      </w:r>
      <w:r>
        <w:rPr>
          <w:b/>
          <w:bCs/>
          <w:i/>
          <w:iCs/>
        </w:rPr>
        <w:t>ControlResourceSet</w:t>
      </w:r>
      <w:r>
        <w:rPr>
          <w:b/>
          <w:bCs/>
        </w:rPr>
        <w:t>.</w:t>
      </w:r>
    </w:p>
    <w:p w14:paraId="550A2E69" w14:textId="77777777" w:rsidR="007D6A83" w:rsidRDefault="00245759">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ListParagraph"/>
        <w:numPr>
          <w:ilvl w:val="1"/>
          <w:numId w:val="20"/>
        </w:numPr>
        <w:ind w:leftChars="0"/>
        <w:jc w:val="both"/>
        <w:rPr>
          <w:b/>
          <w:bCs/>
        </w:rPr>
      </w:pPr>
      <w:r>
        <w:rPr>
          <w:b/>
          <w:bCs/>
        </w:rPr>
        <w:t>The set of REs for rate matching is determined as follows:</w:t>
      </w:r>
    </w:p>
    <w:p w14:paraId="4D9874DD" w14:textId="77777777" w:rsidR="007D6A83" w:rsidRDefault="00245759">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ListParagraph"/>
        <w:numPr>
          <w:ilvl w:val="3"/>
          <w:numId w:val="20"/>
        </w:numPr>
        <w:ind w:leftChars="0"/>
        <w:jc w:val="both"/>
        <w:rPr>
          <w:b/>
          <w:bCs/>
        </w:rPr>
      </w:pPr>
      <w:r>
        <w:rPr>
          <w:b/>
          <w:bCs/>
        </w:rPr>
        <w:t>All other parameters are defined in Section 7.4.1.2.2 of 38.211.</w:t>
      </w:r>
    </w:p>
    <w:p w14:paraId="3015CAF2" w14:textId="77777777" w:rsidR="007D6A83" w:rsidRDefault="00245759">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ListParagraph"/>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mDCI mTRP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mDCI mTRP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benefit is not clear in mDCI mTRP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lastRenderedPageBreak/>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ListParagraph"/>
              <w:numPr>
                <w:ilvl w:val="0"/>
                <w:numId w:val="36"/>
              </w:numPr>
              <w:spacing w:afterLines="50" w:after="120"/>
              <w:ind w:leftChars="0"/>
              <w:jc w:val="both"/>
              <w:rPr>
                <w:rFonts w:eastAsiaTheme="minorEastAsia"/>
                <w:sz w:val="22"/>
                <w:lang w:val="en-US" w:eastAsia="zh-CN"/>
              </w:rPr>
            </w:pPr>
            <w:r>
              <w:rPr>
                <w:sz w:val="22"/>
                <w:lang w:val="en-US"/>
              </w:rPr>
              <w:t>It is not clear if with multipanel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lastRenderedPageBreak/>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nonDFT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nonDFT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Caption"/>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r>
                    <w:rPr>
                      <w:sz w:val="18"/>
                      <w:szCs w:val="18"/>
                    </w:rPr>
                    <w:t>NonDFT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lastRenderedPageBreak/>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6" w:name="_Ref142500025"/>
          </w:p>
          <w:p w14:paraId="29739980" w14:textId="77777777" w:rsidR="007D6A83" w:rsidRDefault="00245759">
            <w:pPr>
              <w:pStyle w:val="Caption"/>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r>
                    <w:rPr>
                      <w:sz w:val="18"/>
                      <w:szCs w:val="18"/>
                    </w:rPr>
                    <w:t>NonDFT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lastRenderedPageBreak/>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ListParagraph"/>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ListParagraph"/>
        <w:numPr>
          <w:ilvl w:val="1"/>
          <w:numId w:val="20"/>
        </w:numPr>
        <w:ind w:leftChars="0"/>
        <w:jc w:val="both"/>
        <w:rPr>
          <w:b/>
        </w:rPr>
      </w:pPr>
      <w:r>
        <w:rPr>
          <w:b/>
        </w:rPr>
        <w:t xml:space="preserve">Remove the 13 redundant precoders in 8 TX fully coherent codebook with (N1=4, N2=1). Add 21 nonDFT precoders to the codebook as in Table </w:t>
      </w:r>
      <w:r>
        <w:rPr>
          <w:rFonts w:hint="eastAsia"/>
          <w:b/>
        </w:rPr>
        <w:t>1</w:t>
      </w:r>
      <w:r>
        <w:rPr>
          <w:b/>
        </w:rPr>
        <w:t xml:space="preserve">. </w:t>
      </w:r>
    </w:p>
    <w:p w14:paraId="03C73675" w14:textId="77777777" w:rsidR="007D6A83" w:rsidRDefault="00245759">
      <w:pPr>
        <w:pStyle w:val="ListParagraph"/>
        <w:numPr>
          <w:ilvl w:val="1"/>
          <w:numId w:val="20"/>
        </w:numPr>
        <w:ind w:leftChars="0"/>
        <w:jc w:val="both"/>
        <w:rPr>
          <w:b/>
        </w:rPr>
      </w:pPr>
      <w:r>
        <w:rPr>
          <w:b/>
        </w:rPr>
        <w:t xml:space="preserve">Remove the 17 redundant precoders in 8 TX fully coherent codebook with (N1=2, N2=2). Add 17 nonDFT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1</w:t>
      </w:r>
      <w:r>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r>
              <w:rPr>
                <w:sz w:val="18"/>
                <w:szCs w:val="18"/>
              </w:rPr>
              <w:t>NonDFT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lastRenderedPageBreak/>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2</w:t>
      </w:r>
      <w:r>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r>
              <w:rPr>
                <w:sz w:val="18"/>
                <w:szCs w:val="18"/>
              </w:rPr>
              <w:t>NonDFT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lastRenderedPageBreak/>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lastRenderedPageBreak/>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lastRenderedPageBreak/>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ListParagraph"/>
        <w:numPr>
          <w:ilvl w:val="0"/>
          <w:numId w:val="20"/>
        </w:numPr>
        <w:ind w:leftChars="0"/>
        <w:jc w:val="both"/>
        <w:rPr>
          <w:b/>
        </w:rPr>
      </w:pPr>
      <w:r>
        <w:rPr>
          <w:b/>
        </w:rPr>
        <w:t xml:space="preserve">For a UE supporting UlTxSw and 2T4R SRS antenna switching, </w:t>
      </w:r>
      <w:r>
        <w:rPr>
          <w:rFonts w:hint="eastAsia"/>
          <w:b/>
        </w:rPr>
        <w:t xml:space="preserve">support the UE dynamic fallback to </w:t>
      </w:r>
      <w:r>
        <w:rPr>
          <w:b/>
        </w:rPr>
        <w:t>1T4R antenna switching based on UlTxSw status subject to a dedicated UE capability</w:t>
      </w:r>
    </w:p>
    <w:p w14:paraId="7D405E17" w14:textId="77777777" w:rsidR="007D6A83" w:rsidRDefault="00245759">
      <w:pPr>
        <w:pStyle w:val="ListParagraph"/>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Better to keep current spec based on which ulTxSwitch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 xml:space="preserve">To solve this issue, first of all, it is needed to specify EPRE ratio to cover all DCIs. Secondly, it is preferred to define specific allowed EPRE ratio values or introduce tightened range smaller than [-8,+8]dB.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ListParagraph"/>
        <w:numPr>
          <w:ilvl w:val="0"/>
          <w:numId w:val="20"/>
        </w:numPr>
        <w:ind w:leftChars="0"/>
        <w:jc w:val="both"/>
        <w:rPr>
          <w:b/>
        </w:rPr>
      </w:pPr>
      <w:r>
        <w:rPr>
          <w:rFonts w:hint="eastAsia"/>
          <w:b/>
        </w:rPr>
        <w:t>Specify the following EPRE ratio.</w:t>
      </w:r>
    </w:p>
    <w:p w14:paraId="4C60F941" w14:textId="77777777" w:rsidR="007D6A83" w:rsidRDefault="00245759">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ListParagraph"/>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4.6pt;height:15.4pt;mso-width-percent:0;mso-height-percent:0;mso-width-percent:0;mso-height-percent:0" o:ole="">
                                        <v:imagedata r:id="rId34" o:title=""/>
                                      </v:shape>
                                      <o:OLEObject Type="Embed" ProgID="Equation.3" ShapeID="_x0000_i1026" DrawAspect="Content" ObjectID="_1790692239" r:id="rId35"/>
                                    </w:object>
                                  </w:r>
                                  <w:r>
                                    <w:t xml:space="preserve">, </w:t>
                                  </w:r>
                                  <w:r w:rsidR="00BB6B61">
                                    <w:rPr>
                                      <w:noProof/>
                                      <w:position w:val="-10"/>
                                    </w:rPr>
                                    <w:object w:dxaOrig="687" w:dyaOrig="317" w14:anchorId="6571E0C5">
                                      <v:shape id="_x0000_i1028" type="#_x0000_t75" alt="" style="width:34.6pt;height:15.4pt;mso-width-percent:0;mso-height-percent:0;mso-width-percent:0;mso-height-percent:0" o:ole="">
                                        <v:imagedata r:id="rId36" o:title=""/>
                                      </v:shape>
                                      <o:OLEObject Type="Embed" ProgID="Equation.3" ShapeID="_x0000_i1028" DrawAspect="Content" ObjectID="_1790692240" r:id="rId37"/>
                                    </w:object>
                                  </w:r>
                                  <w:r>
                                    <w:t>, or</w:t>
                                  </w:r>
                                  <w:r w:rsidR="00BB6B61">
                                    <w:rPr>
                                      <w:noProof/>
                                      <w:position w:val="-10"/>
                                    </w:rPr>
                                    <w:object w:dxaOrig="819" w:dyaOrig="317" w14:anchorId="5CC8CD6A">
                                      <v:shape id="_x0000_i1030" type="#_x0000_t75" alt="" style="width:41.6pt;height:15.4pt;mso-width-percent:0;mso-height-percent:0;mso-width-percent:0;mso-height-percent:0" o:ole="">
                                        <v:imagedata r:id="rId38" o:title=""/>
                                      </v:shape>
                                      <o:OLEObject Type="Embed" ProgID="Equation.3" ShapeID="_x0000_i1030" DrawAspect="Content" ObjectID="_1790692241" r:id="rId39"/>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6pt;height:15.4pt;mso-width-percent:0;mso-height-percent:0;mso-width-percent:0;mso-height-percent:0" o:ole="">
                                        <v:imagedata r:id="rId40" o:title=""/>
                                      </v:shape>
                                      <o:OLEObject Type="Embed" ProgID="Equation.3" ShapeID="_x0000_i1032" DrawAspect="Content" ObjectID="_1790692242" r:id="rId41"/>
                                    </w:object>
                                  </w:r>
                                  <w:r>
                                    <w:t xml:space="preserve">, </w:t>
                                  </w:r>
                                  <w:r w:rsidR="00BB6B61">
                                    <w:rPr>
                                      <w:noProof/>
                                      <w:position w:val="-10"/>
                                    </w:rPr>
                                    <w:object w:dxaOrig="594" w:dyaOrig="317" w14:anchorId="48C9F715">
                                      <v:shape id="_x0000_i1034" type="#_x0000_t75" alt="" style="width:30.05pt;height:15.4pt;mso-width-percent:0;mso-height-percent:0;mso-width-percent:0;mso-height-percent:0" o:ole="">
                                        <v:imagedata r:id="rId42" o:title=""/>
                                      </v:shape>
                                      <o:OLEObject Type="Embed" ProgID="Equation.3" ShapeID="_x0000_i1034" DrawAspect="Content" ObjectID="_1790692243" r:id="rId43"/>
                                    </w:object>
                                  </w:r>
                                  <w:r>
                                    <w:t xml:space="preserve">, </w:t>
                                  </w:r>
                                  <w:r w:rsidR="00BB6B61">
                                    <w:rPr>
                                      <w:noProof/>
                                      <w:position w:val="-10"/>
                                    </w:rPr>
                                    <w:object w:dxaOrig="687" w:dyaOrig="317" w14:anchorId="0718CE8D">
                                      <v:shape id="_x0000_i1036" type="#_x0000_t75" alt="" style="width:34.6pt;height:15.4pt;mso-width-percent:0;mso-height-percent:0;mso-width-percent:0;mso-height-percent:0" o:ole="">
                                        <v:imagedata r:id="rId44" o:title=""/>
                                      </v:shape>
                                      <o:OLEObject Type="Embed" ProgID="Equation.3" ShapeID="_x0000_i1036" DrawAspect="Content" ObjectID="_1790692244" r:id="rId45"/>
                                    </w:object>
                                  </w:r>
                                  <w:r>
                                    <w:t xml:space="preserve">, </w:t>
                                  </w:r>
                                  <w:r w:rsidR="00BB6B61">
                                    <w:rPr>
                                      <w:noProof/>
                                      <w:position w:val="-10"/>
                                    </w:rPr>
                                    <w:object w:dxaOrig="687" w:dyaOrig="317" w14:anchorId="5DB8BC9B">
                                      <v:shape id="_x0000_i1038" type="#_x0000_t75" alt="" style="width:34.6pt;height:15.4pt;mso-width-percent:0;mso-height-percent:0;mso-width-percent:0;mso-height-percent:0" o:ole="">
                                        <v:imagedata r:id="rId46" o:title=""/>
                                      </v:shape>
                                      <o:OLEObject Type="Embed" ProgID="Equation.3" ShapeID="_x0000_i1038" DrawAspect="Content" ObjectID="_1790692245" r:id="rId47"/>
                                    </w:object>
                                  </w:r>
                                  <w:r>
                                    <w:t xml:space="preserve">, </w:t>
                                  </w:r>
                                  <w:r w:rsidR="00BB6B61">
                                    <w:rPr>
                                      <w:noProof/>
                                      <w:position w:val="-10"/>
                                    </w:rPr>
                                    <w:object w:dxaOrig="766" w:dyaOrig="317" w14:anchorId="132867CB">
                                      <v:shape id="_x0000_i1040" type="#_x0000_t75" alt="" style="width:38.1pt;height:15.4pt;mso-width-percent:0;mso-height-percent:0;mso-width-percent:0;mso-height-percent:0" o:ole="">
                                        <v:imagedata r:id="rId48" o:title=""/>
                                      </v:shape>
                                      <o:OLEObject Type="Embed" ProgID="Equation.3" ShapeID="_x0000_i1040" DrawAspect="Content" ObjectID="_1790692246" r:id="rId49"/>
                                    </w:object>
                                  </w:r>
                                  <w:r>
                                    <w:t xml:space="preserve">, </w:t>
                                  </w:r>
                                  <w:r w:rsidR="00BB6B61">
                                    <w:rPr>
                                      <w:noProof/>
                                      <w:position w:val="-10"/>
                                    </w:rPr>
                                    <w:object w:dxaOrig="766" w:dyaOrig="317" w14:anchorId="1022964A">
                                      <v:shape id="_x0000_i1042" type="#_x0000_t75" alt="" style="width:38.1pt;height:15.4pt;mso-width-percent:0;mso-height-percent:0;mso-width-percent:0;mso-height-percent:0" o:ole="">
                                        <v:imagedata r:id="rId50" o:title=""/>
                                      </v:shape>
                                      <o:OLEObject Type="Embed" ProgID="Equation.3" ShapeID="_x0000_i1042" DrawAspect="Content" ObjectID="_1790692247" r:id="rId51"/>
                                    </w:object>
                                  </w:r>
                                  <w:r>
                                    <w:t xml:space="preserve"> or </w:t>
                                  </w:r>
                                  <w:r w:rsidR="00BB6B61">
                                    <w:rPr>
                                      <w:noProof/>
                                      <w:position w:val="-10"/>
                                    </w:rPr>
                                    <w:object w:dxaOrig="766" w:dyaOrig="317" w14:anchorId="19EC498F">
                                      <v:shape id="_x0000_i1044" type="#_x0000_t75" alt="" style="width:38.1pt;height:15.4pt;mso-width-percent:0;mso-height-percent:0;mso-width-percent:0;mso-height-percent:0" o:ole="">
                                        <v:imagedata r:id="rId52" o:title=""/>
                                      </v:shape>
                                      <o:OLEObject Type="Embed" ProgID="Equation.3" ShapeID="_x0000_i1044" DrawAspect="Content" ObjectID="_1790692248" r:id="rId53"/>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5pt;mso-width-percent:0;mso-height-percent:0;mso-width-percent:0;mso-height-percent:0" o:ole="">
                                  <v:imagedata r:id="rId54" o:title=""/>
                                </v:shape>
                                <o:OLEObject Type="Embed" ProgID="Equation.3" ShapeID="_x0000_i1026" DrawAspect="Content" ObjectID="_1790685921" r:id="rId55"/>
                              </w:object>
                            </w:r>
                            <w:r>
                              <w:t xml:space="preserve">, </w:t>
                            </w:r>
                            <w:r w:rsidR="00BB6B61">
                              <w:rPr>
                                <w:noProof/>
                                <w:position w:val="-10"/>
                              </w:rPr>
                              <w:object w:dxaOrig="687" w:dyaOrig="317" w14:anchorId="6571E0C5">
                                <v:shape id="_x0000_i1028" type="#_x0000_t75" alt="" style="width:34.5pt;height:15.5pt;mso-width-percent:0;mso-height-percent:0;mso-width-percent:0;mso-height-percent:0" o:ole="">
                                  <v:imagedata r:id="rId56" o:title=""/>
                                </v:shape>
                                <o:OLEObject Type="Embed" ProgID="Equation.3" ShapeID="_x0000_i1028" DrawAspect="Content" ObjectID="_1790685922" r:id="rId57"/>
                              </w:object>
                            </w:r>
                            <w:r>
                              <w:t>, or</w:t>
                            </w:r>
                            <w:r w:rsidR="00BB6B61">
                              <w:rPr>
                                <w:noProof/>
                                <w:position w:val="-10"/>
                              </w:rPr>
                              <w:object w:dxaOrig="819" w:dyaOrig="317" w14:anchorId="5CC8CD6A">
                                <v:shape id="_x0000_i1030" type="#_x0000_t75" alt="" style="width:41.5pt;height:15.5pt;mso-width-percent:0;mso-height-percent:0;mso-width-percent:0;mso-height-percent:0" o:ole="">
                                  <v:imagedata r:id="rId58" o:title=""/>
                                </v:shape>
                                <o:OLEObject Type="Embed" ProgID="Equation.3" ShapeID="_x0000_i1030" DrawAspect="Content" ObjectID="_1790685923" r:id="rId59"/>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5pt;mso-width-percent:0;mso-height-percent:0;mso-width-percent:0;mso-height-percent:0" o:ole="">
                                  <v:imagedata r:id="rId60" o:title=""/>
                                </v:shape>
                                <o:OLEObject Type="Embed" ProgID="Equation.3" ShapeID="_x0000_i1032" DrawAspect="Content" ObjectID="_1790685924" r:id="rId61"/>
                              </w:object>
                            </w:r>
                            <w:r>
                              <w:t xml:space="preserve">, </w:t>
                            </w:r>
                            <w:r w:rsidR="00BB6B61">
                              <w:rPr>
                                <w:noProof/>
                                <w:position w:val="-10"/>
                              </w:rPr>
                              <w:object w:dxaOrig="594" w:dyaOrig="317" w14:anchorId="48C9F715">
                                <v:shape id="_x0000_i1034" type="#_x0000_t75" alt="" style="width:30pt;height:15.5pt;mso-width-percent:0;mso-height-percent:0;mso-width-percent:0;mso-height-percent:0" o:ole="">
                                  <v:imagedata r:id="rId62" o:title=""/>
                                </v:shape>
                                <o:OLEObject Type="Embed" ProgID="Equation.3" ShapeID="_x0000_i1034" DrawAspect="Content" ObjectID="_1790685925" r:id="rId63"/>
                              </w:object>
                            </w:r>
                            <w:r>
                              <w:t xml:space="preserve">, </w:t>
                            </w:r>
                            <w:r w:rsidR="00BB6B61">
                              <w:rPr>
                                <w:noProof/>
                                <w:position w:val="-10"/>
                              </w:rPr>
                              <w:object w:dxaOrig="687" w:dyaOrig="317" w14:anchorId="0718CE8D">
                                <v:shape id="_x0000_i1036" type="#_x0000_t75" alt="" style="width:34.5pt;height:15.5pt;mso-width-percent:0;mso-height-percent:0;mso-width-percent:0;mso-height-percent:0" o:ole="">
                                  <v:imagedata r:id="rId64" o:title=""/>
                                </v:shape>
                                <o:OLEObject Type="Embed" ProgID="Equation.3" ShapeID="_x0000_i1036" DrawAspect="Content" ObjectID="_1790685926" r:id="rId65"/>
                              </w:object>
                            </w:r>
                            <w:r>
                              <w:t xml:space="preserve">, </w:t>
                            </w:r>
                            <w:r w:rsidR="00BB6B61">
                              <w:rPr>
                                <w:noProof/>
                                <w:position w:val="-10"/>
                              </w:rPr>
                              <w:object w:dxaOrig="687" w:dyaOrig="317" w14:anchorId="5DB8BC9B">
                                <v:shape id="_x0000_i1038" type="#_x0000_t75" alt="" style="width:34.5pt;height:15.5pt;mso-width-percent:0;mso-height-percent:0;mso-width-percent:0;mso-height-percent:0" o:ole="">
                                  <v:imagedata r:id="rId66" o:title=""/>
                                </v:shape>
                                <o:OLEObject Type="Embed" ProgID="Equation.3" ShapeID="_x0000_i1038" DrawAspect="Content" ObjectID="_1790685927" r:id="rId67"/>
                              </w:object>
                            </w:r>
                            <w:r>
                              <w:t xml:space="preserve">, </w:t>
                            </w:r>
                            <w:r w:rsidR="00BB6B61">
                              <w:rPr>
                                <w:noProof/>
                                <w:position w:val="-10"/>
                              </w:rPr>
                              <w:object w:dxaOrig="766" w:dyaOrig="317" w14:anchorId="132867CB">
                                <v:shape id="_x0000_i1040" type="#_x0000_t75" alt="" style="width:38pt;height:15.5pt;mso-width-percent:0;mso-height-percent:0;mso-width-percent:0;mso-height-percent:0" o:ole="">
                                  <v:imagedata r:id="rId68" o:title=""/>
                                </v:shape>
                                <o:OLEObject Type="Embed" ProgID="Equation.3" ShapeID="_x0000_i1040" DrawAspect="Content" ObjectID="_1790685928" r:id="rId69"/>
                              </w:object>
                            </w:r>
                            <w:r>
                              <w:t xml:space="preserve">, </w:t>
                            </w:r>
                            <w:r w:rsidR="00BB6B61">
                              <w:rPr>
                                <w:noProof/>
                                <w:position w:val="-10"/>
                              </w:rPr>
                              <w:object w:dxaOrig="766" w:dyaOrig="317" w14:anchorId="1022964A">
                                <v:shape id="_x0000_i1042" type="#_x0000_t75" alt="" style="width:38pt;height:15.5pt;mso-width-percent:0;mso-height-percent:0;mso-width-percent:0;mso-height-percent:0" o:ole="">
                                  <v:imagedata r:id="rId70" o:title=""/>
                                </v:shape>
                                <o:OLEObject Type="Embed" ProgID="Equation.3" ShapeID="_x0000_i1042" DrawAspect="Content" ObjectID="_1790685929" r:id="rId71"/>
                              </w:object>
                            </w:r>
                            <w:r>
                              <w:t xml:space="preserve"> or </w:t>
                            </w:r>
                            <w:r w:rsidR="00BB6B61">
                              <w:rPr>
                                <w:noProof/>
                                <w:position w:val="-10"/>
                              </w:rPr>
                              <w:object w:dxaOrig="766" w:dyaOrig="317" w14:anchorId="19EC498F">
                                <v:shape id="_x0000_i1044" type="#_x0000_t75" alt="" style="width:38pt;height:15.5pt;mso-width-percent:0;mso-height-percent:0;mso-width-percent:0;mso-height-percent:0" o:ole="">
                                  <v:imagedata r:id="rId72" o:title=""/>
                                </v:shape>
                                <o:OLEObject Type="Embed" ProgID="Equation.3" ShapeID="_x0000_i1044" DrawAspect="Content" ObjectID="_1790685930" r:id="rId73"/>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{j,k}.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28"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6pt;height:15.4pt;mso-width-percent:0;mso-height-percent:0;mso-width-percent:0;mso-height-percent:0" o:ole="">
                                        <v:imagedata r:id="rId54" o:title=""/>
                                      </v:shape>
                                      <o:OLEObject Type="Embed" ProgID="Equation.3" ShapeID="_x0000_i1046" DrawAspect="Content" ObjectID="_1790692249" r:id="rId76"/>
                                    </w:object>
                                  </w:r>
                                  <w:r>
                                    <w:rPr>
                                      <w:sz w:val="18"/>
                                      <w:szCs w:val="18"/>
                                    </w:rPr>
                                    <w:t xml:space="preserve">, </w:t>
                                  </w:r>
                                  <w:r w:rsidR="00BB6B61">
                                    <w:rPr>
                                      <w:noProof/>
                                      <w:position w:val="-10"/>
                                      <w:sz w:val="18"/>
                                      <w:szCs w:val="18"/>
                                    </w:rPr>
                                    <w:object w:dxaOrig="690" w:dyaOrig="310" w14:anchorId="4ECFE75C">
                                      <v:shape id="_x0000_i1048" type="#_x0000_t75" alt="" style="width:34.6pt;height:15.4pt;mso-width-percent:0;mso-height-percent:0;mso-width-percent:0;mso-height-percent:0">
                                        <v:imagedata r:id="rId56" o:title=""/>
                                      </v:shape>
                                      <o:OLEObject Type="Embed" ProgID="Equation.3" ShapeID="_x0000_i1048" DrawAspect="Content" ObjectID="_1790692250" r:id="rId77"/>
                                    </w:object>
                                  </w:r>
                                  <w:r>
                                    <w:rPr>
                                      <w:sz w:val="18"/>
                                      <w:szCs w:val="18"/>
                                    </w:rPr>
                                    <w:t>, or</w:t>
                                  </w:r>
                                  <w:r w:rsidR="00BB6B61">
                                    <w:rPr>
                                      <w:noProof/>
                                      <w:position w:val="-10"/>
                                      <w:sz w:val="18"/>
                                      <w:szCs w:val="18"/>
                                    </w:rPr>
                                    <w:object w:dxaOrig="830" w:dyaOrig="310" w14:anchorId="18EB88A5">
                                      <v:shape id="_x0000_i1050" type="#_x0000_t75" alt="" style="width:41.6pt;height:15.4pt;mso-width-percent:0;mso-height-percent:0;mso-width-percent:0;mso-height-percent:0">
                                        <v:imagedata r:id="rId38" o:title=""/>
                                      </v:shape>
                                      <o:OLEObject Type="Embed" ProgID="Equation.3" ShapeID="_x0000_i1050" DrawAspect="Content" ObjectID="_1790692251" r:id="rId78"/>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90" w:dyaOrig="310" w14:anchorId="1EE5DBB7">
                                      <v:shape id="_x0000_i1052" type="#_x0000_t75" alt="" style="width:34.6pt;height:15.4pt;mso-width-percent:0;mso-height-percent:0;mso-width-percent:0;mso-height-percent:0">
                                        <v:imagedata r:id="rId40" o:title=""/>
                                      </v:shape>
                                      <o:OLEObject Type="Embed" ProgID="Equation.3" ShapeID="_x0000_i1052" DrawAspect="Content" ObjectID="_1790692252" r:id="rId79"/>
                                    </w:object>
                                  </w:r>
                                  <w:r>
                                    <w:rPr>
                                      <w:sz w:val="18"/>
                                      <w:szCs w:val="18"/>
                                    </w:rPr>
                                    <w:t xml:space="preserve">, </w:t>
                                  </w:r>
                                  <w:r w:rsidR="00BB6B61">
                                    <w:rPr>
                                      <w:noProof/>
                                      <w:position w:val="-10"/>
                                      <w:sz w:val="18"/>
                                      <w:szCs w:val="18"/>
                                    </w:rPr>
                                    <w:object w:dxaOrig="610" w:dyaOrig="310" w14:anchorId="732AB0AD">
                                      <v:shape id="_x0000_i1054" type="#_x0000_t75" alt="" style="width:30.4pt;height:15.4pt;mso-width-percent:0;mso-height-percent:0;mso-width-percent:0;mso-height-percent:0">
                                        <v:imagedata r:id="rId42" o:title=""/>
                                      </v:shape>
                                      <o:OLEObject Type="Embed" ProgID="Equation.3" ShapeID="_x0000_i1054" DrawAspect="Content" ObjectID="_1790692253" r:id="rId80"/>
                                    </w:object>
                                  </w:r>
                                  <w:r>
                                    <w:rPr>
                                      <w:sz w:val="18"/>
                                      <w:szCs w:val="18"/>
                                    </w:rPr>
                                    <w:t xml:space="preserve">, </w:t>
                                  </w:r>
                                  <w:r w:rsidR="00BB6B61">
                                    <w:rPr>
                                      <w:noProof/>
                                      <w:position w:val="-10"/>
                                      <w:sz w:val="18"/>
                                      <w:szCs w:val="18"/>
                                    </w:rPr>
                                    <w:object w:dxaOrig="690" w:dyaOrig="310" w14:anchorId="47C8DBB3">
                                      <v:shape id="_x0000_i1056" type="#_x0000_t75" alt="" style="width:34.6pt;height:15.4pt;mso-width-percent:0;mso-height-percent:0;mso-width-percent:0;mso-height-percent:0">
                                        <v:imagedata r:id="rId64" o:title=""/>
                                      </v:shape>
                                      <o:OLEObject Type="Embed" ProgID="Equation.3" ShapeID="_x0000_i1056" DrawAspect="Content" ObjectID="_1790692254" r:id="rId81"/>
                                    </w:object>
                                  </w:r>
                                  <w:r>
                                    <w:rPr>
                                      <w:sz w:val="18"/>
                                      <w:szCs w:val="18"/>
                                    </w:rPr>
                                    <w:t xml:space="preserve">, </w:t>
                                  </w:r>
                                  <w:r w:rsidR="00BB6B61">
                                    <w:rPr>
                                      <w:noProof/>
                                      <w:position w:val="-10"/>
                                      <w:sz w:val="18"/>
                                      <w:szCs w:val="18"/>
                                    </w:rPr>
                                    <w:object w:dxaOrig="690" w:dyaOrig="310" w14:anchorId="7FA14FCB">
                                      <v:shape id="_x0000_i1058" type="#_x0000_t75" alt="" style="width:34.6pt;height:15.4pt;mso-width-percent:0;mso-height-percent:0;mso-width-percent:0;mso-height-percent:0">
                                        <v:imagedata r:id="rId46" o:title=""/>
                                      </v:shape>
                                      <o:OLEObject Type="Embed" ProgID="Equation.3" ShapeID="_x0000_i1058" DrawAspect="Content" ObjectID="_1790692255" r:id="rId82"/>
                                    </w:object>
                                  </w:r>
                                  <w:r>
                                    <w:rPr>
                                      <w:sz w:val="18"/>
                                      <w:szCs w:val="18"/>
                                    </w:rPr>
                                    <w:t xml:space="preserve">, </w:t>
                                  </w:r>
                                  <w:r w:rsidR="00BB6B61">
                                    <w:rPr>
                                      <w:noProof/>
                                      <w:position w:val="-10"/>
                                      <w:sz w:val="18"/>
                                      <w:szCs w:val="18"/>
                                    </w:rPr>
                                    <w:object w:dxaOrig="770" w:dyaOrig="310" w14:anchorId="6A7F22EB">
                                      <v:shape id="_x0000_i1060" type="#_x0000_t75" alt="" style="width:38.45pt;height:15.4pt;mso-width-percent:0;mso-height-percent:0;mso-width-percent:0;mso-height-percent:0">
                                        <v:imagedata r:id="rId68" o:title=""/>
                                      </v:shape>
                                      <o:OLEObject Type="Embed" ProgID="Equation.3" ShapeID="_x0000_i1060" DrawAspect="Content" ObjectID="_1790692256" r:id="rId83"/>
                                    </w:object>
                                  </w:r>
                                  <w:r>
                                    <w:rPr>
                                      <w:sz w:val="18"/>
                                      <w:szCs w:val="18"/>
                                    </w:rPr>
                                    <w:t xml:space="preserve">, </w:t>
                                  </w:r>
                                  <w:r w:rsidR="00BB6B61">
                                    <w:rPr>
                                      <w:noProof/>
                                      <w:position w:val="-10"/>
                                      <w:sz w:val="18"/>
                                      <w:szCs w:val="18"/>
                                    </w:rPr>
                                    <w:object w:dxaOrig="770" w:dyaOrig="310" w14:anchorId="2A6B7B19">
                                      <v:shape id="_x0000_i1062" type="#_x0000_t75" alt="" style="width:38.45pt;height:15.4pt;mso-width-percent:0;mso-height-percent:0;mso-width-percent:0;mso-height-percent:0">
                                        <v:imagedata r:id="rId70" o:title=""/>
                                      </v:shape>
                                      <o:OLEObject Type="Embed" ProgID="Equation.3" ShapeID="_x0000_i1062" DrawAspect="Content" ObjectID="_1790692257" r:id="rId84"/>
                                    </w:object>
                                  </w:r>
                                  <w:r>
                                    <w:rPr>
                                      <w:sz w:val="18"/>
                                      <w:szCs w:val="18"/>
                                    </w:rPr>
                                    <w:t xml:space="preserve"> or </w:t>
                                  </w:r>
                                  <w:r w:rsidR="00BB6B61">
                                    <w:rPr>
                                      <w:noProof/>
                                      <w:position w:val="-10"/>
                                      <w:sz w:val="18"/>
                                      <w:szCs w:val="18"/>
                                    </w:rPr>
                                    <w:object w:dxaOrig="770" w:dyaOrig="310" w14:anchorId="785E2CDE">
                                      <v:shape id="_x0000_i1064" type="#_x0000_t75" alt="" style="width:38.45pt;height:15.4pt;mso-width-percent:0;mso-height-percent:0;mso-width-percent:0;mso-height-percent:0">
                                        <v:imagedata r:id="rId72" o:title=""/>
                                      </v:shape>
                                      <o:OLEObject Type="Embed" ProgID="Equation.3" ShapeID="_x0000_i1064" DrawAspect="Content" ObjectID="_1790692258" r:id="rId85"/>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5pt;mso-width-percent:0;mso-height-percent:0;mso-width-percent:0;mso-height-percent:0" o:ole="">
                                  <v:imagedata r:id="rId54" o:title=""/>
                                </v:shape>
                                <o:OLEObject Type="Embed" ProgID="Equation.3" ShapeID="_x0000_i1046" DrawAspect="Content" ObjectID="_1790685931" r:id="rId86"/>
                              </w:object>
                            </w:r>
                            <w:r>
                              <w:rPr>
                                <w:sz w:val="18"/>
                                <w:szCs w:val="18"/>
                              </w:rPr>
                              <w:t xml:space="preserve">, </w:t>
                            </w:r>
                            <w:r w:rsidR="00BB6B61">
                              <w:rPr>
                                <w:noProof/>
                                <w:position w:val="-10"/>
                                <w:sz w:val="18"/>
                                <w:szCs w:val="18"/>
                              </w:rPr>
                              <w:object w:dxaOrig="690" w:dyaOrig="310" w14:anchorId="4ECFE75C">
                                <v:shape id="_x0000_i1048" type="#_x0000_t75" alt="" style="width:34.5pt;height:15.5pt;mso-width-percent:0;mso-height-percent:0;mso-width-percent:0;mso-height-percent:0">
                                  <v:imagedata r:id="rId56" o:title=""/>
                                </v:shape>
                                <o:OLEObject Type="Embed" ProgID="Equation.3" ShapeID="_x0000_i1048" DrawAspect="Content" ObjectID="_1790685932" r:id="rId87"/>
                              </w:object>
                            </w:r>
                            <w:r>
                              <w:rPr>
                                <w:sz w:val="18"/>
                                <w:szCs w:val="18"/>
                              </w:rPr>
                              <w:t>, or</w:t>
                            </w:r>
                            <w:r w:rsidR="00BB6B61">
                              <w:rPr>
                                <w:noProof/>
                                <w:position w:val="-10"/>
                                <w:sz w:val="18"/>
                                <w:szCs w:val="18"/>
                              </w:rPr>
                              <w:object w:dxaOrig="830" w:dyaOrig="310" w14:anchorId="18EB88A5">
                                <v:shape id="_x0000_i1050" type="#_x0000_t75" alt="" style="width:41.5pt;height:15.5pt;mso-width-percent:0;mso-height-percent:0;mso-width-percent:0;mso-height-percent:0">
                                  <v:imagedata r:id="rId58" o:title=""/>
                                </v:shape>
                                <o:OLEObject Type="Embed" ProgID="Equation.3" ShapeID="_x0000_i1050" DrawAspect="Content" ObjectID="_1790685933" r:id="rId88"/>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90" w:dyaOrig="310" w14:anchorId="1EE5DBB7">
                                <v:shape id="_x0000_i1052" type="#_x0000_t75" alt="" style="width:34.5pt;height:15.5pt;mso-width-percent:0;mso-height-percent:0;mso-width-percent:0;mso-height-percent:0">
                                  <v:imagedata r:id="rId60" o:title=""/>
                                </v:shape>
                                <o:OLEObject Type="Embed" ProgID="Equation.3" ShapeID="_x0000_i1052" DrawAspect="Content" ObjectID="_1790685934" r:id="rId89"/>
                              </w:object>
                            </w:r>
                            <w:r>
                              <w:rPr>
                                <w:sz w:val="18"/>
                                <w:szCs w:val="18"/>
                              </w:rPr>
                              <w:t xml:space="preserve">, </w:t>
                            </w:r>
                            <w:r w:rsidR="00BB6B61">
                              <w:rPr>
                                <w:noProof/>
                                <w:position w:val="-10"/>
                                <w:sz w:val="18"/>
                                <w:szCs w:val="18"/>
                              </w:rPr>
                              <w:object w:dxaOrig="610" w:dyaOrig="310" w14:anchorId="732AB0AD">
                                <v:shape id="_x0000_i1054" type="#_x0000_t75" alt="" style="width:30.5pt;height:15.5pt;mso-width-percent:0;mso-height-percent:0;mso-width-percent:0;mso-height-percent:0">
                                  <v:imagedata r:id="rId62" o:title=""/>
                                </v:shape>
                                <o:OLEObject Type="Embed" ProgID="Equation.3" ShapeID="_x0000_i1054" DrawAspect="Content" ObjectID="_1790685935" r:id="rId90"/>
                              </w:object>
                            </w:r>
                            <w:r>
                              <w:rPr>
                                <w:sz w:val="18"/>
                                <w:szCs w:val="18"/>
                              </w:rPr>
                              <w:t xml:space="preserve">, </w:t>
                            </w:r>
                            <w:r w:rsidR="00BB6B61">
                              <w:rPr>
                                <w:noProof/>
                                <w:position w:val="-10"/>
                                <w:sz w:val="18"/>
                                <w:szCs w:val="18"/>
                              </w:rPr>
                              <w:object w:dxaOrig="690" w:dyaOrig="310" w14:anchorId="47C8DBB3">
                                <v:shape id="_x0000_i1056" type="#_x0000_t75" alt="" style="width:34.5pt;height:15.5pt;mso-width-percent:0;mso-height-percent:0;mso-width-percent:0;mso-height-percent:0">
                                  <v:imagedata r:id="rId64" o:title=""/>
                                </v:shape>
                                <o:OLEObject Type="Embed" ProgID="Equation.3" ShapeID="_x0000_i1056" DrawAspect="Content" ObjectID="_1790685936" r:id="rId91"/>
                              </w:object>
                            </w:r>
                            <w:r>
                              <w:rPr>
                                <w:sz w:val="18"/>
                                <w:szCs w:val="18"/>
                              </w:rPr>
                              <w:t xml:space="preserve">, </w:t>
                            </w:r>
                            <w:r w:rsidR="00BB6B61">
                              <w:rPr>
                                <w:noProof/>
                                <w:position w:val="-10"/>
                                <w:sz w:val="18"/>
                                <w:szCs w:val="18"/>
                              </w:rPr>
                              <w:object w:dxaOrig="690" w:dyaOrig="310" w14:anchorId="7FA14FCB">
                                <v:shape id="_x0000_i1058" type="#_x0000_t75" alt="" style="width:34.5pt;height:15.5pt;mso-width-percent:0;mso-height-percent:0;mso-width-percent:0;mso-height-percent:0">
                                  <v:imagedata r:id="rId66" o:title=""/>
                                </v:shape>
                                <o:OLEObject Type="Embed" ProgID="Equation.3" ShapeID="_x0000_i1058" DrawAspect="Content" ObjectID="_1790685937" r:id="rId92"/>
                              </w:object>
                            </w:r>
                            <w:r>
                              <w:rPr>
                                <w:sz w:val="18"/>
                                <w:szCs w:val="18"/>
                              </w:rPr>
                              <w:t xml:space="preserve">, </w:t>
                            </w:r>
                            <w:r w:rsidR="00BB6B61">
                              <w:rPr>
                                <w:noProof/>
                                <w:position w:val="-10"/>
                                <w:sz w:val="18"/>
                                <w:szCs w:val="18"/>
                              </w:rPr>
                              <w:object w:dxaOrig="770" w:dyaOrig="310" w14:anchorId="6A7F22EB">
                                <v:shape id="_x0000_i1060" type="#_x0000_t75" alt="" style="width:38.5pt;height:15.5pt;mso-width-percent:0;mso-height-percent:0;mso-width-percent:0;mso-height-percent:0">
                                  <v:imagedata r:id="rId68" o:title=""/>
                                </v:shape>
                                <o:OLEObject Type="Embed" ProgID="Equation.3" ShapeID="_x0000_i1060" DrawAspect="Content" ObjectID="_1790685938" r:id="rId93"/>
                              </w:object>
                            </w:r>
                            <w:r>
                              <w:rPr>
                                <w:sz w:val="18"/>
                                <w:szCs w:val="18"/>
                              </w:rPr>
                              <w:t xml:space="preserve">, </w:t>
                            </w:r>
                            <w:r w:rsidR="00BB6B61">
                              <w:rPr>
                                <w:noProof/>
                                <w:position w:val="-10"/>
                                <w:sz w:val="18"/>
                                <w:szCs w:val="18"/>
                              </w:rPr>
                              <w:object w:dxaOrig="770" w:dyaOrig="310" w14:anchorId="2A6B7B19">
                                <v:shape id="_x0000_i1062" type="#_x0000_t75" alt="" style="width:38.5pt;height:15.5pt;mso-width-percent:0;mso-height-percent:0;mso-width-percent:0;mso-height-percent:0">
                                  <v:imagedata r:id="rId70" o:title=""/>
                                </v:shape>
                                <o:OLEObject Type="Embed" ProgID="Equation.3" ShapeID="_x0000_i1062" DrawAspect="Content" ObjectID="_1790685939" r:id="rId94"/>
                              </w:object>
                            </w:r>
                            <w:r>
                              <w:rPr>
                                <w:sz w:val="18"/>
                                <w:szCs w:val="18"/>
                              </w:rPr>
                              <w:t xml:space="preserve"> or </w:t>
                            </w:r>
                            <w:r w:rsidR="00BB6B61">
                              <w:rPr>
                                <w:noProof/>
                                <w:position w:val="-10"/>
                                <w:sz w:val="18"/>
                                <w:szCs w:val="18"/>
                              </w:rPr>
                              <w:object w:dxaOrig="770" w:dyaOrig="310" w14:anchorId="785E2CDE">
                                <v:shape id="_x0000_i1064" type="#_x0000_t75" alt="" style="width:38.5pt;height:15.5pt;mso-width-percent:0;mso-height-percent:0;mso-width-percent:0;mso-height-percent:0">
                                  <v:imagedata r:id="rId72" o:title=""/>
                                </v:shape>
                                <o:OLEObject Type="Embed" ProgID="Equation.3" ShapeID="_x0000_i1064" DrawAspect="Content" ObjectID="_1790685940" r:id="rId95"/>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28"/>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4.95pt;height:15.4pt;mso-width-percent:0;mso-height-percent:0;mso-width-percent:0;mso-height-percent:0" o:ole="">
                  <v:imagedata r:id="rId54" o:title=""/>
                </v:shape>
                <o:OLEObject Type="Embed" ProgID="Equation.3" ShapeID="_x0000_i1065" DrawAspect="Content" ObjectID="_1790692228" r:id="rId96"/>
              </w:object>
            </w:r>
            <w:r>
              <w:rPr>
                <w:sz w:val="20"/>
              </w:rPr>
              <w:t xml:space="preserve">, </w:t>
            </w:r>
            <w:r w:rsidR="00BB6B61">
              <w:rPr>
                <w:noProof/>
                <w:position w:val="-10"/>
                <w:sz w:val="20"/>
              </w:rPr>
              <w:object w:dxaOrig="700" w:dyaOrig="317" w14:anchorId="1BD9B523">
                <v:shape id="_x0000_i1066" type="#_x0000_t75" alt="" style="width:34.95pt;height:15.4pt;mso-width-percent:0;mso-height-percent:0;mso-width-percent:0;mso-height-percent:0" o:ole="">
                  <v:imagedata r:id="rId36" o:title=""/>
                </v:shape>
                <o:OLEObject Type="Embed" ProgID="Equation.3" ShapeID="_x0000_i1066" DrawAspect="Content" ObjectID="_1790692229" r:id="rId97"/>
              </w:object>
            </w:r>
            <w:r>
              <w:rPr>
                <w:sz w:val="20"/>
              </w:rPr>
              <w:t>, or</w:t>
            </w:r>
            <w:r w:rsidR="00BB6B61">
              <w:rPr>
                <w:noProof/>
                <w:position w:val="-10"/>
                <w:sz w:val="20"/>
              </w:rPr>
              <w:object w:dxaOrig="819" w:dyaOrig="317" w14:anchorId="0A06B4D8">
                <v:shape id="_x0000_i1067" type="#_x0000_t75" alt="" style="width:41.6pt;height:15.4pt;mso-width-percent:0;mso-height-percent:0;mso-width-percent:0;mso-height-percent:0" o:ole="">
                  <v:imagedata r:id="rId58" o:title=""/>
                </v:shape>
                <o:OLEObject Type="Embed" ProgID="Equation.3" ShapeID="_x0000_i1067" DrawAspect="Content" ObjectID="_1790692230" r:id="rId98"/>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4.95pt;height:15.4pt;mso-width-percent:0;mso-height-percent:0;mso-width-percent:0;mso-height-percent:0" o:ole="">
                  <v:imagedata r:id="rId60" o:title=""/>
                </v:shape>
                <o:OLEObject Type="Embed" ProgID="Equation.3" ShapeID="_x0000_i1068" DrawAspect="Content" ObjectID="_1790692231" r:id="rId99"/>
              </w:object>
            </w:r>
            <w:r>
              <w:rPr>
                <w:sz w:val="20"/>
              </w:rPr>
              <w:t xml:space="preserve">, </w:t>
            </w:r>
            <w:r w:rsidR="00BB6B61">
              <w:rPr>
                <w:noProof/>
                <w:position w:val="-10"/>
                <w:sz w:val="20"/>
              </w:rPr>
              <w:object w:dxaOrig="621" w:dyaOrig="317" w14:anchorId="47FE84F1">
                <v:shape id="_x0000_i1069" type="#_x0000_t75" alt="" style="width:30.4pt;height:15.4pt;mso-width-percent:0;mso-height-percent:0;mso-width-percent:0;mso-height-percent:0" o:ole="">
                  <v:imagedata r:id="rId62" o:title=""/>
                </v:shape>
                <o:OLEObject Type="Embed" ProgID="Equation.3" ShapeID="_x0000_i1069" DrawAspect="Content" ObjectID="_1790692232" r:id="rId100"/>
              </w:object>
            </w:r>
            <w:r>
              <w:rPr>
                <w:sz w:val="20"/>
              </w:rPr>
              <w:t xml:space="preserve">, </w:t>
            </w:r>
            <w:r w:rsidR="00BB6B61">
              <w:rPr>
                <w:noProof/>
                <w:position w:val="-10"/>
                <w:sz w:val="20"/>
              </w:rPr>
              <w:object w:dxaOrig="700" w:dyaOrig="317" w14:anchorId="0A3EE806">
                <v:shape id="_x0000_i1070" type="#_x0000_t75" alt="" style="width:34.95pt;height:15.4pt;mso-width-percent:0;mso-height-percent:0;mso-width-percent:0;mso-height-percent:0" o:ole="">
                  <v:imagedata r:id="rId64" o:title=""/>
                </v:shape>
                <o:OLEObject Type="Embed" ProgID="Equation.3" ShapeID="_x0000_i1070" DrawAspect="Content" ObjectID="_1790692233" r:id="rId101"/>
              </w:object>
            </w:r>
            <w:r>
              <w:rPr>
                <w:sz w:val="20"/>
              </w:rPr>
              <w:t xml:space="preserve">, </w:t>
            </w:r>
            <w:r w:rsidR="00BB6B61">
              <w:rPr>
                <w:noProof/>
                <w:position w:val="-10"/>
                <w:sz w:val="20"/>
              </w:rPr>
              <w:object w:dxaOrig="687" w:dyaOrig="317" w14:anchorId="2A57D2D2">
                <v:shape id="_x0000_i1071" type="#_x0000_t75" alt="" style="width:34.6pt;height:15.4pt;mso-width-percent:0;mso-height-percent:0;mso-width-percent:0;mso-height-percent:0" o:ole="">
                  <v:imagedata r:id="rId46" o:title=""/>
                </v:shape>
                <o:OLEObject Type="Embed" ProgID="Equation.3" ShapeID="_x0000_i1071" DrawAspect="Content" ObjectID="_1790692234" r:id="rId102"/>
              </w:object>
            </w:r>
            <w:r>
              <w:rPr>
                <w:sz w:val="20"/>
              </w:rPr>
              <w:t xml:space="preserve">, </w:t>
            </w:r>
            <w:r w:rsidR="00BB6B61">
              <w:rPr>
                <w:noProof/>
                <w:position w:val="-10"/>
                <w:sz w:val="20"/>
              </w:rPr>
              <w:object w:dxaOrig="766" w:dyaOrig="317" w14:anchorId="063F9550">
                <v:shape id="_x0000_i1072" type="#_x0000_t75" alt="" style="width:38.1pt;height:15.4pt;mso-width-percent:0;mso-height-percent:0;mso-width-percent:0;mso-height-percent:0" o:ole="">
                  <v:imagedata r:id="rId48" o:title=""/>
                </v:shape>
                <o:OLEObject Type="Embed" ProgID="Equation.3" ShapeID="_x0000_i1072" DrawAspect="Content" ObjectID="_1790692235" r:id="rId103"/>
              </w:object>
            </w:r>
            <w:r>
              <w:rPr>
                <w:sz w:val="20"/>
              </w:rPr>
              <w:t xml:space="preserve">, </w:t>
            </w:r>
            <w:r w:rsidR="00BB6B61">
              <w:rPr>
                <w:noProof/>
                <w:position w:val="-10"/>
                <w:sz w:val="20"/>
              </w:rPr>
              <w:object w:dxaOrig="766" w:dyaOrig="317" w14:anchorId="504FDB6E">
                <v:shape id="_x0000_i1073" type="#_x0000_t75" alt="" style="width:38.1pt;height:15.4pt;mso-width-percent:0;mso-height-percent:0;mso-width-percent:0;mso-height-percent:0" o:ole="">
                  <v:imagedata r:id="rId70" o:title=""/>
                </v:shape>
                <o:OLEObject Type="Embed" ProgID="Equation.3" ShapeID="_x0000_i1073" DrawAspect="Content" ObjectID="_1790692236" r:id="rId104"/>
              </w:object>
            </w:r>
            <w:r>
              <w:rPr>
                <w:sz w:val="20"/>
              </w:rPr>
              <w:t xml:space="preserve"> or </w:t>
            </w:r>
            <w:r w:rsidR="00BB6B61">
              <w:rPr>
                <w:noProof/>
                <w:position w:val="-10"/>
                <w:sz w:val="20"/>
              </w:rPr>
              <w:object w:dxaOrig="766" w:dyaOrig="317" w14:anchorId="22A1DBBC">
                <v:shape id="_x0000_i1074" type="#_x0000_t75" alt="" style="width:38.1pt;height:15.4pt;mso-width-percent:0;mso-height-percent:0;mso-width-percent:0;mso-height-percent:0" o:ole="">
                  <v:imagedata r:id="rId52" o:title=""/>
                </v:shape>
                <o:OLEObject Type="Embed" ProgID="Equation.3" ShapeID="_x0000_i1074" DrawAspect="Content" ObjectID="_1790692237" r:id="rId105"/>
              </w:object>
            </w:r>
            <w:r>
              <w:rPr>
                <w:sz w:val="20"/>
              </w:rPr>
              <w:t xml:space="preserve"> for frequency range 2.</w:t>
            </w:r>
          </w:p>
          <w:p w14:paraId="009F219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estimation methods, the maximum frequency offset which can be estimated is determined by the minimum gap between two TRS symbols. </w:t>
            </w:r>
          </w:p>
          <w:p w14:paraId="5C99B7B4" w14:textId="77777777" w:rsidR="007D6A83" w:rsidRDefault="00245759">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ListParagraph"/>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ListParagraph"/>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aving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t>Proposal 1-6: Discuss how to define the UE capabilities for the different aspects of NZP-CSI-RS resource counting.</w:t>
            </w:r>
          </w:p>
          <w:p w14:paraId="210147C1" w14:textId="77777777" w:rsidR="007D6A83" w:rsidRDefault="00245759">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ListParagraph"/>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55"/>
        <w:gridCol w:w="1023"/>
        <w:gridCol w:w="7250"/>
      </w:tblGrid>
      <w:tr w:rsidR="007D6A83" w14:paraId="4D91C8D5" w14:textId="77777777" w:rsidTr="00E46520">
        <w:tc>
          <w:tcPr>
            <w:tcW w:w="135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7250"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rsidTr="00E46520">
        <w:tc>
          <w:tcPr>
            <w:tcW w:w="1355"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50"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rsidTr="00E46520">
        <w:tc>
          <w:tcPr>
            <w:tcW w:w="135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rsidTr="00E46520">
        <w:tc>
          <w:tcPr>
            <w:tcW w:w="135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50"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rsidTr="00E46520">
        <w:tc>
          <w:tcPr>
            <w:tcW w:w="135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rsidTr="00E46520">
        <w:tc>
          <w:tcPr>
            <w:tcW w:w="135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50"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rsidTr="00E46520">
        <w:tc>
          <w:tcPr>
            <w:tcW w:w="1355" w:type="dxa"/>
          </w:tcPr>
          <w:p w14:paraId="04E7EEE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50"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rsidTr="00E46520">
        <w:tc>
          <w:tcPr>
            <w:tcW w:w="135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50"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rsidTr="00E46520">
        <w:tc>
          <w:tcPr>
            <w:tcW w:w="135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50"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rsidTr="00E46520">
        <w:tc>
          <w:tcPr>
            <w:tcW w:w="135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50"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rsidTr="00E46520">
        <w:tc>
          <w:tcPr>
            <w:tcW w:w="135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1.6pt;height:134.9pt;mso-width-percent:0;mso-height-percent:0;mso-width-percent:0;mso-height-percent:0" o:ole="">
                  <v:imagedata r:id="rId107" o:title=""/>
                </v:shape>
                <o:OLEObject Type="Embed" ProgID="PBrush" ShapeID="_x0000_i1075" DrawAspect="Content" ObjectID="_1790692238" r:id="rId108"/>
              </w:object>
            </w:r>
          </w:p>
        </w:tc>
      </w:tr>
      <w:tr w:rsidR="007D6A83" w14:paraId="69A3443B" w14:textId="77777777" w:rsidTr="00E46520">
        <w:tc>
          <w:tcPr>
            <w:tcW w:w="135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50"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rsidTr="00E46520">
        <w:tc>
          <w:tcPr>
            <w:tcW w:w="135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50"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rsidTr="00E46520">
        <w:tc>
          <w:tcPr>
            <w:tcW w:w="135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rsidTr="00E46520">
        <w:tc>
          <w:tcPr>
            <w:tcW w:w="135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50"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rsidTr="00E46520">
        <w:tc>
          <w:tcPr>
            <w:tcW w:w="135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50"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Based on the comments, Alt2 is supported by more companies. So let</w:t>
            </w:r>
            <w:r>
              <w:rPr>
                <w:sz w:val="22"/>
                <w:lang w:val="en-US"/>
              </w:rPr>
              <w:t>’</w:t>
            </w:r>
            <w:r>
              <w:rPr>
                <w:rFonts w:hint="eastAsia"/>
                <w:sz w:val="22"/>
                <w:lang w:val="en-US"/>
              </w:rPr>
              <w:t>s consider the following updated proposal</w:t>
            </w:r>
          </w:p>
          <w:p w14:paraId="658BBFB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ListParagraph"/>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ListParagraph"/>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ListParagraph"/>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rsidTr="00E46520">
        <w:tc>
          <w:tcPr>
            <w:tcW w:w="1355"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50"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Additionally a UE capability, and potentially RRC activation may be neded.</w:t>
            </w:r>
          </w:p>
          <w:p w14:paraId="7D295928" w14:textId="77777777"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ListParagraph"/>
              <w:numPr>
                <w:ilvl w:val="0"/>
                <w:numId w:val="53"/>
              </w:numPr>
              <w:spacing w:afterLines="50" w:after="120"/>
              <w:ind w:leftChars="0"/>
              <w:jc w:val="both"/>
              <w:rPr>
                <w:sz w:val="22"/>
                <w:lang w:val="en-US"/>
              </w:rPr>
            </w:pPr>
            <w:r w:rsidRPr="002007B8">
              <w:rPr>
                <w:b/>
                <w:bCs/>
                <w:sz w:val="22"/>
                <w:lang w:val="en-US"/>
              </w:rPr>
              <w:t>Calculation over a few CSI-RS occasions:</w:t>
            </w:r>
            <w:r>
              <w:rPr>
                <w:sz w:val="22"/>
                <w:lang w:val="en-US"/>
              </w:rPr>
              <w:t xml:space="preserve"> The CSI report can indeed be based on unrestricted observation interval, and span across undefined number of CSI-RS instances. However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ListParagraph"/>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as per the existing specification is p</w:t>
            </w:r>
            <w:r>
              <w:rPr>
                <w:sz w:val="22"/>
                <w:lang w:val="en-US"/>
              </w:rPr>
              <w:t>event</w:t>
            </w:r>
            <w:r w:rsidR="00245759">
              <w:rPr>
                <w:sz w:val="22"/>
                <w:lang w:val="en-US"/>
              </w:rPr>
              <w:t>ing</w:t>
            </w:r>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rsidTr="00E46520">
        <w:tc>
          <w:tcPr>
            <w:tcW w:w="1355"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50"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tc>
      </w:tr>
      <w:tr w:rsidR="00CA04EA" w14:paraId="112720CD" w14:textId="77777777" w:rsidTr="00E46520">
        <w:tc>
          <w:tcPr>
            <w:tcW w:w="1355" w:type="dxa"/>
          </w:tcPr>
          <w:p w14:paraId="2665CEF2" w14:textId="55AB8FB1" w:rsidR="00CA04EA" w:rsidRDefault="00CA04EA" w:rsidP="00CA04E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AC0ECA3" w14:textId="77777777" w:rsidR="00CA04EA" w:rsidRDefault="00CA04EA" w:rsidP="00CA04EA">
            <w:pPr>
              <w:spacing w:afterLines="50" w:after="120"/>
              <w:jc w:val="both"/>
              <w:rPr>
                <w:rFonts w:eastAsiaTheme="minorEastAsia"/>
                <w:sz w:val="22"/>
                <w:lang w:val="en-US" w:eastAsia="zh-CN"/>
              </w:rPr>
            </w:pPr>
          </w:p>
        </w:tc>
        <w:tc>
          <w:tcPr>
            <w:tcW w:w="7250" w:type="dxa"/>
          </w:tcPr>
          <w:p w14:paraId="31B461C1" w14:textId="77777777" w:rsidR="00CA04EA" w:rsidRPr="00324FC0" w:rsidRDefault="00CA04EA" w:rsidP="00CA04EA">
            <w:pPr>
              <w:rPr>
                <w:rFonts w:eastAsia="Gulim"/>
                <w:sz w:val="22"/>
                <w:szCs w:val="22"/>
                <w:lang w:val="en-US" w:eastAsia="ko-KR"/>
              </w:rPr>
            </w:pPr>
            <w:r w:rsidRPr="00324FC0">
              <w:rPr>
                <w:sz w:val="22"/>
                <w:szCs w:val="22"/>
                <w:lang w:eastAsia="ko-KR"/>
              </w:rPr>
              <w:t>We still have negative views on this proposal.</w:t>
            </w:r>
          </w:p>
          <w:p w14:paraId="7016E487" w14:textId="77777777" w:rsidR="00CA04EA" w:rsidRPr="00324FC0" w:rsidRDefault="00CA04EA" w:rsidP="00CA04EA">
            <w:pPr>
              <w:rPr>
                <w:rFonts w:ascii="游ゴ シ ッ ク" w:hAnsi="游ゴ シ ッ ク" w:cs="Gulim" w:hint="eastAsia"/>
                <w:sz w:val="22"/>
                <w:szCs w:val="22"/>
                <w:lang w:eastAsia="ko-KR"/>
              </w:rPr>
            </w:pPr>
            <w:r w:rsidRPr="00324FC0">
              <w:rPr>
                <w:sz w:val="22"/>
                <w:szCs w:val="22"/>
                <w:lang w:eastAsia="ko-KR"/>
              </w:rPr>
              <w:t>Active resource counting rule has been defined in Rel-15 which is indeed conservative from both UE and gNB side, but all UEs have followed this rule from Rel-15. Hence, it is most probably expected that almost all UEs and gNBs may implement their channel information acquisition and CSI-RS/CSI report triggering mechanism based on this principle.</w:t>
            </w:r>
          </w:p>
          <w:p w14:paraId="394A10D2" w14:textId="77777777" w:rsidR="00CA04EA" w:rsidRPr="00324FC0" w:rsidRDefault="00CA04EA" w:rsidP="00CA04EA">
            <w:pPr>
              <w:rPr>
                <w:sz w:val="22"/>
                <w:szCs w:val="22"/>
                <w:lang w:eastAsia="ko-KR"/>
              </w:rPr>
            </w:pPr>
            <w:r w:rsidRPr="00324FC0">
              <w:rPr>
                <w:sz w:val="22"/>
                <w:szCs w:val="22"/>
                <w:lang w:eastAsia="ko-KR"/>
              </w:rPr>
              <w:t>As vivo mentioned, for P/SP CSI-RS, UE may perform estimation/averaging by using one or multiple occasions for channel information acquisition, so even though periodicity is large, we are not sure how to deactivate UE’s active counting since it would be different from different UE (i.e., depending on UE capability). Hence, it seems that it is not easy to determine “a fixed number of slots determined by the longest CSI computation time for the SCS” as putted in the sub-bullet in the proposal.</w:t>
            </w:r>
          </w:p>
          <w:p w14:paraId="4642F112" w14:textId="697412D7" w:rsidR="00CA04EA" w:rsidRDefault="00CA04EA" w:rsidP="00CA04EA">
            <w:pPr>
              <w:rPr>
                <w:rFonts w:eastAsiaTheme="minorEastAsia"/>
                <w:bCs/>
                <w:lang w:eastAsia="zh-CN"/>
              </w:rPr>
            </w:pPr>
            <w:r w:rsidRPr="00324FC0">
              <w:rPr>
                <w:sz w:val="22"/>
                <w:szCs w:val="22"/>
                <w:lang w:eastAsia="ko-KR"/>
              </w:rPr>
              <w:t xml:space="preserve">Also, it is not clear how much performance/throughput benefit can be achieved </w:t>
            </w:r>
            <w:r w:rsidRPr="00324FC0">
              <w:rPr>
                <w:sz w:val="22"/>
                <w:szCs w:val="22"/>
                <w:lang w:eastAsia="zh-CN"/>
              </w:rPr>
              <w:t>by the proposal over current operation if some time duration of P/SP CSI-RS can be deactivated.</w:t>
            </w:r>
          </w:p>
        </w:tc>
      </w:tr>
      <w:tr w:rsidR="00523216" w14:paraId="621F85FE" w14:textId="77777777" w:rsidTr="00E46520">
        <w:tc>
          <w:tcPr>
            <w:tcW w:w="1355" w:type="dxa"/>
          </w:tcPr>
          <w:p w14:paraId="34B0AF42" w14:textId="7AAC35EF" w:rsidR="00523216" w:rsidRPr="00523216" w:rsidRDefault="00523216" w:rsidP="00523216">
            <w:pPr>
              <w:spacing w:afterLines="50" w:after="120"/>
              <w:jc w:val="both"/>
              <w:rPr>
                <w:rFonts w:eastAsia="Malgun Gothic"/>
                <w:sz w:val="22"/>
                <w:lang w:eastAsia="ko-KR"/>
              </w:rPr>
            </w:pPr>
            <w:r>
              <w:rPr>
                <w:rFonts w:eastAsiaTheme="minorEastAsia" w:hint="eastAsia"/>
                <w:sz w:val="22"/>
                <w:lang w:val="en-US" w:eastAsia="zh-CN"/>
              </w:rPr>
              <w:t>Qualcomm</w:t>
            </w:r>
          </w:p>
        </w:tc>
        <w:tc>
          <w:tcPr>
            <w:tcW w:w="1023" w:type="dxa"/>
          </w:tcPr>
          <w:p w14:paraId="79404B6B" w14:textId="77777777" w:rsidR="00523216" w:rsidRDefault="00523216" w:rsidP="00523216">
            <w:pPr>
              <w:spacing w:afterLines="50" w:after="120"/>
              <w:jc w:val="both"/>
              <w:rPr>
                <w:rFonts w:eastAsiaTheme="minorEastAsia"/>
                <w:sz w:val="22"/>
                <w:lang w:val="en-US" w:eastAsia="zh-CN"/>
              </w:rPr>
            </w:pPr>
          </w:p>
        </w:tc>
        <w:tc>
          <w:tcPr>
            <w:tcW w:w="7250" w:type="dxa"/>
          </w:tcPr>
          <w:p w14:paraId="3B9E0A03" w14:textId="77777777" w:rsidR="00523216" w:rsidRDefault="00523216" w:rsidP="00523216">
            <w:pPr>
              <w:rPr>
                <w:rFonts w:eastAsiaTheme="minorEastAsia"/>
                <w:bCs/>
                <w:lang w:eastAsia="zh-CN"/>
              </w:rPr>
            </w:pPr>
            <w:r>
              <w:rPr>
                <w:rFonts w:eastAsiaTheme="minorEastAsia" w:hint="eastAsia"/>
                <w:bCs/>
                <w:lang w:eastAsia="zh-CN"/>
              </w:rPr>
              <w:t>For the updated proposal 16-1a</w:t>
            </w:r>
            <w:r>
              <w:rPr>
                <w:rFonts w:eastAsiaTheme="minorEastAsia"/>
                <w:bCs/>
                <w:lang w:eastAsia="zh-CN"/>
              </w:rPr>
              <w:t>, some more specific questions</w:t>
            </w:r>
            <w:r>
              <w:rPr>
                <w:rFonts w:eastAsiaTheme="minorEastAsia" w:hint="eastAsia"/>
                <w:bCs/>
                <w:lang w:eastAsia="zh-CN"/>
              </w:rPr>
              <w:t xml:space="preserve"> regarding timeline we mentioned earlier</w:t>
            </w:r>
            <w:r>
              <w:rPr>
                <w:rFonts w:eastAsiaTheme="minorEastAsia"/>
                <w:bCs/>
                <w:lang w:eastAsia="zh-CN"/>
              </w:rPr>
              <w:t>.</w:t>
            </w:r>
          </w:p>
          <w:p w14:paraId="38F2D60E" w14:textId="77777777" w:rsidR="00523216" w:rsidRDefault="00523216" w:rsidP="00523216">
            <w:pPr>
              <w:rPr>
                <w:rFonts w:eastAsiaTheme="minorEastAsia"/>
                <w:bCs/>
                <w:lang w:val="en-US" w:eastAsia="zh-CN"/>
              </w:rPr>
            </w:pPr>
            <w:r>
              <w:rPr>
                <w:rFonts w:eastAsiaTheme="minorEastAsia"/>
                <w:bCs/>
                <w:lang w:val="en-US" w:eastAsia="zh-CN"/>
              </w:rPr>
              <w:t xml:space="preserve">In our understanding, the </w:t>
            </w:r>
            <w:r>
              <w:rPr>
                <w:rFonts w:eastAsiaTheme="minorEastAsia" w:hint="eastAsia"/>
                <w:bCs/>
                <w:lang w:val="en-US" w:eastAsia="zh-CN"/>
              </w:rPr>
              <w:t xml:space="preserve">proposed </w:t>
            </w:r>
            <w:r>
              <w:rPr>
                <w:rFonts w:eastAsiaTheme="minorEastAsia"/>
                <w:bCs/>
                <w:lang w:val="en-US" w:eastAsia="zh-CN"/>
              </w:rPr>
              <w:t>CSI timeline (or “</w:t>
            </w:r>
            <w:r w:rsidRPr="00FD1224">
              <w:rPr>
                <w:rFonts w:eastAsiaTheme="minorEastAsia"/>
                <w:bCs/>
                <w:lang w:val="en-US" w:eastAsia="zh-CN"/>
              </w:rPr>
              <w:t>CSI computation time</w:t>
            </w:r>
            <w:r>
              <w:rPr>
                <w:rFonts w:eastAsiaTheme="minorEastAsia"/>
                <w:bCs/>
                <w:lang w:val="en-US" w:eastAsia="zh-CN"/>
              </w:rPr>
              <w:t xml:space="preserve">”) </w:t>
            </w:r>
            <w:r>
              <w:rPr>
                <w:rFonts w:eastAsiaTheme="minorEastAsia" w:hint="eastAsia"/>
                <w:bCs/>
                <w:lang w:val="en-US" w:eastAsia="zh-CN"/>
              </w:rPr>
              <w:t xml:space="preserve">here </w:t>
            </w:r>
            <w:r>
              <w:rPr>
                <w:rFonts w:eastAsiaTheme="minorEastAsia"/>
                <w:bCs/>
                <w:lang w:val="en-US" w:eastAsia="zh-CN"/>
              </w:rPr>
              <w:t xml:space="preserve">to define the “periodically” active duration of P(SP)-CSI-RS, it should follow the concept/logic of legacy </w:t>
            </w:r>
            <w:r>
              <w:rPr>
                <w:rFonts w:eastAsiaTheme="minorEastAsia" w:hint="eastAsia"/>
                <w:bCs/>
                <w:lang w:val="en-US" w:eastAsia="zh-CN"/>
              </w:rPr>
              <w:t>timeline</w:t>
            </w:r>
            <w:r>
              <w:rPr>
                <w:rFonts w:eastAsiaTheme="minorEastAsia"/>
                <w:bCs/>
                <w:lang w:val="en-US" w:eastAsia="zh-CN"/>
              </w:rPr>
              <w:t>: Counting from the last symbol of CMR(s)/IMR(s) of a measurement, to the end of the timeline.</w:t>
            </w:r>
          </w:p>
          <w:p w14:paraId="570A9D11" w14:textId="77777777" w:rsidR="00523216" w:rsidRDefault="00523216" w:rsidP="00523216">
            <w:pPr>
              <w:rPr>
                <w:rFonts w:eastAsiaTheme="minorEastAsia"/>
                <w:bCs/>
                <w:lang w:val="en-US" w:eastAsia="zh-CN"/>
              </w:rPr>
            </w:pPr>
            <w:r>
              <w:rPr>
                <w:rFonts w:eastAsiaTheme="minorEastAsia"/>
                <w:bCs/>
                <w:lang w:val="en-US" w:eastAsia="zh-CN"/>
              </w:rPr>
              <w:t xml:space="preserve">However, for P/SP-CSI-RS(or IM), standard has no definition of what occasion(s) are used for </w:t>
            </w:r>
            <w:r>
              <w:rPr>
                <w:rFonts w:eastAsiaTheme="minorEastAsia" w:hint="eastAsia"/>
                <w:bCs/>
                <w:lang w:val="en-US" w:eastAsia="zh-CN"/>
              </w:rPr>
              <w:t xml:space="preserve">computation of </w:t>
            </w:r>
            <w:r w:rsidRPr="00AD55F3">
              <w:rPr>
                <w:rFonts w:eastAsiaTheme="minorEastAsia" w:hint="eastAsia"/>
                <w:b/>
                <w:lang w:val="en-US" w:eastAsia="zh-CN"/>
              </w:rPr>
              <w:t>one</w:t>
            </w:r>
            <w:r>
              <w:rPr>
                <w:rFonts w:eastAsiaTheme="minorEastAsia"/>
                <w:bCs/>
                <w:lang w:val="en-US" w:eastAsia="zh-CN"/>
              </w:rPr>
              <w:t xml:space="preserve"> measurement</w:t>
            </w:r>
            <w:r>
              <w:rPr>
                <w:rFonts w:eastAsiaTheme="minorEastAsia" w:hint="eastAsia"/>
                <w:bCs/>
                <w:lang w:val="en-US" w:eastAsia="zh-CN"/>
              </w:rPr>
              <w:t xml:space="preserve"> </w:t>
            </w:r>
            <w:r>
              <w:rPr>
                <w:rFonts w:eastAsiaTheme="minorEastAsia"/>
                <w:bCs/>
                <w:lang w:val="en-US" w:eastAsia="zh-CN"/>
              </w:rPr>
              <w:t>–</w:t>
            </w:r>
            <w:r>
              <w:rPr>
                <w:rFonts w:eastAsiaTheme="minorEastAsia" w:hint="eastAsia"/>
                <w:bCs/>
                <w:lang w:val="en-US" w:eastAsia="zh-CN"/>
              </w:rPr>
              <w:t xml:space="preserve"> no correspondence b/w CMR(s)/IMR(s) </w:t>
            </w:r>
            <w:r>
              <w:rPr>
                <w:rFonts w:eastAsiaTheme="minorEastAsia"/>
                <w:bCs/>
                <w:lang w:val="en-US" w:eastAsia="zh-CN"/>
              </w:rPr>
              <w:t>–</w:t>
            </w:r>
            <w:r>
              <w:rPr>
                <w:rFonts w:eastAsiaTheme="minorEastAsia" w:hint="eastAsia"/>
                <w:bCs/>
                <w:lang w:val="en-US" w:eastAsia="zh-CN"/>
              </w:rPr>
              <w:t xml:space="preserve"> therefore, how</w:t>
            </w:r>
            <w:r>
              <w:rPr>
                <w:rFonts w:eastAsiaTheme="minorEastAsia"/>
                <w:bCs/>
                <w:lang w:val="en-US" w:eastAsia="zh-CN"/>
              </w:rPr>
              <w:t xml:space="preserve"> to identify the last symbol </w:t>
            </w:r>
            <w:r>
              <w:rPr>
                <w:rFonts w:eastAsiaTheme="minorEastAsia" w:hint="eastAsia"/>
                <w:bCs/>
                <w:lang w:val="en-US" w:eastAsia="zh-CN"/>
              </w:rPr>
              <w:t>as the starting of the counted timeline? Starting from every CMR/IMR</w:t>
            </w:r>
            <w:r>
              <w:rPr>
                <w:rFonts w:eastAsiaTheme="minorEastAsia"/>
                <w:bCs/>
                <w:lang w:val="en-US" w:eastAsia="zh-CN"/>
              </w:rPr>
              <w:t>’</w:t>
            </w:r>
            <w:r>
              <w:rPr>
                <w:rFonts w:eastAsiaTheme="minorEastAsia" w:hint="eastAsia"/>
                <w:bCs/>
                <w:lang w:val="en-US" w:eastAsia="zh-CN"/>
              </w:rPr>
              <w:t>s last symbol?</w:t>
            </w:r>
          </w:p>
          <w:p w14:paraId="329A3CE9" w14:textId="77777777" w:rsidR="00523216" w:rsidRPr="00324FC0" w:rsidRDefault="00523216" w:rsidP="00523216">
            <w:pPr>
              <w:rPr>
                <w:sz w:val="22"/>
                <w:szCs w:val="22"/>
                <w:lang w:eastAsia="ko-KR"/>
              </w:rPr>
            </w:pPr>
          </w:p>
        </w:tc>
      </w:tr>
      <w:tr w:rsidR="00E46520" w14:paraId="6F3E67F1" w14:textId="77777777" w:rsidTr="00E46520">
        <w:tc>
          <w:tcPr>
            <w:tcW w:w="1355" w:type="dxa"/>
          </w:tcPr>
          <w:p w14:paraId="4AA6EE20" w14:textId="2AFE352C" w:rsidR="00E46520" w:rsidRDefault="00E46520" w:rsidP="00E4652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010A31A6" w14:textId="754AAE40" w:rsidR="00E46520" w:rsidRDefault="00E46520" w:rsidP="00E46520">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7F1F4F9E" w14:textId="4D0BC236" w:rsidR="00E46520" w:rsidRDefault="00E46520" w:rsidP="00E46520">
            <w:pPr>
              <w:rPr>
                <w:rFonts w:eastAsiaTheme="minorEastAsia"/>
                <w:bCs/>
                <w:lang w:eastAsia="zh-CN"/>
              </w:rPr>
            </w:pPr>
            <w:r>
              <w:rPr>
                <w:rFonts w:eastAsiaTheme="minorEastAsia"/>
                <w:bCs/>
                <w:lang w:val="en-US" w:eastAsia="zh-CN"/>
              </w:rPr>
              <w:t xml:space="preserve">We are fine with latest moderator proposal. We do see some value though in further progressing this topic. However, based on the comments, we are also open to discuss to identify a definition that could be workable. </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ListParagraph"/>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ListParagraph"/>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06C9E46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OK that the limitation should be limited to the same report content(e.g. codebook type, same frequency config, i.e. wide/subbands)</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r>
              <w:rPr>
                <w:rFonts w:eastAsia="Times New Roman"/>
                <w:i/>
                <w:iCs/>
                <w:color w:val="7030A0"/>
                <w:sz w:val="18"/>
                <w:szCs w:val="18"/>
              </w:rPr>
              <w:t>qcl-InfoPeriodicCSI-RS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ListParagraph"/>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ListParagraph"/>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ListParagraph"/>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The spec already allows the smart UE impl to skip these BDs.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of  PDCCH MO ‘bookkeeping’ since UE needs to performm MO pruning once any of the &lt;TDD configuration,K0/K2 sets&gt; is re-configured. The benefit of UE complexity reduction is marginal because UE still needs to monitor this MO since both DCI x_0 and x_1 needs to be montored based on the exsising search space configuration. Due to this, many steps in PDCCH decoding path are not avoidable even assuming one of these DCI format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Caption"/>
              <w:jc w:val="both"/>
              <w:rPr>
                <w:sz w:val="18"/>
                <w:szCs w:val="18"/>
                <w:lang w:val="en-US"/>
              </w:rPr>
            </w:pPr>
            <w:bookmarkStart w:id="31" w:name="_Toc131502032"/>
            <w:bookmarkStart w:id="32" w:name="_Toc131415286"/>
            <w:bookmarkStart w:id="33" w:name="_Toc131416005"/>
            <w:bookmarkStart w:id="34" w:name="_Toc131677051"/>
            <w:bookmarkStart w:id="35" w:name="_Toc131679116"/>
            <w:bookmarkStart w:id="36" w:name="_Toc131677880"/>
            <w:bookmarkStart w:id="37" w:name="_Toc134804115"/>
            <w:bookmarkStart w:id="38" w:name="_Toc131680189"/>
            <w:bookmarkStart w:id="39" w:name="_Toc131678915"/>
            <w:bookmarkStart w:id="40" w:name="_Ref127482374"/>
            <w:bookmarkStart w:id="41" w:name="_Toc134785499"/>
            <w:bookmarkStart w:id="42" w:name="_Toc131605368"/>
            <w:bookmarkStart w:id="43" w:name="_Toc131415971"/>
            <w:bookmarkStart w:id="44" w:name="_Toc131683505"/>
            <w:bookmarkStart w:id="45" w:name="_Toc131679084"/>
            <w:bookmarkStart w:id="46" w:name="_Toc131680870"/>
            <w:bookmarkStart w:id="47" w:name="_Toc131676608"/>
            <w:bookmarkStart w:id="48" w:name="_Toc134785462"/>
            <w:bookmarkStart w:id="49" w:name="_Toc134803082"/>
            <w:bookmarkStart w:id="50" w:name="_Toc131683165"/>
            <w:bookmarkStart w:id="51" w:name="_Toc131680894"/>
            <w:bookmarkStart w:id="52" w:name="_Toc131680074"/>
            <w:bookmarkStart w:id="53" w:name="_Toc131682998"/>
            <w:bookmarkStart w:id="54" w:name="_Toc131496967"/>
            <w:bookmarkStart w:id="55" w:name="_Toc131682976"/>
            <w:bookmarkStart w:id="56" w:name="_Toc131692292"/>
            <w:bookmarkStart w:id="57" w:name="_Toc131683433"/>
            <w:bookmarkStart w:id="58" w:name="_Toc134804229"/>
            <w:bookmarkStart w:id="59" w:name="_Toc131682954"/>
            <w:bookmarkStart w:id="60" w:name="_Toc131683592"/>
            <w:bookmarkStart w:id="61" w:name="_Toc131692329"/>
            <w:bookmarkStart w:id="62" w:name="_Toc131683289"/>
            <w:bookmarkStart w:id="63" w:name="_Toc131682804"/>
            <w:bookmarkStart w:id="64" w:name="_Toc131683397"/>
            <w:bookmarkStart w:id="65" w:name="_Toc131416022"/>
            <w:bookmarkStart w:id="66" w:name="_Toc134804180"/>
            <w:bookmarkStart w:id="67" w:name="_Toc131676770"/>
            <w:bookmarkStart w:id="68" w:name="_Toc131683020"/>
            <w:bookmarkStart w:id="69" w:name="_Toc131693302"/>
            <w:bookmarkStart w:id="70" w:name="_Toc131677934"/>
            <w:bookmarkStart w:id="71" w:name="_Toc131415988"/>
            <w:bookmarkStart w:id="72" w:name="_Toc131605816"/>
            <w:bookmarkStart w:id="73" w:name="_Toc131683042"/>
            <w:bookmarkStart w:id="74" w:name="_Toc131683253"/>
            <w:bookmarkStart w:id="75" w:name="_Toc131683325"/>
            <w:bookmarkStart w:id="76" w:name="_Toc131683469"/>
            <w:bookmarkStart w:id="77" w:name="_Toc131683361"/>
            <w:bookmarkStart w:id="78" w:name="_Toc131683541"/>
            <w:r>
              <w:rPr>
                <w:sz w:val="18"/>
                <w:szCs w:val="18"/>
              </w:rPr>
              <w:t>Observation 4-2: I</w:t>
            </w:r>
            <w:r>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ListParagraph"/>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ListParagraph"/>
        <w:numPr>
          <w:ilvl w:val="1"/>
          <w:numId w:val="20"/>
        </w:numPr>
        <w:ind w:leftChars="0"/>
        <w:jc w:val="both"/>
        <w:rPr>
          <w:b/>
        </w:rPr>
      </w:pPr>
      <w:r>
        <w:rPr>
          <w:b/>
        </w:rPr>
        <w:t>There is a change in PL compared to that in previous report.</w:t>
      </w:r>
    </w:p>
    <w:p w14:paraId="69B18147" w14:textId="77777777" w:rsidR="007D6A83" w:rsidRDefault="00245759">
      <w:pPr>
        <w:pStyle w:val="ListParagraph"/>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EE90030" w14:textId="77777777" w:rsidR="007D6A83" w:rsidRDefault="00245759">
            <w:pPr>
              <w:rPr>
                <w:sz w:val="22"/>
                <w:lang w:val="en-US"/>
              </w:rPr>
            </w:pPr>
            <w:r>
              <w:rPr>
                <w:sz w:val="22"/>
                <w:lang w:val="en-US"/>
              </w:rPr>
              <w:t xml:space="preserve">Phr-Tx-PowerFactorChange ENUMERATED {dB1, dB3, dB6, infinity}, </w:t>
            </w:r>
          </w:p>
          <w:p w14:paraId="7BB911DE" w14:textId="77777777" w:rsidR="007D6A83" w:rsidRDefault="00245759">
            <w:pPr>
              <w:pStyle w:val="CommentText"/>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10"/>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Caption"/>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Caption"/>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ListParagraph"/>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CommentText"/>
            </w:pPr>
            <w:r>
              <w:t xml:space="preserve">is this issue only relevant to waveform switching? </w:t>
            </w:r>
          </w:p>
          <w:p w14:paraId="1BE12F2A" w14:textId="77777777" w:rsidR="007D6A83" w:rsidRDefault="00245759">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CommentText"/>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TO_i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Normally, for TSG SA/CT work that requires cat.B/C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NOTE: *: provisional WI codes, companion WIDs/"mini-WIDs" are not meant here but already TSG approved proper WIs.</w:t>
      </w:r>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Otherwise "small" (TEI) but affecting multiple TSGs would contradict each other. (Apart from this, inter-TSG TEI CRs would also not work well together for cat.B/C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2"/>
    </w:p>
    <w:p w14:paraId="3CCEA1A9" w14:textId="77777777" w:rsidR="007D6A83" w:rsidRDefault="00245759">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cat.F CRs and for cat.B/C TEI </w:t>
      </w:r>
      <w:r>
        <w:rPr>
          <w:sz w:val="22"/>
          <w:szCs w:val="18"/>
        </w:rPr>
        <w:tab/>
        <w:t xml:space="preserve">CRs to guarantee that a complete set of CRs is approved. Note: For cat.B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cat.B/C </w:t>
      </w:r>
      <w:r>
        <w:rPr>
          <w:sz w:val="22"/>
          <w:szCs w:val="18"/>
        </w:rPr>
        <w:tab/>
        <w:t>TEI CR of RAN1/2/3/4 that has a corresponding CR in RAN5 under TEIx_Test.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What needs to be done if WGx is assuming that TS/TR ab.cde of WGy is affected but they are not sure?</w:t>
      </w:r>
      <w:r>
        <w:rPr>
          <w:sz w:val="22"/>
          <w:szCs w:val="18"/>
        </w:rPr>
        <w:br/>
      </w:r>
      <w:r>
        <w:rPr>
          <w:sz w:val="22"/>
          <w:szCs w:val="18"/>
        </w:rPr>
        <w:tab/>
        <w:t xml:space="preserve">WGx should list under "other comments" on the CR cover: "WGx thinks that also TS/TR ab.cde of WGy could be </w:t>
      </w:r>
      <w:r>
        <w:rPr>
          <w:sz w:val="22"/>
          <w:szCs w:val="18"/>
        </w:rPr>
        <w:tab/>
        <w:t>impacted by this CR." Depending on the probability WGx would tick Yes (and mention the spec) or No.</w:t>
      </w:r>
      <w:r>
        <w:rPr>
          <w:sz w:val="22"/>
          <w:szCs w:val="18"/>
        </w:rPr>
        <w:br/>
      </w:r>
      <w:r>
        <w:rPr>
          <w:sz w:val="22"/>
          <w:szCs w:val="18"/>
        </w:rPr>
        <w:tab/>
        <w:t xml:space="preserve">CR proponents shall check this with WGy (e.g. by sending an LS from WGx to WGy, submitting a Tdoc in WGy, </w:t>
      </w:r>
      <w:r>
        <w:rPr>
          <w:sz w:val="22"/>
          <w:szCs w:val="18"/>
        </w:rPr>
        <w:tab/>
        <w:t xml:space="preserve">talking to the chairman of WGy) so that at the TSG meeting where WGx submits this CR for approval it is either </w:t>
      </w:r>
      <w:r>
        <w:rPr>
          <w:sz w:val="22"/>
          <w:szCs w:val="18"/>
        </w:rPr>
        <w:tab/>
        <w:t>clear that there is no impact or that the WGy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WGx CR there but linked WGy CR not available) can not be approved at TSG level and </w:t>
      </w:r>
      <w:r>
        <w:rPr>
          <w:sz w:val="22"/>
          <w:szCs w:val="18"/>
        </w:rPr>
        <w:tab/>
        <w:t xml:space="preserve">since cat.B/C TEI CRs have to be completed within one </w:t>
      </w:r>
      <w:r>
        <w:rPr>
          <w:sz w:val="22"/>
          <w:szCs w:val="18"/>
        </w:rPr>
        <w:tab/>
        <w:t xml:space="preserve">quarter, this is time critical. </w:t>
      </w:r>
      <w:r>
        <w:rPr>
          <w:sz w:val="22"/>
          <w:szCs w:val="18"/>
        </w:rPr>
        <w:br/>
      </w:r>
      <w:r>
        <w:rPr>
          <w:sz w:val="22"/>
          <w:szCs w:val="18"/>
        </w:rPr>
        <w:tab/>
        <w:t>Therefore very good preparation of cat.B/C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cat.B/C CR and each TEI cat.F/A CR that corrects functionality related to an earlier TEI </w:t>
      </w:r>
      <w:r>
        <w:rPr>
          <w:b/>
          <w:bCs/>
          <w:sz w:val="22"/>
          <w:szCs w:val="18"/>
        </w:rPr>
        <w:tab/>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TEI cat.B/C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Cat.F/A CRs for TEIs which did not have a unique identifier by </w:t>
      </w:r>
      <w:r>
        <w:rPr>
          <w:sz w:val="22"/>
          <w:szCs w:val="18"/>
        </w:rPr>
        <w:tab/>
        <w:t>RAN #91e  will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NR_newRAT-Core, TEIxx CRs </w:t>
      </w:r>
      <w:r>
        <w:rPr>
          <w:sz w:val="22"/>
          <w:szCs w:val="18"/>
        </w:rPr>
        <w:tab/>
        <w:t>because NR_newRAT-Core was the huge WI for 5G.</w:t>
      </w:r>
    </w:p>
    <w:p w14:paraId="2A8B35A0" w14:textId="77777777" w:rsidR="007D6A83" w:rsidRDefault="00245759">
      <w:pPr>
        <w:rPr>
          <w:sz w:val="22"/>
          <w:szCs w:val="18"/>
        </w:rPr>
      </w:pPr>
      <w:r>
        <w:rPr>
          <w:sz w:val="22"/>
          <w:szCs w:val="18"/>
        </w:rPr>
        <w:t>-</w:t>
      </w:r>
      <w:r>
        <w:rPr>
          <w:sz w:val="22"/>
          <w:szCs w:val="18"/>
        </w:rPr>
        <w:tab/>
        <w:t xml:space="preserve">As the unique idendifiers are part of the CR title, they will be automatically stored in the CR database. Therefore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R2-2112345 (38.331 cat.C)</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[DRX_coord]</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R2-2112345 (38.331, cat.B)</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cat.B/C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cat.B/C TEI CRs only? It would be useful to also list cat.F/A TEI CRs to correct </w:t>
      </w:r>
      <w:r>
        <w:rPr>
          <w:sz w:val="22"/>
          <w:szCs w:val="18"/>
        </w:rPr>
        <w:tab/>
        <w:t xml:space="preserve">formerly as cat.B/C TEI introduced features (corresponding CRs will have [ ] at the end of the Tdoc title and CR </w:t>
      </w:r>
      <w:r>
        <w:rPr>
          <w:sz w:val="22"/>
          <w:szCs w:val="18"/>
        </w:rPr>
        <w:tab/>
        <w:t>proponents will inform the WG chairman if there were any agreed/endorsed CRs lile this)</w:t>
      </w:r>
    </w:p>
    <w:p w14:paraId="46B58CFE" w14:textId="77777777" w:rsidR="007D6A83" w:rsidRDefault="00245759">
      <w:pPr>
        <w:rPr>
          <w:sz w:val="22"/>
          <w:szCs w:val="18"/>
        </w:rPr>
      </w:pPr>
      <w:r>
        <w:rPr>
          <w:sz w:val="22"/>
          <w:szCs w:val="18"/>
        </w:rPr>
        <w:t>-</w:t>
      </w:r>
      <w:r>
        <w:rPr>
          <w:sz w:val="22"/>
          <w:szCs w:val="18"/>
        </w:rPr>
        <w:tab/>
        <w:t>what about CRs for WI code combinations like "&lt;WI code&gt;, TEIxx"?</w:t>
      </w:r>
      <w:r>
        <w:rPr>
          <w:sz w:val="22"/>
          <w:szCs w:val="18"/>
        </w:rPr>
        <w:br/>
      </w:r>
      <w:r>
        <w:rPr>
          <w:sz w:val="22"/>
          <w:szCs w:val="18"/>
        </w:rPr>
        <w:tab/>
        <w:t>These CRs appear when &lt;WI code&gt; was a WI of a Rel-yy with yy&lt;xx.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NR_newRAT-Core as this was the generic NR WI that </w:t>
      </w:r>
      <w:r>
        <w:rPr>
          <w:sz w:val="22"/>
          <w:szCs w:val="18"/>
        </w:rPr>
        <w:tab/>
        <w:t xml:space="preserve">introduced the whole 5G and if we do not track "NR_newRAT-Core, TEIxx"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cat.B/C CRs from </w:t>
      </w:r>
      <w:r>
        <w:rPr>
          <w:sz w:val="22"/>
          <w:szCs w:val="18"/>
        </w:rPr>
        <w:tab/>
        <w:t xml:space="preserve">RAN1/2/3/4 together with ~50% </w:t>
      </w:r>
      <w:r>
        <w:rPr>
          <w:sz w:val="22"/>
          <w:szCs w:val="18"/>
        </w:rPr>
        <w:tab/>
        <w:t xml:space="preserve">TEI16, ~25% "NR_newRAT-Core, TEIxx" and ~25% other WI code, TEI16 </w:t>
      </w:r>
      <w:r>
        <w:rPr>
          <w:sz w:val="22"/>
          <w:szCs w:val="18"/>
        </w:rPr>
        <w:tab/>
        <w:t>CRs. So this means ~20 CRs per TSG RAN meeting plus a few cat.F/A corrections to former cat.B/C TEIxx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WGx expected a CR from WGy but WGy did not provide such a CR, then there </w:t>
      </w:r>
      <w:r>
        <w:rPr>
          <w:sz w:val="22"/>
          <w:szCs w:val="18"/>
        </w:rPr>
        <w:tab/>
        <w:t xml:space="preserve">are 2 possibilities: The CR from WGy was not needed (then this will be documented e.g. in the RAN minutes or in </w:t>
      </w:r>
      <w:r>
        <w:rPr>
          <w:sz w:val="22"/>
          <w:szCs w:val="18"/>
        </w:rPr>
        <w:tab/>
        <w:t xml:space="preserve">a revised WG chairman's report) or WGy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CR for the WGy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cat.B/C </w:t>
      </w:r>
      <w:r>
        <w:rPr>
          <w:sz w:val="22"/>
          <w:szCs w:val="18"/>
        </w:rPr>
        <w:tab/>
        <w:t xml:space="preserve">CRs (and their corresponding cat.F/A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11"/>
      <w:footerReference w:type="default" r:id="rId112"/>
      <w:footerReference w:type="first" r:id="rId11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71F8A" w14:textId="77777777" w:rsidR="00CB0185" w:rsidRDefault="00CB0185">
      <w:r>
        <w:separator/>
      </w:r>
    </w:p>
  </w:endnote>
  <w:endnote w:type="continuationSeparator" w:id="0">
    <w:p w14:paraId="24F7B09E" w14:textId="77777777" w:rsidR="00CB0185" w:rsidRDefault="00CB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游ゴ シ ッ ク">
    <w:altName w:val="Calibri"/>
    <w:charset w:val="00"/>
    <w:family w:val="auto"/>
    <w:pitch w:val="default"/>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A5AC" w14:textId="77777777" w:rsidR="002A4F9C" w:rsidRDefault="002A4F9C">
    <w:pPr>
      <w:pStyle w:val="Footer"/>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EzFZifwAQAA2wMAAA4AAAAAAAAAAAAAAAAALgIAAGRycy9lMm9Eb2Mu&#10;eG1sUEsBAi0AFAAGAAgAAAAhADft0fjZAAAAAwEAAA8AAAAAAAAAAAAAAAAASgQAAGRycy9kb3du&#10;cmV2LnhtbFBLBQYAAAAABAAEAPMAAABQBQ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C019" w14:textId="77777777" w:rsidR="002A4F9C" w:rsidRDefault="002A4F9C">
    <w:pPr>
      <w:pStyle w:val="Footer"/>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9RYtfPIBAADiAwAADgAAAAAAAAAAAAAAAAAuAgAAZHJzL2Uyb0Rv&#10;Yy54bWxQSwECLQAUAAYACAAAACEAN+3R+NkAAAADAQAADwAAAAAAAAAAAAAAAABMBAAAZHJzL2Rv&#10;d25yZXYueG1sUEsFBgAAAAAEAAQA8wAAAFI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8CF8" w14:textId="77777777" w:rsidR="002A4F9C" w:rsidRDefault="002A4F9C">
    <w:pPr>
      <w:pStyle w:val="Footer"/>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9pFKg9AEAAOIDAAAOAAAAAAAAAAAAAAAAAC4CAABkcnMvZTJv&#10;RG9jLnhtbFBLAQItABQABgAIAAAAIQA37dH42QAAAAMBAAAPAAAAAAAAAAAAAAAAAE4EAABkcnMv&#10;ZG93bnJldi54bWxQSwUGAAAAAAQABADzAAAAVAU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63662" w14:textId="77777777" w:rsidR="00CB0185" w:rsidRDefault="00CB0185">
      <w:r>
        <w:separator/>
      </w:r>
    </w:p>
  </w:footnote>
  <w:footnote w:type="continuationSeparator" w:id="0">
    <w:p w14:paraId="69659286" w14:textId="77777777" w:rsidR="00CB0185" w:rsidRDefault="00CB0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8724B7"/>
    <w:multiLevelType w:val="hybridMultilevel"/>
    <w:tmpl w:val="62D60F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6"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9"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0"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5"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6"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1"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2"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5"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0"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5"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7" w15:restartNumberingAfterBreak="0">
    <w:nsid w:val="4EE44A47"/>
    <w:multiLevelType w:val="hybridMultilevel"/>
    <w:tmpl w:val="9FDC33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40"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4"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5"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8"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114791761">
    <w:abstractNumId w:val="5"/>
  </w:num>
  <w:num w:numId="2" w16cid:durableId="1731340992">
    <w:abstractNumId w:val="30"/>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39628914">
    <w:abstractNumId w:val="6"/>
  </w:num>
  <w:num w:numId="4" w16cid:durableId="508059961">
    <w:abstractNumId w:val="24"/>
  </w:num>
  <w:num w:numId="5" w16cid:durableId="1604461383">
    <w:abstractNumId w:val="47"/>
  </w:num>
  <w:num w:numId="6" w16cid:durableId="974527858">
    <w:abstractNumId w:val="52"/>
  </w:num>
  <w:num w:numId="7" w16cid:durableId="1929652015">
    <w:abstractNumId w:val="16"/>
  </w:num>
  <w:num w:numId="8" w16cid:durableId="1423256929">
    <w:abstractNumId w:val="46"/>
  </w:num>
  <w:num w:numId="9" w16cid:durableId="697002861">
    <w:abstractNumId w:val="34"/>
  </w:num>
  <w:num w:numId="10" w16cid:durableId="1767572819">
    <w:abstractNumId w:val="33"/>
  </w:num>
  <w:num w:numId="11" w16cid:durableId="1933388971">
    <w:abstractNumId w:val="28"/>
  </w:num>
  <w:num w:numId="12" w16cid:durableId="1061715228">
    <w:abstractNumId w:val="39"/>
  </w:num>
  <w:num w:numId="13" w16cid:durableId="1879581098">
    <w:abstractNumId w:val="38"/>
  </w:num>
  <w:num w:numId="14" w16cid:durableId="894852582">
    <w:abstractNumId w:val="20"/>
  </w:num>
  <w:num w:numId="15" w16cid:durableId="274101292">
    <w:abstractNumId w:val="29"/>
  </w:num>
  <w:num w:numId="16" w16cid:durableId="302590235">
    <w:abstractNumId w:val="36"/>
  </w:num>
  <w:num w:numId="17" w16cid:durableId="1381785526">
    <w:abstractNumId w:val="42"/>
  </w:num>
  <w:num w:numId="18" w16cid:durableId="188373241">
    <w:abstractNumId w:val="53"/>
  </w:num>
  <w:num w:numId="19" w16cid:durableId="1830369322">
    <w:abstractNumId w:val="44"/>
  </w:num>
  <w:num w:numId="20" w16cid:durableId="1110126886">
    <w:abstractNumId w:val="51"/>
  </w:num>
  <w:num w:numId="21" w16cid:durableId="429393030">
    <w:abstractNumId w:val="40"/>
  </w:num>
  <w:num w:numId="22" w16cid:durableId="1027487001">
    <w:abstractNumId w:val="21"/>
  </w:num>
  <w:num w:numId="23" w16cid:durableId="1193879269">
    <w:abstractNumId w:val="10"/>
  </w:num>
  <w:num w:numId="24" w16cid:durableId="947853075">
    <w:abstractNumId w:val="48"/>
  </w:num>
  <w:num w:numId="25" w16cid:durableId="2128962793">
    <w:abstractNumId w:val="50"/>
  </w:num>
  <w:num w:numId="26" w16cid:durableId="872039416">
    <w:abstractNumId w:val="43"/>
  </w:num>
  <w:num w:numId="27" w16cid:durableId="338772421">
    <w:abstractNumId w:val="14"/>
  </w:num>
  <w:num w:numId="28" w16cid:durableId="92747681">
    <w:abstractNumId w:val="38"/>
    <w:lvlOverride w:ilvl="0">
      <w:startOverride w:val="1"/>
    </w:lvlOverride>
  </w:num>
  <w:num w:numId="29" w16cid:durableId="785273819">
    <w:abstractNumId w:val="27"/>
  </w:num>
  <w:num w:numId="30" w16cid:durableId="1488938067">
    <w:abstractNumId w:val="26"/>
  </w:num>
  <w:num w:numId="31" w16cid:durableId="609121164">
    <w:abstractNumId w:val="41"/>
  </w:num>
  <w:num w:numId="32" w16cid:durableId="1868714377">
    <w:abstractNumId w:val="11"/>
  </w:num>
  <w:num w:numId="33" w16cid:durableId="1896160484">
    <w:abstractNumId w:val="22"/>
  </w:num>
  <w:num w:numId="34" w16cid:durableId="775834513">
    <w:abstractNumId w:val="0"/>
  </w:num>
  <w:num w:numId="35" w16cid:durableId="51466298">
    <w:abstractNumId w:val="2"/>
  </w:num>
  <w:num w:numId="36" w16cid:durableId="1489399439">
    <w:abstractNumId w:val="32"/>
  </w:num>
  <w:num w:numId="37" w16cid:durableId="122238578">
    <w:abstractNumId w:val="3"/>
  </w:num>
  <w:num w:numId="38" w16cid:durableId="1819104902">
    <w:abstractNumId w:val="18"/>
  </w:num>
  <w:num w:numId="39" w16cid:durableId="1293900201">
    <w:abstractNumId w:val="25"/>
  </w:num>
  <w:num w:numId="40" w16cid:durableId="1802184737">
    <w:abstractNumId w:val="8"/>
  </w:num>
  <w:num w:numId="41" w16cid:durableId="1113523995">
    <w:abstractNumId w:val="19"/>
  </w:num>
  <w:num w:numId="42" w16cid:durableId="1054699413">
    <w:abstractNumId w:val="9"/>
  </w:num>
  <w:num w:numId="43" w16cid:durableId="786661193">
    <w:abstractNumId w:val="49"/>
  </w:num>
  <w:num w:numId="44" w16cid:durableId="1572933080">
    <w:abstractNumId w:val="7"/>
  </w:num>
  <w:num w:numId="45" w16cid:durableId="1220364490">
    <w:abstractNumId w:val="17"/>
  </w:num>
  <w:num w:numId="46" w16cid:durableId="1687639033">
    <w:abstractNumId w:val="15"/>
  </w:num>
  <w:num w:numId="47" w16cid:durableId="1753355999">
    <w:abstractNumId w:val="45"/>
  </w:num>
  <w:num w:numId="48" w16cid:durableId="529344078">
    <w:abstractNumId w:val="13"/>
  </w:num>
  <w:num w:numId="49" w16cid:durableId="432357657">
    <w:abstractNumId w:val="4"/>
  </w:num>
  <w:num w:numId="50" w16cid:durableId="158693515">
    <w:abstractNumId w:val="23"/>
  </w:num>
  <w:num w:numId="51" w16cid:durableId="669409514">
    <w:abstractNumId w:val="12"/>
  </w:num>
  <w:num w:numId="52" w16cid:durableId="355276351">
    <w:abstractNumId w:val="31"/>
  </w:num>
  <w:num w:numId="53" w16cid:durableId="835460980">
    <w:abstractNumId w:val="35"/>
  </w:num>
  <w:num w:numId="54" w16cid:durableId="775174834">
    <w:abstractNumId w:val="37"/>
  </w:num>
  <w:num w:numId="55" w16cid:durableId="297416762">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fillcolor="white" stroke="f">
      <v:fill color="white"/>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359"/>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67DDF"/>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60"/>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711"/>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4F3C"/>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51D"/>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984"/>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B36"/>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3FB0"/>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BD2"/>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8F5"/>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7C"/>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2E4"/>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50E"/>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5F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EF7"/>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7F7"/>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609"/>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5B85"/>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97B"/>
    <w:rsid w:val="00511B5E"/>
    <w:rsid w:val="00511B87"/>
    <w:rsid w:val="00511BBB"/>
    <w:rsid w:val="00511CEE"/>
    <w:rsid w:val="005122D0"/>
    <w:rsid w:val="00512563"/>
    <w:rsid w:val="00512685"/>
    <w:rsid w:val="005127F2"/>
    <w:rsid w:val="00513356"/>
    <w:rsid w:val="005133AD"/>
    <w:rsid w:val="005134C1"/>
    <w:rsid w:val="005139F5"/>
    <w:rsid w:val="00513A38"/>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216"/>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5EBA"/>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9E0"/>
    <w:rsid w:val="00572B2A"/>
    <w:rsid w:val="00572B31"/>
    <w:rsid w:val="00572BCE"/>
    <w:rsid w:val="00572C37"/>
    <w:rsid w:val="00572C9F"/>
    <w:rsid w:val="00572FB1"/>
    <w:rsid w:val="00572FEC"/>
    <w:rsid w:val="005735AD"/>
    <w:rsid w:val="005736B8"/>
    <w:rsid w:val="00573C20"/>
    <w:rsid w:val="00573DA3"/>
    <w:rsid w:val="00573F4B"/>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ADF"/>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552"/>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14D7"/>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EBC"/>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36A"/>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A97"/>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93"/>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743"/>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03D"/>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CA4"/>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65"/>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6855"/>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8B"/>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5B62"/>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46F"/>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9B3"/>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3F36"/>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02D"/>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4E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185"/>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016"/>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BD5"/>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1ED"/>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7B7"/>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C80"/>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680"/>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47E"/>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520"/>
    <w:rsid w:val="00E46653"/>
    <w:rsid w:val="00E46999"/>
    <w:rsid w:val="00E46DA2"/>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62B"/>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651"/>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90"/>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3EB"/>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2"/>
    <w:rsid w:val="00FD778E"/>
    <w:rsid w:val="00FD7CA9"/>
    <w:rsid w:val="00FE0009"/>
    <w:rsid w:val="00FE00EC"/>
    <w:rsid w:val="00FE0275"/>
    <w:rsid w:val="00FE04B7"/>
    <w:rsid w:val="00FE05A4"/>
    <w:rsid w:val="00FE07E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v:textbox inset="5.85pt,.7pt,5.85pt,.7pt"/>
    </o:shapedefaults>
    <o:shapelayout v:ext="edit">
      <o:idmap v:ext="edit" data="2"/>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aliases w:val="- Bullets,列出段落,?? ??,?????,????,Lista1,列出段落1,中等深浅网格 1 - 着色 21,¥¡¡¡¡ì¬º¥¹¥È¶ÎÂä,ÁÐ³ö¶ÎÂä,列表段落1,—ño’i—Ž,¥ê¥¹¥È¶ÎÂä,1st level - Bullet List Paragraph,Lettre d'introduction,Paragrafo elenco,Normal bullet 2,Bullet list,목록단락,列"/>
    <w:basedOn w:val="Normal"/>
    <w:link w:val="ListParagraphChar"/>
    <w:uiPriority w:val="34"/>
    <w:qFormat/>
    <w:pPr>
      <w:ind w:leftChars="400" w:left="840"/>
    </w:pPr>
  </w:style>
  <w:style w:type="character" w:customStyle="1" w:styleId="ListParagraphChar">
    <w:name w:val="List Paragraph Char"/>
    <w:aliases w:val="- Bullets Char,列出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lang w:eastAsia="zh-CN"/>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 w:type="paragraph" w:customStyle="1" w:styleId="Normal1">
    <w:name w:val="Normal1"/>
    <w:rsid w:val="00257B36"/>
    <w:pPr>
      <w:jc w:val="both"/>
    </w:pPr>
    <w:rPr>
      <w:rFonts w:ascii="Batang" w:eastAsia="SimSun" w:hAnsi="Batang" w:cs="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07890">
      <w:bodyDiv w:val="1"/>
      <w:marLeft w:val="0"/>
      <w:marRight w:val="0"/>
      <w:marTop w:val="0"/>
      <w:marBottom w:val="0"/>
      <w:divBdr>
        <w:top w:val="none" w:sz="0" w:space="0" w:color="auto"/>
        <w:left w:val="none" w:sz="0" w:space="0" w:color="auto"/>
        <w:bottom w:val="none" w:sz="0" w:space="0" w:color="auto"/>
        <w:right w:val="none" w:sz="0" w:space="0" w:color="auto"/>
      </w:divBdr>
    </w:div>
    <w:div w:id="1389650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70.wmf"/><Relationship Id="rId84" Type="http://schemas.openxmlformats.org/officeDocument/2006/relationships/oleObject" Target="embeddings/oleObject29.bin"/><Relationship Id="rId89" Type="http://schemas.openxmlformats.org/officeDocument/2006/relationships/oleObject" Target="embeddings/oleObject34.bin"/><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20.wmf"/><Relationship Id="rId74" Type="http://schemas.openxmlformats.org/officeDocument/2006/relationships/image" Target="media/image30.png"/><Relationship Id="rId79" Type="http://schemas.openxmlformats.org/officeDocument/2006/relationships/oleObject" Target="embeddings/oleObject24.bin"/><Relationship Id="rId102" Type="http://schemas.openxmlformats.org/officeDocument/2006/relationships/oleObject" Target="embeddings/oleObject47.bin"/><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oleObject" Target="embeddings/oleObject4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250.wmf"/><Relationship Id="rId69" Type="http://schemas.openxmlformats.org/officeDocument/2006/relationships/oleObject" Target="embeddings/oleObject18.bin"/><Relationship Id="rId113" Type="http://schemas.openxmlformats.org/officeDocument/2006/relationships/footer" Target="footer3.xml"/><Relationship Id="rId80" Type="http://schemas.openxmlformats.org/officeDocument/2006/relationships/oleObject" Target="embeddings/oleObject25.bin"/><Relationship Id="rId85" Type="http://schemas.openxmlformats.org/officeDocument/2006/relationships/oleObject" Target="embeddings/oleObject3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3.bin"/><Relationship Id="rId103" Type="http://schemas.openxmlformats.org/officeDocument/2006/relationships/oleObject" Target="embeddings/oleObject48.bin"/><Relationship Id="rId108" Type="http://schemas.openxmlformats.org/officeDocument/2006/relationships/oleObject" Target="embeddings/oleObject51.bin"/><Relationship Id="rId54" Type="http://schemas.openxmlformats.org/officeDocument/2006/relationships/image" Target="media/image200.wmf"/><Relationship Id="rId70" Type="http://schemas.openxmlformats.org/officeDocument/2006/relationships/image" Target="media/image280.wmf"/><Relationship Id="rId75" Type="http://schemas.openxmlformats.org/officeDocument/2006/relationships/image" Target="media/image31.png"/><Relationship Id="rId91" Type="http://schemas.openxmlformats.org/officeDocument/2006/relationships/oleObject" Target="embeddings/oleObject36.bin"/><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32.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230.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6.bin"/><Relationship Id="rId86"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4.bin"/><Relationship Id="rId101" Type="http://schemas.openxmlformats.org/officeDocument/2006/relationships/oleObject" Target="embeddings/oleObject4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109" Type="http://schemas.openxmlformats.org/officeDocument/2006/relationships/image" Target="media/image34.png"/><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oleObject" Target="embeddings/oleObject42.bin"/><Relationship Id="rId104" Type="http://schemas.openxmlformats.org/officeDocument/2006/relationships/oleObject" Target="embeddings/oleObject49.bin"/><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image" Target="media/image260.wmf"/><Relationship Id="rId87" Type="http://schemas.openxmlformats.org/officeDocument/2006/relationships/oleObject" Target="embeddings/oleObject32.bin"/><Relationship Id="rId110" Type="http://schemas.openxmlformats.org/officeDocument/2006/relationships/image" Target="media/image35.png"/><Relationship Id="rId115" Type="http://schemas.openxmlformats.org/officeDocument/2006/relationships/theme" Target="theme/theme1.xml"/><Relationship Id="rId61" Type="http://schemas.openxmlformats.org/officeDocument/2006/relationships/oleObject" Target="embeddings/oleObject14.bin"/><Relationship Id="rId82" Type="http://schemas.openxmlformats.org/officeDocument/2006/relationships/oleObject" Target="embeddings/oleObject2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image" Target="media/image210.wmf"/><Relationship Id="rId77" Type="http://schemas.openxmlformats.org/officeDocument/2006/relationships/oleObject" Target="embeddings/oleObject22.bin"/><Relationship Id="rId100" Type="http://schemas.openxmlformats.org/officeDocument/2006/relationships/oleObject" Target="embeddings/oleObject45.bin"/><Relationship Id="rId105"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90.wmf"/><Relationship Id="rId93" Type="http://schemas.openxmlformats.org/officeDocument/2006/relationships/oleObject" Target="embeddings/oleObject38.bin"/><Relationship Id="rId98" Type="http://schemas.openxmlformats.org/officeDocument/2006/relationships/oleObject" Target="embeddings/oleObject43.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17.bin"/><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image" Target="media/image240.wmf"/><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4.xml><?xml version="1.0" encoding="utf-8"?>
<ds:datastoreItem xmlns:ds="http://schemas.openxmlformats.org/officeDocument/2006/customXml" ds:itemID="{045890F1-0F49-4586-89ED-14E6FA92696E}">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68</Pages>
  <Words>36590</Words>
  <Characters>208563</Characters>
  <Application>Microsoft Office Word</Application>
  <DocSecurity>0</DocSecurity>
  <Lines>1738</Lines>
  <Paragraphs>489</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244664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Lei Song</cp:lastModifiedBy>
  <cp:revision>5</cp:revision>
  <dcterms:created xsi:type="dcterms:W3CDTF">2024-10-17T07:46:00Z</dcterms:created>
  <dcterms:modified xsi:type="dcterms:W3CDTF">2024-10-17T09:43:00Z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2024-10-17T01:01:10Z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4f264408-3888-4e8b-b0ff-b4c41e05cff7</vt:lpwstr>
  </property>
  <property fmtid="{D5CDD505-2E9C-101B-9397-08002B2CF9AE}" pid="21" name="MSIP_Label_f7b7771f-98a2-4ec9-8160-ee37e9359e20_ContentBits">
    <vt:lpwstr>0</vt:lpwstr>
  </property>
</Properties>
</file>