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宋体"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xml:space="preserve">,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2E03448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xml:space="preserve">,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53E30CF0"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2E2F1D5A"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p>
    <w:p w14:paraId="5771D8A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afff0"/>
        <w:numPr>
          <w:ilvl w:val="0"/>
          <w:numId w:val="17"/>
        </w:numPr>
        <w:ind w:leftChars="0"/>
        <w:rPr>
          <w:b/>
        </w:rPr>
      </w:pPr>
    </w:p>
    <w:p w14:paraId="402B591B" w14:textId="77777777" w:rsidR="007D6A83" w:rsidRDefault="007D6A83">
      <w:pPr>
        <w:rPr>
          <w:b/>
        </w:rPr>
      </w:pPr>
    </w:p>
    <w:p w14:paraId="5A063C4B"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等线" w:cs="Arial"/>
                      <w:sz w:val="18"/>
                      <w:szCs w:val="18"/>
                    </w:rPr>
                  </w:pPr>
                  <w:r>
                    <w:rPr>
                      <w:rFonts w:eastAsia="等线" w:cs="Arial"/>
                      <w:sz w:val="18"/>
                      <w:szCs w:val="18"/>
                    </w:rPr>
                    <w:t>Candidate component values for (</w:t>
                  </w:r>
                  <w:proofErr w:type="gramStart"/>
                  <w:r>
                    <w:rPr>
                      <w:rFonts w:eastAsia="等线" w:cs="Arial"/>
                      <w:sz w:val="18"/>
                      <w:szCs w:val="18"/>
                    </w:rPr>
                    <w:t>X,Y</w:t>
                  </w:r>
                  <w:proofErr w:type="gramEnd"/>
                  <w:r>
                    <w:rPr>
                      <w:rFonts w:eastAsia="等线" w:cs="Arial"/>
                      <w:sz w:val="18"/>
                      <w:szCs w:val="18"/>
                    </w:rPr>
                    <w:t>): {(16,32),(32,16),(32,32)}</w:t>
                  </w:r>
                </w:p>
                <w:p w14:paraId="273AEDBC" w14:textId="77777777" w:rsidR="007D6A83" w:rsidRDefault="00245759">
                  <w:pPr>
                    <w:rPr>
                      <w:rFonts w:eastAsia="等线" w:cs="Arial"/>
                      <w:sz w:val="18"/>
                      <w:szCs w:val="18"/>
                    </w:rPr>
                  </w:pPr>
                  <w:r>
                    <w:rPr>
                      <w:rFonts w:eastAsia="等线"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7"/>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afff0"/>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afff0"/>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afff0"/>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31"/>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宋体"/>
                <w:sz w:val="22"/>
                <w:szCs w:val="22"/>
              </w:rPr>
            </w:pPr>
            <w:r>
              <w:rPr>
                <w:rFonts w:eastAsia="宋体"/>
                <w:sz w:val="22"/>
                <w:szCs w:val="22"/>
              </w:rPr>
              <w:t>1. Increasing the number of HARQ processes can improve the DL throughput in the CA scenario where the PUCCH is transmitted with small SCS and PDSCH is transmitted with large SCS, e.g. 30 kHz (FR</w:t>
            </w:r>
            <w:proofErr w:type="gramStart"/>
            <w:r>
              <w:rPr>
                <w:rFonts w:eastAsia="宋体"/>
                <w:sz w:val="22"/>
                <w:szCs w:val="22"/>
              </w:rPr>
              <w:t>1)+</w:t>
            </w:r>
            <w:proofErr w:type="gramEnd"/>
            <w:r>
              <w:rPr>
                <w:rFonts w:eastAsia="宋体"/>
                <w:sz w:val="22"/>
                <w:szCs w:val="22"/>
              </w:rPr>
              <w:t xml:space="preserve">120kHz(FR2-1)  or 15kHz(FR1)+60kHz(FR1). </w:t>
            </w:r>
          </w:p>
          <w:p w14:paraId="395A5F7E"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31"/>
              <w:outlineLvl w:val="2"/>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31"/>
              <w:outlineLvl w:val="2"/>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afff0"/>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w:t>
                  </w:r>
                  <w:r>
                    <w:rPr>
                      <w:color w:val="000000"/>
                      <w:sz w:val="18"/>
                      <w:szCs w:val="18"/>
                    </w:rPr>
                    <w:lastRenderedPageBreak/>
                    <w:t xml:space="preserve">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等线"/>
                      <w:color w:val="000000"/>
                      <w:sz w:val="18"/>
                      <w:szCs w:val="18"/>
                    </w:rPr>
                    <w:lastRenderedPageBreak/>
                    <w:t>13-1</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等线"/>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afff0"/>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afff0"/>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aff7"/>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 xml:space="preserve">t exist, why we </w:t>
            </w:r>
            <w:r>
              <w:rPr>
                <w:rFonts w:eastAsiaTheme="minorEastAsia" w:hint="eastAsia"/>
                <w:sz w:val="22"/>
                <w:lang w:val="en-US" w:eastAsia="zh-CN"/>
              </w:rPr>
              <w:lastRenderedPageBreak/>
              <w:t>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Y</w:t>
            </w:r>
          </w:p>
        </w:tc>
        <w:tc>
          <w:tcPr>
            <w:tcW w:w="6823" w:type="dxa"/>
          </w:tcPr>
          <w:p w14:paraId="520A948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Qualcomm, thanks for the </w:t>
            </w:r>
            <w:proofErr w:type="gramStart"/>
            <w:r>
              <w:rPr>
                <w:rFonts w:eastAsia="宋体" w:hint="eastAsia"/>
                <w:sz w:val="22"/>
                <w:lang w:val="en-US" w:eastAsia="zh-CN"/>
              </w:rPr>
              <w:t>in principle</w:t>
            </w:r>
            <w:proofErr w:type="gramEnd"/>
            <w:r>
              <w:rPr>
                <w:rFonts w:eastAsia="宋体" w:hint="eastAsia"/>
                <w:sz w:val="22"/>
                <w:lang w:val="en-US" w:eastAsia="zh-CN"/>
              </w:rPr>
              <w:t xml:space="preserve"> support. We are ok to clarify that UE does not transmit SRS for positioning on </w:t>
            </w:r>
            <w:proofErr w:type="spellStart"/>
            <w:r>
              <w:rPr>
                <w:rFonts w:eastAsia="宋体" w:hint="eastAsia"/>
                <w:sz w:val="22"/>
                <w:lang w:val="en-US" w:eastAsia="zh-CN"/>
              </w:rPr>
              <w:t>guardband</w:t>
            </w:r>
            <w:proofErr w:type="spellEnd"/>
            <w:r>
              <w:rPr>
                <w:rFonts w:eastAsia="宋体" w:hint="eastAsia"/>
                <w:sz w:val="22"/>
                <w:lang w:val="en-US" w:eastAsia="zh-CN"/>
              </w:rPr>
              <w:t xml:space="preserve">. Regarding the BWP issue, based on current frequency hopping pattern designed and reflected in 38.211, the bottom of BWP + number of </w:t>
            </w:r>
            <w:proofErr w:type="gramStart"/>
            <w:r>
              <w:rPr>
                <w:rFonts w:eastAsia="宋体" w:hint="eastAsia"/>
                <w:sz w:val="22"/>
                <w:lang w:val="en-US" w:eastAsia="zh-CN"/>
              </w:rPr>
              <w:t>hop</w:t>
            </w:r>
            <w:proofErr w:type="gramEnd"/>
            <w:r>
              <w:rPr>
                <w:rFonts w:eastAsia="宋体" w:hint="eastAsia"/>
                <w:sz w:val="22"/>
                <w:lang w:val="en-US" w:eastAsia="zh-CN"/>
              </w:rPr>
              <w:t xml:space="preserve">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vivo, MIMO SRS frequency hopping within 100MHz is also </w:t>
            </w:r>
            <w:proofErr w:type="gramStart"/>
            <w:r>
              <w:rPr>
                <w:rFonts w:eastAsia="宋体" w:hint="eastAsia"/>
                <w:sz w:val="22"/>
                <w:lang w:val="en-US" w:eastAsia="zh-CN"/>
              </w:rPr>
              <w:t>supported  in</w:t>
            </w:r>
            <w:proofErr w:type="gramEnd"/>
            <w:r>
              <w:rPr>
                <w:rFonts w:eastAsia="宋体" w:hint="eastAsia"/>
                <w:sz w:val="22"/>
                <w:lang w:val="en-US" w:eastAsia="zh-CN"/>
              </w:rPr>
              <w:t xml:space="preserve"> 5G for power boosting. We think it is also beneficial to extend positioning frequency hopping feature to non-</w:t>
            </w:r>
            <w:proofErr w:type="spellStart"/>
            <w:r>
              <w:rPr>
                <w:rFonts w:eastAsia="宋体" w:hint="eastAsia"/>
                <w:sz w:val="22"/>
                <w:lang w:val="en-US" w:eastAsia="zh-CN"/>
              </w:rPr>
              <w:t>RedCap</w:t>
            </w:r>
            <w:proofErr w:type="spellEnd"/>
            <w:r>
              <w:rPr>
                <w:rFonts w:eastAsia="宋体" w:hint="eastAsia"/>
                <w:sz w:val="22"/>
                <w:lang w:val="en-US" w:eastAsia="zh-CN"/>
              </w:rPr>
              <w:t xml:space="preserve"> UE. For frequency hopping across CCs, our initial thinking is </w:t>
            </w:r>
            <w:proofErr w:type="gramStart"/>
            <w:r>
              <w:rPr>
                <w:rFonts w:eastAsia="宋体" w:hint="eastAsia"/>
                <w:sz w:val="22"/>
                <w:lang w:val="en-US" w:eastAsia="zh-CN"/>
              </w:rPr>
              <w:t>try</w:t>
            </w:r>
            <w:proofErr w:type="gramEnd"/>
            <w:r>
              <w:rPr>
                <w:rFonts w:eastAsia="宋体"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For the </w:t>
            </w:r>
            <w:proofErr w:type="spellStart"/>
            <w:r>
              <w:rPr>
                <w:rFonts w:eastAsia="宋体" w:hint="eastAsia"/>
                <w:sz w:val="22"/>
                <w:lang w:val="en-US" w:eastAsia="zh-CN"/>
              </w:rPr>
              <w:t>guardband</w:t>
            </w:r>
            <w:proofErr w:type="spellEnd"/>
            <w:r>
              <w:rPr>
                <w:rFonts w:eastAsia="宋体" w:hint="eastAsia"/>
                <w:sz w:val="22"/>
                <w:lang w:val="en-US" w:eastAsia="zh-CN"/>
              </w:rPr>
              <w:t xml:space="preserve"> issue raise by </w:t>
            </w:r>
            <w:proofErr w:type="spellStart"/>
            <w:r>
              <w:rPr>
                <w:rFonts w:eastAsia="宋体" w:hint="eastAsia"/>
                <w:sz w:val="22"/>
                <w:lang w:val="en-US" w:eastAsia="zh-CN"/>
              </w:rPr>
              <w:t>xiaomi</w:t>
            </w:r>
            <w:proofErr w:type="spellEnd"/>
            <w:r>
              <w:rPr>
                <w:rFonts w:eastAsia="宋体" w:hint="eastAsia"/>
                <w:sz w:val="22"/>
                <w:lang w:val="en-US" w:eastAsia="zh-CN"/>
              </w:rPr>
              <w:t>, we think from Rx</w:t>
            </w:r>
            <w:r>
              <w:rPr>
                <w:rFonts w:eastAsia="宋体"/>
                <w:sz w:val="22"/>
                <w:lang w:val="en-US" w:eastAsia="zh-CN"/>
              </w:rPr>
              <w:t>’</w:t>
            </w:r>
            <w:r>
              <w:rPr>
                <w:rFonts w:eastAsia="宋体" w:hint="eastAsia"/>
                <w:sz w:val="22"/>
                <w:lang w:val="en-US" w:eastAsia="zh-CN"/>
              </w:rPr>
              <w:t xml:space="preserve">s perspective, a receiver can use advanced method to estimate the phase jump. </w:t>
            </w:r>
            <w:proofErr w:type="gramStart"/>
            <w:r>
              <w:rPr>
                <w:rFonts w:eastAsia="宋体" w:hint="eastAsia"/>
                <w:sz w:val="22"/>
                <w:lang w:val="en-US" w:eastAsia="zh-CN"/>
              </w:rPr>
              <w:t>Also</w:t>
            </w:r>
            <w:proofErr w:type="gramEnd"/>
            <w:r>
              <w:rPr>
                <w:rFonts w:eastAsia="宋体"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宋体" w:hint="eastAsia"/>
                <w:sz w:val="22"/>
                <w:lang w:val="en-US" w:eastAsia="zh-CN"/>
              </w:rPr>
              <w:t xml:space="preserve">To </w:t>
            </w:r>
            <w:proofErr w:type="spellStart"/>
            <w:r>
              <w:rPr>
                <w:rFonts w:eastAsia="宋体" w:hint="eastAsia"/>
                <w:sz w:val="22"/>
                <w:lang w:val="en-US" w:eastAsia="zh-CN"/>
              </w:rPr>
              <w:t>samsung</w:t>
            </w:r>
            <w:proofErr w:type="spellEnd"/>
            <w:r>
              <w:rPr>
                <w:rFonts w:eastAsia="宋体"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宋体" w:hint="eastAsia"/>
                <w:sz w:val="22"/>
                <w:lang w:val="en-US" w:eastAsia="zh-CN"/>
              </w:rPr>
              <w:t>a</w:t>
            </w:r>
            <w:proofErr w:type="spellEnd"/>
            <w:proofErr w:type="gramEnd"/>
            <w:r>
              <w:rPr>
                <w:rFonts w:eastAsia="宋体" w:hint="eastAsia"/>
                <w:sz w:val="22"/>
                <w:lang w:val="en-US" w:eastAsia="zh-CN"/>
              </w:rPr>
              <w:t xml:space="preserve"> equivalent </w:t>
            </w:r>
            <w:proofErr w:type="spellStart"/>
            <w:r>
              <w:rPr>
                <w:rFonts w:eastAsia="宋体" w:hint="eastAsia"/>
                <w:sz w:val="22"/>
                <w:lang w:val="en-US" w:eastAsia="zh-CN"/>
              </w:rPr>
              <w:t>larget</w:t>
            </w:r>
            <w:proofErr w:type="spellEnd"/>
            <w:r>
              <w:rPr>
                <w:rFonts w:eastAsia="宋体"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宋体"/>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宋体"/>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宋体"/>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23ED0805">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afff0"/>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14:paraId="4734DACE"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afff0"/>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afff0"/>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afff0"/>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7"/>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xml:space="preserve">' t2r4' </w:t>
                  </w:r>
                  <w:r>
                    <w:rPr>
                      <w:rFonts w:eastAsia="Times New Roman"/>
                      <w:sz w:val="20"/>
                      <w:lang w:val="en-US"/>
                    </w:rPr>
                    <w:lastRenderedPageBreak/>
                    <w:t>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afff0"/>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afff0"/>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afff0"/>
              <w:numPr>
                <w:ilvl w:val="0"/>
                <w:numId w:val="25"/>
              </w:numPr>
              <w:spacing w:afterLines="50" w:after="120"/>
              <w:ind w:leftChars="0"/>
              <w:jc w:val="both"/>
              <w:rPr>
                <w:sz w:val="22"/>
                <w:lang w:val="en-US"/>
              </w:rPr>
            </w:pPr>
            <w:r>
              <w:rPr>
                <w:sz w:val="22"/>
                <w:lang w:val="en-US"/>
              </w:rPr>
              <w:t xml:space="preserve">Q3: Whether we can assume that there is a fix mapping between SRS for AS? For instance, after RRC reconfiguration, SRS for CB is fully overlapped from SRS resource #0 for AS to resource #3, </w:t>
            </w:r>
            <w:r>
              <w:rPr>
                <w:sz w:val="22"/>
                <w:lang w:val="en-US"/>
              </w:rPr>
              <w:lastRenderedPageBreak/>
              <w:t>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宋体"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宋体"/>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[2</w:t>
            </w:r>
            <w:r>
              <w:rPr>
                <w:rFonts w:ascii="Arial" w:eastAsia="MS Mincho" w:hAnsi="Arial"/>
                <w:sz w:val="22"/>
                <w:szCs w:val="22"/>
                <w:lang w:val="en-US"/>
              </w:rPr>
              <w:t>]</w:t>
            </w:r>
          </w:p>
        </w:tc>
        <w:tc>
          <w:tcPr>
            <w:tcW w:w="9066" w:type="dxa"/>
          </w:tcPr>
          <w:p w14:paraId="1E33EFFA"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492A2725">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宋体"/>
                <w:sz w:val="18"/>
                <w:szCs w:val="18"/>
                <w:lang w:eastAsia="zh-CN"/>
              </w:rPr>
            </w:pPr>
            <w:r>
              <w:rPr>
                <w:rFonts w:eastAsia="宋体" w:hint="eastAsia"/>
                <w:sz w:val="18"/>
                <w:szCs w:val="18"/>
                <w:lang w:eastAsia="zh-CN"/>
              </w:rPr>
              <w:t>Tab</w:t>
            </w:r>
            <w:r>
              <w:rPr>
                <w:rFonts w:eastAsia="宋体"/>
                <w:sz w:val="18"/>
                <w:szCs w:val="18"/>
                <w:lang w:eastAsia="zh-CN"/>
              </w:rPr>
              <w:t>le 3.1: throughput calculation</w:t>
            </w:r>
          </w:p>
          <w:tbl>
            <w:tblPr>
              <w:tblStyle w:val="aff7"/>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宋体"/>
                      <w:sz w:val="18"/>
                      <w:szCs w:val="18"/>
                      <w:lang w:eastAsia="zh-CN"/>
                    </w:rPr>
                  </w:pPr>
                  <w:r>
                    <w:rPr>
                      <w:rFonts w:eastAsia="宋体"/>
                      <w:sz w:val="18"/>
                      <w:szCs w:val="18"/>
                      <w:lang w:eastAsia="zh-CN"/>
                    </w:rPr>
                    <w:t>Throughput</w:t>
                  </w:r>
                </w:p>
              </w:tc>
              <w:tc>
                <w:tcPr>
                  <w:tcW w:w="1527" w:type="dxa"/>
                </w:tcPr>
                <w:p w14:paraId="4B695040"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ank4</w:t>
                  </w:r>
                </w:p>
              </w:tc>
              <w:tc>
                <w:tcPr>
                  <w:tcW w:w="1258" w:type="dxa"/>
                </w:tcPr>
                <w:p w14:paraId="223886C9"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ank5</w:t>
                  </w:r>
                </w:p>
              </w:tc>
              <w:tc>
                <w:tcPr>
                  <w:tcW w:w="1258" w:type="dxa"/>
                </w:tcPr>
                <w:p w14:paraId="6D979732"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ank6</w:t>
                  </w:r>
                </w:p>
              </w:tc>
              <w:tc>
                <w:tcPr>
                  <w:tcW w:w="1258" w:type="dxa"/>
                </w:tcPr>
                <w:p w14:paraId="6B90529F"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ank7</w:t>
                  </w:r>
                </w:p>
              </w:tc>
              <w:tc>
                <w:tcPr>
                  <w:tcW w:w="1258" w:type="dxa"/>
                </w:tcPr>
                <w:p w14:paraId="1ABE888A"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宋体"/>
                      <w:sz w:val="18"/>
                      <w:szCs w:val="18"/>
                      <w:lang w:eastAsia="zh-CN"/>
                    </w:rPr>
                  </w:pPr>
                  <w:r>
                    <w:rPr>
                      <w:rFonts w:eastAsia="宋体"/>
                      <w:sz w:val="18"/>
                      <w:szCs w:val="18"/>
                      <w:lang w:eastAsia="zh-CN"/>
                    </w:rPr>
                    <w:tab/>
                    <w:t>1</w:t>
                  </w:r>
                  <w:r>
                    <w:rPr>
                      <w:rFonts w:eastAsia="宋体"/>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宋体"/>
                      <w:sz w:val="18"/>
                      <w:szCs w:val="18"/>
                      <w:lang w:eastAsia="zh-CN"/>
                    </w:rPr>
                  </w:pPr>
                  <w:r>
                    <w:rPr>
                      <w:rFonts w:eastAsia="宋体"/>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宋体"/>
                      <w:sz w:val="18"/>
                      <w:szCs w:val="18"/>
                      <w:lang w:eastAsia="zh-CN"/>
                    </w:rPr>
                  </w:pPr>
                </w:p>
              </w:tc>
              <w:tc>
                <w:tcPr>
                  <w:tcW w:w="1340" w:type="dxa"/>
                  <w:shd w:val="clear" w:color="auto" w:fill="92D050"/>
                </w:tcPr>
                <w:p w14:paraId="404D6D30" w14:textId="77777777" w:rsidR="007D6A83" w:rsidRDefault="00245759">
                  <w:pPr>
                    <w:jc w:val="center"/>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92D050"/>
                </w:tcPr>
                <w:p w14:paraId="64F181B4"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宋体"/>
                      <w:sz w:val="18"/>
                      <w:szCs w:val="18"/>
                      <w:lang w:eastAsia="zh-CN"/>
                    </w:rPr>
                  </w:pPr>
                  <w:r>
                    <w:rPr>
                      <w:rFonts w:eastAsia="宋体"/>
                      <w:sz w:val="18"/>
                      <w:szCs w:val="18"/>
                      <w:lang w:eastAsia="zh-CN"/>
                    </w:rPr>
                    <w:t>1</w:t>
                  </w:r>
                  <w:r>
                    <w:rPr>
                      <w:rFonts w:eastAsia="宋体" w:hint="eastAsia"/>
                      <w:sz w:val="18"/>
                      <w:szCs w:val="18"/>
                      <w:lang w:eastAsia="zh-CN"/>
                    </w:rPr>
                    <w:t>5</w:t>
                  </w:r>
                  <w:r>
                    <w:rPr>
                      <w:rFonts w:eastAsia="宋体"/>
                      <w:sz w:val="18"/>
                      <w:szCs w:val="18"/>
                      <w:lang w:eastAsia="zh-CN"/>
                    </w:rPr>
                    <w:t>0%</w:t>
                  </w:r>
                </w:p>
              </w:tc>
              <w:tc>
                <w:tcPr>
                  <w:tcW w:w="1258" w:type="dxa"/>
                  <w:shd w:val="clear" w:color="auto" w:fill="92D050"/>
                </w:tcPr>
                <w:p w14:paraId="31DF74E5"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75%</w:t>
                  </w:r>
                </w:p>
              </w:tc>
              <w:tc>
                <w:tcPr>
                  <w:tcW w:w="1258" w:type="dxa"/>
                  <w:shd w:val="clear" w:color="auto" w:fill="92D050"/>
                </w:tcPr>
                <w:p w14:paraId="64944B95" w14:textId="77777777" w:rsidR="007D6A83" w:rsidRDefault="00245759">
                  <w:pPr>
                    <w:jc w:val="center"/>
                    <w:rPr>
                      <w:rFonts w:eastAsia="宋体"/>
                      <w:sz w:val="18"/>
                      <w:szCs w:val="18"/>
                      <w:lang w:eastAsia="zh-CN"/>
                    </w:rPr>
                  </w:pPr>
                  <w:r>
                    <w:rPr>
                      <w:rFonts w:eastAsia="宋体" w:hint="eastAsia"/>
                      <w:sz w:val="18"/>
                      <w:szCs w:val="18"/>
                      <w:lang w:eastAsia="zh-CN"/>
                    </w:rPr>
                    <w:t>2</w:t>
                  </w:r>
                  <w:r>
                    <w:rPr>
                      <w:rFonts w:eastAsia="宋体"/>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宋体"/>
                      <w:sz w:val="18"/>
                      <w:szCs w:val="18"/>
                      <w:lang w:eastAsia="zh-CN"/>
                    </w:rPr>
                  </w:pPr>
                  <w:r>
                    <w:rPr>
                      <w:rFonts w:eastAsia="宋体" w:hint="eastAsia"/>
                      <w:sz w:val="18"/>
                      <w:szCs w:val="18"/>
                      <w:lang w:eastAsia="zh-CN"/>
                    </w:rPr>
                    <w:lastRenderedPageBreak/>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宋体"/>
                      <w:sz w:val="18"/>
                      <w:szCs w:val="18"/>
                      <w:lang w:eastAsia="zh-CN"/>
                    </w:rPr>
                  </w:pPr>
                </w:p>
              </w:tc>
              <w:tc>
                <w:tcPr>
                  <w:tcW w:w="1340" w:type="dxa"/>
                  <w:shd w:val="clear" w:color="auto" w:fill="FFC000"/>
                </w:tcPr>
                <w:p w14:paraId="39973AEA" w14:textId="77777777" w:rsidR="007D6A83" w:rsidRDefault="00245759">
                  <w:pPr>
                    <w:jc w:val="center"/>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C000"/>
                </w:tcPr>
                <w:p w14:paraId="2E074CA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23.7%</w:t>
                  </w:r>
                </w:p>
              </w:tc>
              <w:tc>
                <w:tcPr>
                  <w:tcW w:w="1258" w:type="dxa"/>
                  <w:shd w:val="clear" w:color="auto" w:fill="FFC000"/>
                </w:tcPr>
                <w:p w14:paraId="691457C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41.4%</w:t>
                  </w:r>
                </w:p>
              </w:tc>
            </w:tr>
          </w:tbl>
          <w:p w14:paraId="530D9A85" w14:textId="77777777" w:rsidR="007D6A83" w:rsidRDefault="00245759">
            <w:pPr>
              <w:jc w:val="both"/>
              <w:rPr>
                <w:rFonts w:eastAsia="宋体"/>
                <w:sz w:val="18"/>
                <w:szCs w:val="18"/>
                <w:lang w:eastAsia="zh-CN"/>
              </w:rPr>
            </w:pPr>
            <w:r>
              <w:rPr>
                <w:rFonts w:eastAsia="宋体" w:hint="eastAsia"/>
                <w:sz w:val="18"/>
                <w:szCs w:val="18"/>
                <w:lang w:eastAsia="zh-CN"/>
              </w:rPr>
              <w:t>N</w:t>
            </w:r>
            <w:r>
              <w:rPr>
                <w:rFonts w:eastAsia="宋体"/>
                <w:sz w:val="18"/>
                <w:szCs w:val="18"/>
                <w:lang w:eastAsia="zh-CN"/>
              </w:rPr>
              <w:t>ote *: Number of DMRS CDM groups without data=3</w:t>
            </w:r>
          </w:p>
          <w:p w14:paraId="4BEDB6C9" w14:textId="77777777" w:rsidR="007D6A83" w:rsidRDefault="007D6A83">
            <w:pPr>
              <w:jc w:val="both"/>
              <w:rPr>
                <w:rFonts w:eastAsia="宋体"/>
                <w:sz w:val="18"/>
                <w:szCs w:val="18"/>
                <w:lang w:eastAsia="zh-CN"/>
              </w:rPr>
            </w:pPr>
          </w:p>
          <w:p w14:paraId="798A0805" w14:textId="77777777" w:rsidR="007D6A83" w:rsidRDefault="00245759">
            <w:pPr>
              <w:jc w:val="both"/>
              <w:rPr>
                <w:rFonts w:eastAsia="宋体"/>
                <w:sz w:val="18"/>
                <w:szCs w:val="18"/>
                <w:lang w:eastAsia="zh-CN"/>
              </w:rPr>
            </w:pPr>
            <w:r>
              <w:rPr>
                <w:rFonts w:eastAsia="宋体" w:hint="eastAsia"/>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宋体"/>
                <w:sz w:val="18"/>
                <w:szCs w:val="18"/>
                <w:lang w:eastAsia="zh-CN"/>
              </w:rPr>
            </w:pPr>
          </w:p>
          <w:p w14:paraId="45CF054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afff0"/>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afff0"/>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afff0"/>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afff0"/>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w:t>
            </w:r>
            <w:r>
              <w:lastRenderedPageBreak/>
              <w:t>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宋体"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宋体"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宋体"/>
                <w:sz w:val="22"/>
                <w:lang w:val="en-US" w:eastAsia="zh-CN"/>
              </w:rPr>
            </w:pPr>
            <w:r>
              <w:rPr>
                <w:rFonts w:eastAsia="宋体"/>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宋体"/>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O</w:t>
            </w:r>
            <w:r>
              <w:rPr>
                <w:rFonts w:eastAsia="宋体"/>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frequence </w:t>
            </w:r>
            <w:r>
              <w:rPr>
                <w:rFonts w:eastAsiaTheme="minorEastAsia" w:hint="eastAsia"/>
                <w:sz w:val="22"/>
                <w:lang w:val="en-US" w:eastAsia="zh-CN"/>
              </w:rPr>
              <w:lastRenderedPageBreak/>
              <w:t>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宋体"/>
                <w:sz w:val="22"/>
                <w:lang w:val="en-US" w:eastAsia="zh-CN"/>
              </w:rPr>
            </w:pPr>
            <w:r>
              <w:rPr>
                <w:rFonts w:eastAsia="宋体" w:hint="eastAsia"/>
                <w:sz w:val="22"/>
                <w:lang w:val="en-US" w:eastAsia="zh-CN"/>
              </w:rPr>
              <w:lastRenderedPageBreak/>
              <w:t>H</w:t>
            </w:r>
            <w:r>
              <w:rPr>
                <w:rFonts w:eastAsia="宋体"/>
                <w:sz w:val="22"/>
                <w:lang w:val="en-US" w:eastAsia="zh-CN"/>
              </w:rPr>
              <w:t xml:space="preserve">uawei, </w:t>
            </w:r>
            <w:proofErr w:type="spellStart"/>
            <w:r>
              <w:rPr>
                <w:rFonts w:eastAsia="宋体"/>
                <w:sz w:val="22"/>
                <w:lang w:val="en-US" w:eastAsia="zh-CN"/>
              </w:rPr>
              <w:t>HiSilicon</w:t>
            </w:r>
            <w:proofErr w:type="spellEnd"/>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1"/>
              <w:outlineLvl w:val="0"/>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a8"/>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1"/>
              <w:outlineLvl w:val="0"/>
              <w:rPr>
                <w:sz w:val="18"/>
                <w:szCs w:val="18"/>
                <w:lang w:eastAsia="zh-CN"/>
              </w:rPr>
            </w:pPr>
            <w:r>
              <w:rPr>
                <w:rFonts w:hint="eastAsia"/>
                <w:sz w:val="18"/>
                <w:szCs w:val="18"/>
                <w:lang w:eastAsia="zh-CN"/>
              </w:rPr>
              <w:lastRenderedPageBreak/>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afff0"/>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afff0"/>
        <w:numPr>
          <w:ilvl w:val="1"/>
          <w:numId w:val="20"/>
        </w:numPr>
        <w:ind w:leftChars="0"/>
        <w:jc w:val="both"/>
        <w:rPr>
          <w:b/>
        </w:rPr>
      </w:pPr>
      <w:r>
        <w:rPr>
          <w:b/>
        </w:rPr>
        <w:t>A per-band UE capability is introduced.</w:t>
      </w:r>
    </w:p>
    <w:p w14:paraId="79197DCB" w14:textId="77777777" w:rsidR="007D6A83" w:rsidRDefault="00245759">
      <w:pPr>
        <w:pStyle w:val="afff0"/>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aff7"/>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宋体"/>
                <w:color w:val="FF0000"/>
                <w:sz w:val="20"/>
                <w:lang w:eastAsia="zh-CN"/>
              </w:rPr>
            </w:pPr>
            <w:bookmarkStart w:id="7" w:name="_Hlk135864443"/>
            <w:r>
              <w:rPr>
                <w:rFonts w:eastAsia="宋体"/>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宋体"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宋体" w:hAnsi="Arial"/>
                <w:lang w:val="en-US" w:eastAsia="en-US"/>
              </w:rPr>
              <w:t>6.2.1.4</w:t>
            </w:r>
            <w:r>
              <w:rPr>
                <w:rFonts w:ascii="Arial" w:eastAsia="宋体"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and if the higher layer parameter </w:t>
            </w:r>
            <w:proofErr w:type="spellStart"/>
            <w:r>
              <w:rPr>
                <w:rFonts w:eastAsia="宋体"/>
                <w:i/>
                <w:sz w:val="20"/>
                <w:lang w:eastAsia="en-US"/>
              </w:rPr>
              <w:t>spatialRelationInfoPos</w:t>
            </w:r>
            <w:proofErr w:type="spellEnd"/>
            <w:r>
              <w:rPr>
                <w:rFonts w:eastAsia="宋体"/>
                <w:i/>
                <w:sz w:val="20"/>
                <w:lang w:eastAsia="en-US"/>
              </w:rPr>
              <w:t xml:space="preserve">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in RRC_INACTIVE mode, the configured </w:t>
            </w:r>
            <w:proofErr w:type="spellStart"/>
            <w:r>
              <w:rPr>
                <w:rFonts w:eastAsia="宋体"/>
                <w:i/>
                <w:sz w:val="20"/>
                <w:lang w:eastAsia="en-US"/>
              </w:rPr>
              <w:t>spatialRelationInfoPos</w:t>
            </w:r>
            <w:proofErr w:type="spellEnd"/>
            <w:r>
              <w:rPr>
                <w:rFonts w:eastAsia="宋体"/>
                <w:sz w:val="20"/>
                <w:lang w:eastAsia="en-US"/>
              </w:rPr>
              <w:t xml:space="preserve"> is also applicable.</w:t>
            </w:r>
          </w:p>
          <w:p w14:paraId="030265B2" w14:textId="77777777" w:rsidR="007D6A83" w:rsidRDefault="00245759">
            <w:pPr>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14:paraId="0E041736" w14:textId="77777777" w:rsidR="007D6A83" w:rsidRDefault="00245759">
            <w:pPr>
              <w:rPr>
                <w:rFonts w:eastAsia="宋体"/>
                <w:sz w:val="20"/>
                <w:lang w:val="en-US" w:eastAsia="en-US"/>
              </w:rPr>
            </w:pPr>
            <w:r>
              <w:rPr>
                <w:rFonts w:eastAsia="宋体"/>
                <w:sz w:val="20"/>
                <w:lang w:val="en-US" w:eastAsia="en-US"/>
              </w:rPr>
              <w:t xml:space="preserve">If the UE is not configured with the higher layer parameter </w:t>
            </w:r>
            <w:proofErr w:type="spellStart"/>
            <w:r>
              <w:rPr>
                <w:rFonts w:eastAsia="宋体"/>
                <w:i/>
                <w:sz w:val="20"/>
                <w:lang w:eastAsia="en-US"/>
              </w:rPr>
              <w:t>spatialRelationInfoPos</w:t>
            </w:r>
            <w:proofErr w:type="spellEnd"/>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within the active UL BWP of the UE.</w:t>
            </w:r>
          </w:p>
          <w:p w14:paraId="39D12E49" w14:textId="77777777" w:rsidR="007D6A83" w:rsidRDefault="00245759">
            <w:pPr>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val="en-US" w:eastAsia="en-US"/>
              </w:rPr>
              <w:t xml:space="preserve">, the UE can only be provided with a single RS source in </w:t>
            </w:r>
            <w:proofErr w:type="spellStart"/>
            <w:r>
              <w:rPr>
                <w:rFonts w:eastAsia="宋体"/>
                <w:i/>
                <w:sz w:val="20"/>
                <w:lang w:eastAsia="en-US"/>
              </w:rPr>
              <w:t>spatialRelationInfoPos</w:t>
            </w:r>
            <w:proofErr w:type="spellEnd"/>
            <w:r>
              <w:rPr>
                <w:rFonts w:eastAsia="宋体"/>
                <w:sz w:val="20"/>
                <w:lang w:val="en-US" w:eastAsia="en-US"/>
              </w:rPr>
              <w:t xml:space="preserve"> per SRS resource for positioning.</w:t>
            </w:r>
          </w:p>
          <w:p w14:paraId="28E98A07"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260EA6A"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7B0D9D0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544D078E" w14:textId="77777777" w:rsidR="007D6A83" w:rsidRDefault="00245759">
            <w:pPr>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collides with a scheduled PUSCH, the SRS is dropped in the symbols where the collision occurs. </w:t>
            </w:r>
          </w:p>
          <w:p w14:paraId="2A27A47C" w14:textId="77777777" w:rsidR="007D6A83" w:rsidRDefault="00245759">
            <w:pPr>
              <w:rPr>
                <w:rFonts w:eastAsia="宋体"/>
                <w:sz w:val="20"/>
                <w:lang w:eastAsia="en-US"/>
              </w:rPr>
            </w:pPr>
            <w:r>
              <w:rPr>
                <w:rFonts w:eastAsia="宋体"/>
                <w:sz w:val="20"/>
                <w:lang w:eastAsia="en-US"/>
              </w:rPr>
              <w:lastRenderedPageBreak/>
              <w:t xml:space="preserve">Unless specified otherwise, the UE does not expect to be configured with </w:t>
            </w:r>
            <w:r>
              <w:rPr>
                <w:rFonts w:eastAsia="宋体"/>
                <w:i/>
                <w:sz w:val="20"/>
                <w:lang w:eastAsia="en-US"/>
              </w:rPr>
              <w:t>SRS-</w:t>
            </w:r>
            <w:proofErr w:type="spellStart"/>
            <w:r>
              <w:rPr>
                <w:rFonts w:eastAsia="宋体"/>
                <w:i/>
                <w:sz w:val="20"/>
                <w:lang w:eastAsia="en-US"/>
              </w:rPr>
              <w:t>PosResource</w:t>
            </w:r>
            <w:proofErr w:type="spellEnd"/>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14:paraId="4DDDF0FA" w14:textId="77777777" w:rsidR="007D6A83" w:rsidRDefault="00245759">
            <w:pPr>
              <w:rPr>
                <w:rFonts w:eastAsia="宋体"/>
                <w:sz w:val="20"/>
                <w:lang w:eastAsia="en-US"/>
              </w:rPr>
            </w:pPr>
            <w:r>
              <w:rPr>
                <w:rFonts w:eastAsia="宋体"/>
                <w:sz w:val="20"/>
                <w:lang w:eastAsia="en-US"/>
              </w:rPr>
              <w:t xml:space="preserve">Timing Error Group (TEG) at UE side is defined: </w:t>
            </w:r>
          </w:p>
          <w:p w14:paraId="56728F0B" w14:textId="77777777" w:rsidR="007D6A83" w:rsidRDefault="00245759">
            <w:pPr>
              <w:ind w:left="568" w:hanging="284"/>
              <w:rPr>
                <w:rFonts w:eastAsia="宋体"/>
                <w:sz w:val="20"/>
                <w:szCs w:val="22"/>
                <w:lang w:val="en-US" w:eastAsia="en-US"/>
              </w:rPr>
            </w:pPr>
            <w:r>
              <w:rPr>
                <w:rFonts w:eastAsia="宋体"/>
                <w:sz w:val="20"/>
                <w:szCs w:val="22"/>
                <w:lang w:val="en-US" w:eastAsia="en-US"/>
              </w:rPr>
              <w:t>-</w:t>
            </w:r>
            <w:r>
              <w:rPr>
                <w:rFonts w:eastAsia="宋体"/>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宋体"/>
                <w:i/>
                <w:sz w:val="20"/>
                <w:lang w:eastAsia="en-US"/>
              </w:rPr>
              <w:t>spatialRelationInfoPos</w:t>
            </w:r>
            <w:proofErr w:type="spellEnd"/>
            <w:r>
              <w:rPr>
                <w:rFonts w:eastAsia="宋体"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96B1BA7"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 xml:space="preserve">an SRS </w:t>
            </w:r>
            <w:r>
              <w:rPr>
                <w:rFonts w:eastAsia="宋体"/>
                <w:color w:val="FF0000"/>
                <w:sz w:val="20"/>
                <w:highlight w:val="yellow"/>
                <w:lang w:val="en-US" w:eastAsia="zh-CN"/>
              </w:rPr>
              <w:lastRenderedPageBreak/>
              <w:t>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0D1092D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China Unicom</w:t>
            </w:r>
          </w:p>
        </w:tc>
        <w:tc>
          <w:tcPr>
            <w:tcW w:w="1121" w:type="dxa"/>
          </w:tcPr>
          <w:p w14:paraId="303E340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宋体"/>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宋体"/>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1121" w:type="dxa"/>
          </w:tcPr>
          <w:p w14:paraId="5B04E7B6" w14:textId="77777777" w:rsidR="007D6A83" w:rsidRDefault="007D6A83">
            <w:pPr>
              <w:spacing w:afterLines="50" w:after="120"/>
              <w:jc w:val="both"/>
              <w:rPr>
                <w:rFonts w:eastAsia="宋体"/>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宋体"/>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a8"/>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afff0"/>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22CA1403"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afff0"/>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31"/>
              <w:outlineLvl w:val="2"/>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 xml:space="preserve">With the above, we don’t think the conclusion in TEI proposal #6a is needed. It seems to us that each UE vendor already got the message in Ericsson </w:t>
            </w:r>
            <w:proofErr w:type="spellStart"/>
            <w:r>
              <w:rPr>
                <w:sz w:val="22"/>
                <w:lang w:val="en-US"/>
              </w:rPr>
              <w:t>Tdoc</w:t>
            </w:r>
            <w:proofErr w:type="spellEnd"/>
            <w:r>
              <w:rPr>
                <w:sz w:val="22"/>
                <w:lang w:val="en-US"/>
              </w:rPr>
              <w:t>,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w:t>
            </w:r>
            <w:proofErr w:type="spellStart"/>
            <w:r>
              <w:rPr>
                <w:sz w:val="22"/>
                <w:lang w:val="en-US"/>
              </w:rPr>
              <w:t>behaviour</w:t>
            </w:r>
            <w:proofErr w:type="spellEnd"/>
            <w:r>
              <w:rPr>
                <w:sz w:val="22"/>
                <w:lang w:val="en-US"/>
              </w:rPr>
              <w:t xml:space="preserve">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hint="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afff0"/>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afff0"/>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afff0"/>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afff0"/>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afff0"/>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afff0"/>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afff0"/>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afff0"/>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afff0"/>
              <w:numPr>
                <w:ilvl w:val="0"/>
                <w:numId w:val="31"/>
              </w:numPr>
              <w:ind w:leftChars="0"/>
              <w:jc w:val="both"/>
              <w:rPr>
                <w:b/>
                <w:bCs/>
                <w:i/>
                <w:iCs/>
                <w:sz w:val="18"/>
                <w:szCs w:val="18"/>
              </w:rPr>
            </w:pPr>
            <w:r>
              <w:rPr>
                <w:b/>
                <w:bCs/>
                <w:i/>
                <w:iCs/>
                <w:sz w:val="18"/>
                <w:szCs w:val="18"/>
              </w:rPr>
              <w:lastRenderedPageBreak/>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afff0"/>
              <w:numPr>
                <w:ilvl w:val="0"/>
                <w:numId w:val="32"/>
              </w:numPr>
              <w:ind w:leftChars="0"/>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宋体"/>
                <w:i/>
                <w:iCs/>
                <w:sz w:val="18"/>
                <w:szCs w:val="18"/>
              </w:rPr>
              <w:t>switchingTimeUL</w:t>
            </w:r>
            <w:proofErr w:type="spellEnd"/>
            <w:r>
              <w:rPr>
                <w:rFonts w:eastAsia="宋体"/>
                <w:i/>
                <w:iCs/>
                <w:sz w:val="18"/>
                <w:szCs w:val="18"/>
              </w:rPr>
              <w:t>.</w:t>
            </w:r>
          </w:p>
          <w:p w14:paraId="77360394" w14:textId="77777777" w:rsidR="007D6A83" w:rsidRDefault="00245759">
            <w:pPr>
              <w:pStyle w:val="afff0"/>
              <w:numPr>
                <w:ilvl w:val="0"/>
                <w:numId w:val="32"/>
              </w:numPr>
              <w:ind w:leftChars="0"/>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afff0"/>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afff0"/>
              <w:numPr>
                <w:ilvl w:val="1"/>
                <w:numId w:val="32"/>
              </w:numPr>
              <w:ind w:leftChars="0"/>
              <w:contextualSpacing/>
              <w:rPr>
                <w:b/>
                <w:bCs/>
                <w:sz w:val="18"/>
                <w:szCs w:val="18"/>
              </w:rPr>
            </w:pPr>
            <w:r>
              <w:rPr>
                <w:b/>
                <w:bCs/>
                <w:sz w:val="18"/>
                <w:szCs w:val="18"/>
              </w:rPr>
              <w:lastRenderedPageBreak/>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afff0"/>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afff0"/>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afff0"/>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afff0"/>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afff0"/>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afff0"/>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afff0"/>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afff0"/>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afff0"/>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afff0"/>
        <w:numPr>
          <w:ilvl w:val="1"/>
          <w:numId w:val="20"/>
        </w:numPr>
        <w:ind w:leftChars="0"/>
        <w:jc w:val="both"/>
        <w:rPr>
          <w:b/>
          <w:szCs w:val="24"/>
        </w:rPr>
      </w:pPr>
      <w:r>
        <w:rPr>
          <w:b/>
          <w:szCs w:val="24"/>
        </w:rPr>
        <w:t>For SRS switching time:</w:t>
      </w:r>
    </w:p>
    <w:p w14:paraId="4CF80208" w14:textId="77777777" w:rsidR="007D6A83" w:rsidRDefault="00245759">
      <w:pPr>
        <w:pStyle w:val="afff0"/>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afff0"/>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afff0"/>
        <w:numPr>
          <w:ilvl w:val="1"/>
          <w:numId w:val="20"/>
        </w:numPr>
        <w:ind w:leftChars="0"/>
        <w:jc w:val="both"/>
        <w:rPr>
          <w:b/>
          <w:szCs w:val="24"/>
        </w:rPr>
      </w:pPr>
      <w:r>
        <w:rPr>
          <w:b/>
          <w:szCs w:val="24"/>
        </w:rPr>
        <w:t>For switching state after SRS transmission:</w:t>
      </w:r>
    </w:p>
    <w:p w14:paraId="0B0493A6" w14:textId="77777777" w:rsidR="007D6A83" w:rsidRDefault="00245759">
      <w:pPr>
        <w:pStyle w:val="afff0"/>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afff0"/>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afff0"/>
        <w:numPr>
          <w:ilvl w:val="1"/>
          <w:numId w:val="20"/>
        </w:numPr>
        <w:ind w:leftChars="0"/>
        <w:jc w:val="both"/>
        <w:rPr>
          <w:b/>
          <w:szCs w:val="24"/>
        </w:rPr>
      </w:pPr>
      <w:r>
        <w:rPr>
          <w:b/>
          <w:szCs w:val="24"/>
        </w:rPr>
        <w:t>For simultaneous transmission:</w:t>
      </w:r>
    </w:p>
    <w:p w14:paraId="5C7B45D6" w14:textId="77777777" w:rsidR="007D6A83" w:rsidRDefault="00245759">
      <w:pPr>
        <w:pStyle w:val="afff0"/>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afff0"/>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afff0"/>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77777777" w:rsidR="007D6A83" w:rsidRDefault="007D6A83">
      <w:pPr>
        <w:rPr>
          <w:b/>
        </w:rPr>
      </w:pPr>
    </w:p>
    <w:p w14:paraId="1BA4B14C" w14:textId="77777777" w:rsidR="007D6A83" w:rsidRDefault="007D6A83">
      <w:pPr>
        <w:rPr>
          <w:rFonts w:eastAsia="MS Mincho" w:cs="Batang"/>
          <w:sz w:val="22"/>
          <w:szCs w:val="22"/>
        </w:rPr>
      </w:pPr>
    </w:p>
    <w:p w14:paraId="183280B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 ZTE</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0"/>
        <w:gridCol w:w="1121"/>
        <w:gridCol w:w="6822"/>
      </w:tblGrid>
      <w:tr w:rsidR="007D6A83" w14:paraId="6B0E9BA1" w14:textId="77777777">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tc>
          <w:tcPr>
            <w:tcW w:w="1680" w:type="dxa"/>
          </w:tcPr>
          <w:p w14:paraId="5C303186"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tc>
          <w:tcPr>
            <w:tcW w:w="1680" w:type="dxa"/>
          </w:tcPr>
          <w:p w14:paraId="7A2641D7"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lastRenderedPageBreak/>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tc>
          <w:tcPr>
            <w:tcW w:w="1680" w:type="dxa"/>
          </w:tcPr>
          <w:p w14:paraId="36C20D74" w14:textId="77777777" w:rsidR="007D6A83" w:rsidRDefault="00245759">
            <w:pPr>
              <w:spacing w:afterLines="50" w:after="120"/>
              <w:jc w:val="both"/>
              <w:rPr>
                <w:rFonts w:eastAsia="宋体"/>
                <w:sz w:val="22"/>
                <w:lang w:val="en-US" w:eastAsia="zh-CN"/>
              </w:rPr>
            </w:pPr>
            <w:r>
              <w:rPr>
                <w:rFonts w:eastAsia="宋体" w:hint="eastAsia"/>
                <w:sz w:val="22"/>
                <w:lang w:val="en-US" w:eastAsia="zh-CN"/>
              </w:rPr>
              <w:lastRenderedPageBreak/>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宋体"/>
                <w:sz w:val="22"/>
                <w:szCs w:val="22"/>
                <w:lang w:val="en-US" w:eastAsia="zh-CN"/>
              </w:rPr>
            </w:pPr>
            <w:r>
              <w:rPr>
                <w:rFonts w:eastAsia="宋体"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tc>
          <w:tcPr>
            <w:tcW w:w="1680" w:type="dxa"/>
          </w:tcPr>
          <w:p w14:paraId="129590C7" w14:textId="4B42B7D8" w:rsidR="003A3042" w:rsidRDefault="003A3042">
            <w:pPr>
              <w:spacing w:afterLines="50" w:after="120"/>
              <w:jc w:val="both"/>
              <w:rPr>
                <w:rFonts w:eastAsia="宋体" w:hint="eastAsia"/>
                <w:sz w:val="22"/>
                <w:lang w:val="en-US" w:eastAsia="zh-CN"/>
              </w:rPr>
            </w:pPr>
            <w:r>
              <w:rPr>
                <w:rFonts w:eastAsia="宋体" w:hint="eastAsia"/>
                <w:sz w:val="22"/>
                <w:lang w:val="en-US" w:eastAsia="zh-CN"/>
              </w:rPr>
              <w:t>v</w:t>
            </w:r>
            <w:r>
              <w:rPr>
                <w:rFonts w:eastAsia="宋体"/>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宋体" w:hint="eastAsia"/>
                <w:sz w:val="22"/>
                <w:szCs w:val="22"/>
                <w:lang w:val="en-US" w:eastAsia="zh-CN"/>
              </w:rPr>
            </w:pPr>
            <w:r>
              <w:rPr>
                <w:rFonts w:eastAsia="宋体"/>
                <w:sz w:val="22"/>
                <w:szCs w:val="22"/>
                <w:lang w:val="en-US" w:eastAsia="zh-CN"/>
              </w:rPr>
              <w:t>As we commented online, this is big to fit as TEI, and another point is that switching time should be discussed in RAN4, and according to the rule TEI proposal should be involve cross WGs</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afff0"/>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afff0"/>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lastRenderedPageBreak/>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afff0"/>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afff0"/>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afff0"/>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afff0"/>
        <w:numPr>
          <w:ilvl w:val="1"/>
          <w:numId w:val="20"/>
        </w:numPr>
        <w:ind w:leftChars="0"/>
        <w:jc w:val="both"/>
        <w:rPr>
          <w:b/>
        </w:rPr>
      </w:pPr>
      <w:r>
        <w:rPr>
          <w:b/>
        </w:rPr>
        <w:t>The new capability is per band combination.</w:t>
      </w:r>
    </w:p>
    <w:p w14:paraId="27D577F8" w14:textId="77777777" w:rsidR="007D6A83" w:rsidRDefault="00245759">
      <w:pPr>
        <w:pStyle w:val="afff0"/>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afff0"/>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afff0"/>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宋体"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7EBFA5D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2A4F9C">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2A4F9C">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2A4F9C">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2A4F9C">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2A4F9C">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afff0"/>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w:t>
            </w:r>
            <w:r>
              <w:rPr>
                <w:sz w:val="22"/>
                <w:szCs w:val="22"/>
                <w:lang w:val="en-US"/>
              </w:rPr>
              <w:lastRenderedPageBreak/>
              <w:t xml:space="preserve">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ad"/>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afff0"/>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lastRenderedPageBreak/>
              <w:t>Regarding PMI selection, if the selected SD/FD basis and coefficients need to consider power restriction per CSI-RS ports, the computation complexity is significantly large.</w:t>
            </w:r>
          </w:p>
          <w:p w14:paraId="41FBD1C0" w14:textId="77777777" w:rsidR="007D6A83" w:rsidRDefault="00245759">
            <w:pPr>
              <w:pStyle w:val="ad"/>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afff0"/>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a8"/>
              <w:jc w:val="center"/>
              <w:rPr>
                <w:rFonts w:eastAsia="等线"/>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a8"/>
              <w:rPr>
                <w:sz w:val="18"/>
                <w:szCs w:val="18"/>
              </w:rPr>
            </w:pPr>
            <w:bookmarkStart w:id="25" w:name="Pro3"/>
            <w:r>
              <w:rPr>
                <w:sz w:val="18"/>
                <w:szCs w:val="18"/>
                <w:u w:val="single"/>
              </w:rPr>
              <w:lastRenderedPageBreak/>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afff0"/>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afff0"/>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ad"/>
            </w:pPr>
            <w:r>
              <w:t>Reasons:</w:t>
            </w:r>
          </w:p>
          <w:p w14:paraId="33352C9E" w14:textId="77777777" w:rsidR="007D6A83" w:rsidRDefault="00245759">
            <w:pPr>
              <w:pStyle w:val="ad"/>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ad"/>
              <w:numPr>
                <w:ilvl w:val="0"/>
                <w:numId w:val="40"/>
              </w:numPr>
            </w:pPr>
            <w:r>
              <w:t>UL latency reduction for SSSG is not necessary.</w:t>
            </w:r>
          </w:p>
          <w:p w14:paraId="2BC9220B" w14:textId="77777777" w:rsidR="007D6A83" w:rsidRDefault="00245759">
            <w:pPr>
              <w:pStyle w:val="ad"/>
            </w:pPr>
            <w:r>
              <w:t>This issue is similar to PDCCH skipping termination by SR. But there is difference from PDCCH skipping.</w:t>
            </w:r>
          </w:p>
          <w:p w14:paraId="5E2BCAB3" w14:textId="77777777" w:rsidR="007D6A83" w:rsidRDefault="00245759">
            <w:pPr>
              <w:pStyle w:val="ad"/>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ad"/>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lastRenderedPageBreak/>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China Unicom</w:t>
            </w:r>
          </w:p>
        </w:tc>
        <w:tc>
          <w:tcPr>
            <w:tcW w:w="1023" w:type="dxa"/>
          </w:tcPr>
          <w:p w14:paraId="237EEFD1"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宋体"/>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宋体"/>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宋体"/>
                <w:sz w:val="22"/>
                <w:lang w:val="en-US" w:eastAsia="zh-CN"/>
              </w:rPr>
            </w:pPr>
            <w:r>
              <w:rPr>
                <w:rFonts w:eastAsia="宋体"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宋体"/>
                <w:sz w:val="22"/>
                <w:lang w:val="en-US" w:eastAsia="zh-CN"/>
              </w:rPr>
            </w:pPr>
            <w:r>
              <w:rPr>
                <w:rFonts w:eastAsia="宋体"/>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w:t>
            </w:r>
            <w:r w:rsidR="00F24ACD">
              <w:rPr>
                <w:rFonts w:eastAsiaTheme="minorEastAsia"/>
                <w:sz w:val="22"/>
                <w:lang w:val="en-US" w:eastAsia="zh-CN"/>
              </w:rPr>
              <w:lastRenderedPageBreak/>
              <w:t>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lastRenderedPageBreak/>
              <w:t>Qualcomm</w:t>
            </w:r>
          </w:p>
        </w:tc>
        <w:tc>
          <w:tcPr>
            <w:tcW w:w="1023" w:type="dxa"/>
          </w:tcPr>
          <w:p w14:paraId="04DB538D" w14:textId="77777777" w:rsidR="004926C1" w:rsidRDefault="004926C1" w:rsidP="004926C1">
            <w:pPr>
              <w:spacing w:afterLines="50" w:after="120"/>
              <w:jc w:val="both"/>
              <w:rPr>
                <w:rFonts w:eastAsia="宋体"/>
                <w:sz w:val="22"/>
                <w:lang w:val="en-US" w:eastAsia="zh-CN"/>
              </w:rPr>
            </w:pPr>
          </w:p>
        </w:tc>
        <w:tc>
          <w:tcPr>
            <w:tcW w:w="691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 xml:space="preserve">Misalignment between </w:t>
            </w:r>
            <w:proofErr w:type="spellStart"/>
            <w:r w:rsidRPr="00614FE8">
              <w:rPr>
                <w:rFonts w:eastAsia="Malgun Gothic"/>
                <w:b/>
                <w:bCs/>
                <w:sz w:val="22"/>
                <w:lang w:val="en-US" w:eastAsia="ko-KR"/>
              </w:rPr>
              <w:t>gNB</w:t>
            </w:r>
            <w:proofErr w:type="spellEnd"/>
            <w:r w:rsidRPr="00614FE8">
              <w:rPr>
                <w:rFonts w:eastAsia="Malgun Gothic"/>
                <w:b/>
                <w:bCs/>
                <w:sz w:val="22"/>
                <w:lang w:val="en-US" w:eastAsia="ko-KR"/>
              </w:rPr>
              <w:t xml:space="preserve">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The issue of SSSG misalignment is not unique to this SR overriding scenario. During the Rel-17 UE power saving discussions, the same issue was identified in various scenarios. For instance, the </w:t>
            </w:r>
            <w:proofErr w:type="spellStart"/>
            <w:r w:rsidRPr="00614FE8">
              <w:rPr>
                <w:rFonts w:eastAsia="Malgun Gothic"/>
                <w:sz w:val="22"/>
                <w:lang w:val="en-US" w:eastAsia="ko-KR"/>
              </w:rPr>
              <w:t>gNB</w:t>
            </w:r>
            <w:proofErr w:type="spellEnd"/>
            <w:r w:rsidRPr="00614FE8">
              <w:rPr>
                <w:rFonts w:eastAsia="Malgun Gothic"/>
                <w:sz w:val="22"/>
                <w:lang w:val="en-US" w:eastAsia="ko-KR"/>
              </w:rPr>
              <w:t xml:space="preserve">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In the Rel-17 discussions, however, RAN1 decided not to pursue any complex mechanisms to handle the misalignment (except for the inactivity timer-based fallback to SSSG #0), leaving it up to </w:t>
            </w:r>
            <w:proofErr w:type="spellStart"/>
            <w:r w:rsidRPr="00614FE8">
              <w:rPr>
                <w:rFonts w:eastAsia="Malgun Gothic"/>
                <w:sz w:val="22"/>
                <w:lang w:val="en-US" w:eastAsia="ko-KR"/>
              </w:rPr>
              <w:t>gNB</w:t>
            </w:r>
            <w:proofErr w:type="spellEnd"/>
            <w:r w:rsidRPr="00614FE8">
              <w:rPr>
                <w:rFonts w:eastAsia="Malgun Gothic"/>
                <w:sz w:val="22"/>
                <w:lang w:val="en-US" w:eastAsia="ko-KR"/>
              </w:rPr>
              <w:t xml:space="preserve"> implementation. For example, as Huawei/</w:t>
            </w:r>
            <w:proofErr w:type="spellStart"/>
            <w:r w:rsidRPr="00614FE8">
              <w:rPr>
                <w:rFonts w:eastAsia="Malgun Gothic"/>
                <w:sz w:val="22"/>
                <w:lang w:val="en-US" w:eastAsia="ko-KR"/>
              </w:rPr>
              <w:t>HiSilicon</w:t>
            </w:r>
            <w:proofErr w:type="spellEnd"/>
            <w:r w:rsidRPr="00614FE8">
              <w:rPr>
                <w:rFonts w:eastAsia="Malgun Gothic"/>
                <w:sz w:val="22"/>
                <w:lang w:val="en-US" w:eastAsia="ko-KR"/>
              </w:rPr>
              <w:t xml:space="preserve">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We believe the same principle should apply here. There are transparent solutions addressing the misalignment issue, and it can be left up to </w:t>
            </w:r>
            <w:proofErr w:type="spellStart"/>
            <w:r w:rsidRPr="00614FE8">
              <w:rPr>
                <w:rFonts w:eastAsia="Malgun Gothic"/>
                <w:sz w:val="22"/>
                <w:lang w:val="en-US" w:eastAsia="ko-KR"/>
              </w:rPr>
              <w:t>gNB</w:t>
            </w:r>
            <w:proofErr w:type="spellEnd"/>
            <w:r w:rsidRPr="00614FE8">
              <w:rPr>
                <w:rFonts w:eastAsia="Malgun Gothic"/>
                <w:sz w:val="22"/>
                <w:lang w:val="en-US" w:eastAsia="ko-KR"/>
              </w:rPr>
              <w:t xml:space="preserve">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等线"/>
                <w:sz w:val="18"/>
                <w:szCs w:val="18"/>
                <w:lang w:eastAsia="zh-CN"/>
              </w:rPr>
            </w:pPr>
            <w:r>
              <w:rPr>
                <w:rFonts w:eastAsia="等线"/>
                <w:sz w:val="18"/>
                <w:szCs w:val="18"/>
                <w:lang w:eastAsia="zh-CN"/>
              </w:rPr>
              <w:t xml:space="preserve">For two overlapping PDSCHs in Rel-16 </w:t>
            </w:r>
            <w:proofErr w:type="spellStart"/>
            <w:r>
              <w:rPr>
                <w:rFonts w:eastAsia="等线"/>
                <w:sz w:val="18"/>
                <w:szCs w:val="18"/>
                <w:lang w:eastAsia="zh-CN"/>
              </w:rPr>
              <w:t>mDCI</w:t>
            </w:r>
            <w:proofErr w:type="spellEnd"/>
            <w:r>
              <w:rPr>
                <w:rFonts w:eastAsia="等线"/>
                <w:sz w:val="18"/>
                <w:szCs w:val="18"/>
                <w:lang w:eastAsia="zh-CN"/>
              </w:rPr>
              <w:t xml:space="preserve"> based </w:t>
            </w:r>
            <w:proofErr w:type="spellStart"/>
            <w:r>
              <w:rPr>
                <w:rFonts w:eastAsia="等线"/>
                <w:sz w:val="18"/>
                <w:szCs w:val="18"/>
                <w:lang w:eastAsia="zh-CN"/>
              </w:rPr>
              <w:t>mTRP</w:t>
            </w:r>
            <w:proofErr w:type="spellEnd"/>
            <w:r>
              <w:rPr>
                <w:rFonts w:eastAsia="等线"/>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等线"/>
                <w:sz w:val="18"/>
                <w:szCs w:val="18"/>
                <w:lang w:eastAsia="zh-CN"/>
              </w:rPr>
            </w:pPr>
            <w:r>
              <w:rPr>
                <w:rFonts w:eastAsia="等线"/>
                <w:sz w:val="18"/>
                <w:szCs w:val="18"/>
                <w:lang w:eastAsia="zh-CN"/>
              </w:rPr>
              <w:t xml:space="preserve">As a first option, UE can decode both DCIs, and determine the REs containing PTRS for each of the two TRPs. Based on that, PDSCH of one TRP is rate matched around PTRS of the other TRP too. However, this option is not preferred as it </w:t>
            </w:r>
            <w:r>
              <w:rPr>
                <w:rFonts w:eastAsia="等线"/>
                <w:sz w:val="18"/>
                <w:szCs w:val="18"/>
                <w:lang w:eastAsia="zh-CN"/>
              </w:rPr>
              <w:lastRenderedPageBreak/>
              <w:t>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等线"/>
                <w:sz w:val="18"/>
                <w:szCs w:val="18"/>
                <w:lang w:eastAsia="zh-CN"/>
              </w:rPr>
            </w:pPr>
            <w:r>
              <w:rPr>
                <w:rFonts w:eastAsia="等线"/>
                <w:sz w:val="18"/>
                <w:szCs w:val="18"/>
                <w:lang w:eastAsia="zh-CN"/>
              </w:rPr>
              <w:t xml:space="preserve">Such indication (rate matching pattern for PTRS of the other TRP) comes at the cost of </w:t>
            </w:r>
            <w:proofErr w:type="spellStart"/>
            <w:r>
              <w:rPr>
                <w:rFonts w:eastAsia="等线"/>
                <w:sz w:val="18"/>
                <w:szCs w:val="18"/>
                <w:lang w:eastAsia="zh-CN"/>
              </w:rPr>
              <w:t>signaling</w:t>
            </w:r>
            <w:proofErr w:type="spellEnd"/>
            <w:r>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Pr>
                <w:rFonts w:eastAsia="宋体" w:cs="Arial"/>
                <w:color w:val="000000"/>
                <w:kern w:val="2"/>
                <w:sz w:val="18"/>
                <w:szCs w:val="18"/>
                <w:lang w:eastAsia="zh-CN"/>
              </w:rPr>
              <w:t>) of</w:t>
            </w:r>
            <w:r>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2154A42F" w14:textId="77777777" w:rsidR="007D6A83" w:rsidRDefault="007D6A83">
            <w:pPr>
              <w:rPr>
                <w:rFonts w:asciiTheme="majorBidi" w:eastAsia="等线" w:hAnsiTheme="majorBidi" w:cstheme="majorBidi"/>
                <w:sz w:val="18"/>
                <w:szCs w:val="18"/>
                <w:lang w:eastAsia="zh-CN"/>
              </w:rPr>
            </w:pPr>
          </w:p>
          <w:p w14:paraId="472B71A6" w14:textId="77777777" w:rsidR="007D6A83" w:rsidRDefault="00245759">
            <w:pPr>
              <w:rPr>
                <w:rFonts w:eastAsia="等线"/>
                <w:sz w:val="18"/>
                <w:szCs w:val="18"/>
                <w:lang w:eastAsia="zh-CN"/>
              </w:rPr>
            </w:pPr>
            <w:r>
              <w:rPr>
                <w:rFonts w:eastAsia="等线"/>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2A4F9C">
            <w:pPr>
              <w:pStyle w:val="afff0"/>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afff0"/>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afff0"/>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afff0"/>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afff0"/>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afff0"/>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afff0"/>
        <w:numPr>
          <w:ilvl w:val="1"/>
          <w:numId w:val="20"/>
        </w:numPr>
        <w:ind w:leftChars="0"/>
        <w:jc w:val="both"/>
        <w:rPr>
          <w:b/>
          <w:bCs/>
        </w:rPr>
      </w:pPr>
      <w:r>
        <w:rPr>
          <w:b/>
          <w:bCs/>
        </w:rPr>
        <w:t>The set of REs for rate matching is determined as follows:</w:t>
      </w:r>
    </w:p>
    <w:p w14:paraId="4D9874DD" w14:textId="77777777" w:rsidR="007D6A83" w:rsidRDefault="00245759">
      <w:pPr>
        <w:pStyle w:val="afff0"/>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afff0"/>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2A4F9C">
      <w:pPr>
        <w:pStyle w:val="afff0"/>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afff0"/>
        <w:numPr>
          <w:ilvl w:val="3"/>
          <w:numId w:val="20"/>
        </w:numPr>
        <w:ind w:leftChars="0"/>
        <w:jc w:val="both"/>
        <w:rPr>
          <w:b/>
          <w:bCs/>
        </w:rPr>
      </w:pPr>
      <w:r>
        <w:rPr>
          <w:b/>
          <w:bCs/>
        </w:rPr>
        <w:t>All other parameters are defined in Section 7.4.1.2.2 of 38.211.</w:t>
      </w:r>
    </w:p>
    <w:p w14:paraId="3015CAF2" w14:textId="77777777" w:rsidR="007D6A83" w:rsidRDefault="00245759">
      <w:pPr>
        <w:pStyle w:val="a8"/>
        <w:keepNext/>
        <w:numPr>
          <w:ilvl w:val="0"/>
          <w:numId w:val="20"/>
        </w:numPr>
        <w:jc w:val="center"/>
        <w:rPr>
          <w:sz w:val="18"/>
          <w:szCs w:val="18"/>
        </w:rPr>
      </w:pPr>
      <w:r>
        <w:rPr>
          <w:sz w:val="18"/>
          <w:szCs w:val="18"/>
        </w:rPr>
        <w:t>Table: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lastRenderedPageBreak/>
              <w:t>0</w:t>
            </w:r>
          </w:p>
        </w:tc>
        <w:tc>
          <w:tcPr>
            <w:tcW w:w="3246" w:type="dxa"/>
          </w:tcPr>
          <w:p w14:paraId="77947A9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4F685D93" w14:textId="77777777" w:rsidR="007D6A83" w:rsidRDefault="007D6A83">
      <w:pPr>
        <w:pStyle w:val="afff0"/>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w:t>
            </w:r>
            <w:r>
              <w:rPr>
                <w:rFonts w:eastAsiaTheme="minorEastAsia"/>
                <w:sz w:val="22"/>
                <w:lang w:val="en-US" w:eastAsia="zh-CN"/>
              </w:rPr>
              <w:lastRenderedPageBreak/>
              <w:t>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afff0"/>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afff0"/>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宋体"/>
                <w:sz w:val="22"/>
                <w:lang w:val="en-US" w:eastAsia="zh-CN"/>
              </w:rPr>
            </w:pPr>
            <w:r>
              <w:rPr>
                <w:rFonts w:hint="eastAsia"/>
                <w:sz w:val="22"/>
                <w:lang w:val="en-US"/>
              </w:rPr>
              <w:lastRenderedPageBreak/>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afff0"/>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afff0"/>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7"/>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afff0"/>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afff0"/>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a8"/>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2A4F9C">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lastRenderedPageBreak/>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2A4F9C">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a8"/>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lastRenderedPageBreak/>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2A4F9C">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2A4F9C">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afff0"/>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afff0"/>
        <w:numPr>
          <w:ilvl w:val="1"/>
          <w:numId w:val="20"/>
        </w:numPr>
        <w:ind w:leftChars="0"/>
        <w:jc w:val="both"/>
        <w:rPr>
          <w:b/>
        </w:rPr>
      </w:pPr>
      <w:r>
        <w:rPr>
          <w:b/>
        </w:rPr>
        <w:lastRenderedPageBreak/>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afff0"/>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2A4F9C">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2A4F9C">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lastRenderedPageBreak/>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2A4F9C">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2A4F9C">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lastRenderedPageBreak/>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宋体"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宋体"/>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afff0"/>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afff0"/>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afff0"/>
        <w:numPr>
          <w:ilvl w:val="0"/>
          <w:numId w:val="20"/>
        </w:numPr>
        <w:ind w:leftChars="0"/>
        <w:jc w:val="both"/>
        <w:rPr>
          <w:b/>
        </w:rPr>
      </w:pPr>
      <w:r>
        <w:rPr>
          <w:rFonts w:hint="eastAsia"/>
          <w:b/>
        </w:rPr>
        <w:t>Specify the following EPRE ratio.</w:t>
      </w:r>
    </w:p>
    <w:p w14:paraId="4C60F941" w14:textId="77777777" w:rsidR="007D6A83" w:rsidRDefault="00245759">
      <w:pPr>
        <w:pStyle w:val="afff0"/>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afff0"/>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Pr>
                                      <w:position w:val="-10"/>
                                    </w:rPr>
                                    <w:object w:dxaOrig="687" w:dyaOrig="317" w14:anchorId="5357AC17">
                                      <v:shape id="_x0000_i1026" type="#_x0000_t75" style="width:34.2pt;height:15.95pt" o:ole="">
                                        <v:imagedata r:id="rId33" o:title=""/>
                                      </v:shape>
                                      <o:OLEObject Type="Embed" ProgID="Equation.3" ShapeID="_x0000_i1026" DrawAspect="Content" ObjectID="_1790596761" r:id="rId34"/>
                                    </w:object>
                                  </w:r>
                                  <w:r>
                                    <w:t xml:space="preserve">, </w:t>
                                  </w:r>
                                  <w:r>
                                    <w:rPr>
                                      <w:position w:val="-10"/>
                                    </w:rPr>
                                    <w:object w:dxaOrig="687" w:dyaOrig="317" w14:anchorId="6571E0C5">
                                      <v:shape id="_x0000_i1028" type="#_x0000_t75" style="width:34.2pt;height:15.95pt" o:ole="">
                                        <v:imagedata r:id="rId35" o:title=""/>
                                      </v:shape>
                                      <o:OLEObject Type="Embed" ProgID="Equation.3" ShapeID="_x0000_i1028" DrawAspect="Content" ObjectID="_1790596762" r:id="rId36"/>
                                    </w:object>
                                  </w:r>
                                  <w:r>
                                    <w:t>, or</w:t>
                                  </w:r>
                                  <w:r>
                                    <w:rPr>
                                      <w:position w:val="-10"/>
                                    </w:rPr>
                                    <w:object w:dxaOrig="819" w:dyaOrig="317" w14:anchorId="5CC8CD6A">
                                      <v:shape id="_x0000_i1030" type="#_x0000_t75" style="width:41pt;height:15.95pt" o:ole="">
                                        <v:imagedata r:id="rId37" o:title=""/>
                                      </v:shape>
                                      <o:OLEObject Type="Embed" ProgID="Equation.3" ShapeID="_x0000_i1030" DrawAspect="Content" ObjectID="_1790596763" r:id="rId38"/>
                                    </w:object>
                                  </w:r>
                                  <w:r>
                                    <w:t xml:space="preserve"> for frequency range 1 and frequency range 2,</w:t>
                                  </w:r>
                                </w:p>
                                <w:p w14:paraId="387EE4B9" w14:textId="77777777" w:rsidR="002A4F9C" w:rsidRDefault="002A4F9C">
                                  <w:pPr>
                                    <w:pStyle w:val="B2"/>
                                  </w:pPr>
                                  <w:r>
                                    <w:t>-</w:t>
                                  </w:r>
                                  <w:r>
                                    <w:tab/>
                                  </w:r>
                                  <w:r>
                                    <w:rPr>
                                      <w:position w:val="-10"/>
                                    </w:rPr>
                                    <w:object w:dxaOrig="687" w:dyaOrig="317" w14:anchorId="1E7D5246">
                                      <v:shape id="_x0000_i1032" type="#_x0000_t75" style="width:34.2pt;height:15.95pt" o:ole="">
                                        <v:imagedata r:id="rId39" o:title=""/>
                                      </v:shape>
                                      <o:OLEObject Type="Embed" ProgID="Equation.3" ShapeID="_x0000_i1032" DrawAspect="Content" ObjectID="_1790596764" r:id="rId40"/>
                                    </w:object>
                                  </w:r>
                                  <w:r>
                                    <w:t xml:space="preserve">, </w:t>
                                  </w:r>
                                  <w:r>
                                    <w:rPr>
                                      <w:position w:val="-10"/>
                                    </w:rPr>
                                    <w:object w:dxaOrig="594" w:dyaOrig="317" w14:anchorId="48C9F715">
                                      <v:shape id="_x0000_i1034" type="#_x0000_t75" style="width:29.6pt;height:15.95pt" o:ole="">
                                        <v:imagedata r:id="rId41" o:title=""/>
                                      </v:shape>
                                      <o:OLEObject Type="Embed" ProgID="Equation.3" ShapeID="_x0000_i1034" DrawAspect="Content" ObjectID="_1790596765" r:id="rId42"/>
                                    </w:object>
                                  </w:r>
                                  <w:r>
                                    <w:t xml:space="preserve">, </w:t>
                                  </w:r>
                                  <w:r>
                                    <w:rPr>
                                      <w:position w:val="-10"/>
                                    </w:rPr>
                                    <w:object w:dxaOrig="687" w:dyaOrig="317" w14:anchorId="0718CE8D">
                                      <v:shape id="_x0000_i1036" type="#_x0000_t75" style="width:34.2pt;height:15.95pt" o:ole="">
                                        <v:imagedata r:id="rId43" o:title=""/>
                                      </v:shape>
                                      <o:OLEObject Type="Embed" ProgID="Equation.3" ShapeID="_x0000_i1036" DrawAspect="Content" ObjectID="_1790596766" r:id="rId44"/>
                                    </w:object>
                                  </w:r>
                                  <w:r>
                                    <w:t xml:space="preserve">, </w:t>
                                  </w:r>
                                  <w:r>
                                    <w:rPr>
                                      <w:position w:val="-10"/>
                                    </w:rPr>
                                    <w:object w:dxaOrig="687" w:dyaOrig="317" w14:anchorId="5DB8BC9B">
                                      <v:shape id="_x0000_i1038" type="#_x0000_t75" style="width:34.2pt;height:15.95pt" o:ole="">
                                        <v:imagedata r:id="rId45" o:title=""/>
                                      </v:shape>
                                      <o:OLEObject Type="Embed" ProgID="Equation.3" ShapeID="_x0000_i1038" DrawAspect="Content" ObjectID="_1790596767" r:id="rId46"/>
                                    </w:object>
                                  </w:r>
                                  <w:r>
                                    <w:t xml:space="preserve">, </w:t>
                                  </w:r>
                                  <w:r>
                                    <w:rPr>
                                      <w:position w:val="-10"/>
                                    </w:rPr>
                                    <w:object w:dxaOrig="766" w:dyaOrig="317" w14:anchorId="132867CB">
                                      <v:shape id="_x0000_i1040" type="#_x0000_t75" style="width:38.3pt;height:15.95pt" o:ole="">
                                        <v:imagedata r:id="rId47" o:title=""/>
                                      </v:shape>
                                      <o:OLEObject Type="Embed" ProgID="Equation.3" ShapeID="_x0000_i1040" DrawAspect="Content" ObjectID="_1790596768" r:id="rId48"/>
                                    </w:object>
                                  </w:r>
                                  <w:r>
                                    <w:t xml:space="preserve">, </w:t>
                                  </w:r>
                                  <w:r>
                                    <w:rPr>
                                      <w:position w:val="-10"/>
                                    </w:rPr>
                                    <w:object w:dxaOrig="766" w:dyaOrig="317" w14:anchorId="1022964A">
                                      <v:shape id="_x0000_i1042" type="#_x0000_t75" style="width:38.3pt;height:15.95pt" o:ole="">
                                        <v:imagedata r:id="rId49" o:title=""/>
                                      </v:shape>
                                      <o:OLEObject Type="Embed" ProgID="Equation.3" ShapeID="_x0000_i1042" DrawAspect="Content" ObjectID="_1790596769" r:id="rId50"/>
                                    </w:object>
                                  </w:r>
                                  <w:r>
                                    <w:t xml:space="preserve"> or </w:t>
                                  </w:r>
                                  <w:r>
                                    <w:rPr>
                                      <w:position w:val="-10"/>
                                    </w:rPr>
                                    <w:object w:dxaOrig="766" w:dyaOrig="317" w14:anchorId="19EC498F">
                                      <v:shape id="_x0000_i1044" type="#_x0000_t75" style="width:38.3pt;height:15.95pt" o:ole="">
                                        <v:imagedata r:id="rId51" o:title=""/>
                                      </v:shape>
                                      <o:OLEObject Type="Embed" ProgID="Equation.3" ShapeID="_x0000_i1044" DrawAspect="Content" ObjectID="_1790596770"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Pr>
                                <w:position w:val="-10"/>
                              </w:rPr>
                              <w:object w:dxaOrig="687" w:dyaOrig="317" w14:anchorId="5357AC17">
                                <v:shape id="_x0000_i1026" type="#_x0000_t75" style="width:34.2pt;height:15.95pt" o:ole="">
                                  <v:imagedata r:id="rId33" o:title=""/>
                                </v:shape>
                                <o:OLEObject Type="Embed" ProgID="Equation.3" ShapeID="_x0000_i1026" DrawAspect="Content" ObjectID="_1790596761" r:id="rId53"/>
                              </w:object>
                            </w:r>
                            <w:r>
                              <w:t xml:space="preserve">, </w:t>
                            </w:r>
                            <w:r>
                              <w:rPr>
                                <w:position w:val="-10"/>
                              </w:rPr>
                              <w:object w:dxaOrig="687" w:dyaOrig="317" w14:anchorId="6571E0C5">
                                <v:shape id="_x0000_i1028" type="#_x0000_t75" style="width:34.2pt;height:15.95pt" o:ole="">
                                  <v:imagedata r:id="rId35" o:title=""/>
                                </v:shape>
                                <o:OLEObject Type="Embed" ProgID="Equation.3" ShapeID="_x0000_i1028" DrawAspect="Content" ObjectID="_1790596762" r:id="rId54"/>
                              </w:object>
                            </w:r>
                            <w:r>
                              <w:t>, or</w:t>
                            </w:r>
                            <w:r>
                              <w:rPr>
                                <w:position w:val="-10"/>
                              </w:rPr>
                              <w:object w:dxaOrig="819" w:dyaOrig="317" w14:anchorId="5CC8CD6A">
                                <v:shape id="_x0000_i1030" type="#_x0000_t75" style="width:41pt;height:15.95pt" o:ole="">
                                  <v:imagedata r:id="rId37" o:title=""/>
                                </v:shape>
                                <o:OLEObject Type="Embed" ProgID="Equation.3" ShapeID="_x0000_i1030" DrawAspect="Content" ObjectID="_1790596763" r:id="rId55"/>
                              </w:object>
                            </w:r>
                            <w:r>
                              <w:t xml:space="preserve"> for frequency range 1 and frequency range 2,</w:t>
                            </w:r>
                          </w:p>
                          <w:p w14:paraId="387EE4B9" w14:textId="77777777" w:rsidR="002A4F9C" w:rsidRDefault="002A4F9C">
                            <w:pPr>
                              <w:pStyle w:val="B2"/>
                            </w:pPr>
                            <w:r>
                              <w:t>-</w:t>
                            </w:r>
                            <w:r>
                              <w:tab/>
                            </w:r>
                            <w:r>
                              <w:rPr>
                                <w:position w:val="-10"/>
                              </w:rPr>
                              <w:object w:dxaOrig="687" w:dyaOrig="317" w14:anchorId="1E7D5246">
                                <v:shape id="_x0000_i1032" type="#_x0000_t75" style="width:34.2pt;height:15.95pt" o:ole="">
                                  <v:imagedata r:id="rId39" o:title=""/>
                                </v:shape>
                                <o:OLEObject Type="Embed" ProgID="Equation.3" ShapeID="_x0000_i1032" DrawAspect="Content" ObjectID="_1790596764" r:id="rId56"/>
                              </w:object>
                            </w:r>
                            <w:r>
                              <w:t xml:space="preserve">, </w:t>
                            </w:r>
                            <w:r>
                              <w:rPr>
                                <w:position w:val="-10"/>
                              </w:rPr>
                              <w:object w:dxaOrig="594" w:dyaOrig="317" w14:anchorId="48C9F715">
                                <v:shape id="_x0000_i1034" type="#_x0000_t75" style="width:29.6pt;height:15.95pt" o:ole="">
                                  <v:imagedata r:id="rId41" o:title=""/>
                                </v:shape>
                                <o:OLEObject Type="Embed" ProgID="Equation.3" ShapeID="_x0000_i1034" DrawAspect="Content" ObjectID="_1790596765" r:id="rId57"/>
                              </w:object>
                            </w:r>
                            <w:r>
                              <w:t xml:space="preserve">, </w:t>
                            </w:r>
                            <w:r>
                              <w:rPr>
                                <w:position w:val="-10"/>
                              </w:rPr>
                              <w:object w:dxaOrig="687" w:dyaOrig="317" w14:anchorId="0718CE8D">
                                <v:shape id="_x0000_i1036" type="#_x0000_t75" style="width:34.2pt;height:15.95pt" o:ole="">
                                  <v:imagedata r:id="rId43" o:title=""/>
                                </v:shape>
                                <o:OLEObject Type="Embed" ProgID="Equation.3" ShapeID="_x0000_i1036" DrawAspect="Content" ObjectID="_1790596766" r:id="rId58"/>
                              </w:object>
                            </w:r>
                            <w:r>
                              <w:t xml:space="preserve">, </w:t>
                            </w:r>
                            <w:r>
                              <w:rPr>
                                <w:position w:val="-10"/>
                              </w:rPr>
                              <w:object w:dxaOrig="687" w:dyaOrig="317" w14:anchorId="5DB8BC9B">
                                <v:shape id="_x0000_i1038" type="#_x0000_t75" style="width:34.2pt;height:15.95pt" o:ole="">
                                  <v:imagedata r:id="rId45" o:title=""/>
                                </v:shape>
                                <o:OLEObject Type="Embed" ProgID="Equation.3" ShapeID="_x0000_i1038" DrawAspect="Content" ObjectID="_1790596767" r:id="rId59"/>
                              </w:object>
                            </w:r>
                            <w:r>
                              <w:t xml:space="preserve">, </w:t>
                            </w:r>
                            <w:r>
                              <w:rPr>
                                <w:position w:val="-10"/>
                              </w:rPr>
                              <w:object w:dxaOrig="766" w:dyaOrig="317" w14:anchorId="132867CB">
                                <v:shape id="_x0000_i1040" type="#_x0000_t75" style="width:38.3pt;height:15.95pt" o:ole="">
                                  <v:imagedata r:id="rId47" o:title=""/>
                                </v:shape>
                                <o:OLEObject Type="Embed" ProgID="Equation.3" ShapeID="_x0000_i1040" DrawAspect="Content" ObjectID="_1790596768" r:id="rId60"/>
                              </w:object>
                            </w:r>
                            <w:r>
                              <w:t xml:space="preserve">, </w:t>
                            </w:r>
                            <w:r>
                              <w:rPr>
                                <w:position w:val="-10"/>
                              </w:rPr>
                              <w:object w:dxaOrig="766" w:dyaOrig="317" w14:anchorId="1022964A">
                                <v:shape id="_x0000_i1042" type="#_x0000_t75" style="width:38.3pt;height:15.95pt" o:ole="">
                                  <v:imagedata r:id="rId49" o:title=""/>
                                </v:shape>
                                <o:OLEObject Type="Embed" ProgID="Equation.3" ShapeID="_x0000_i1042" DrawAspect="Content" ObjectID="_1790596769" r:id="rId61"/>
                              </w:object>
                            </w:r>
                            <w:r>
                              <w:t xml:space="preserve"> or </w:t>
                            </w:r>
                            <w:r>
                              <w:rPr>
                                <w:position w:val="-10"/>
                              </w:rPr>
                              <w:object w:dxaOrig="766" w:dyaOrig="317" w14:anchorId="19EC498F">
                                <v:shape id="_x0000_i1044" type="#_x0000_t75" style="width:38.3pt;height:15.95pt" o:ole="">
                                  <v:imagedata r:id="rId51" o:title=""/>
                                </v:shape>
                                <o:OLEObject Type="Embed" ProgID="Equation.3" ShapeID="_x0000_i1044" DrawAspect="Content" ObjectID="_1790596770"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2A4F9C">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2A4F9C">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2A4F9C">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2A4F9C">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a8"/>
              <w:jc w:val="center"/>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Pr>
                                      <w:position w:val="-10"/>
                                      <w:sz w:val="18"/>
                                      <w:szCs w:val="18"/>
                                    </w:rPr>
                                    <w:object w:dxaOrig="687" w:dyaOrig="317" w14:anchorId="18CEC107">
                                      <v:shape id="_x0000_i1046" type="#_x0000_t75" style="width:34.2pt;height:15.95pt" o:ole="">
                                        <v:imagedata r:id="rId33" o:title=""/>
                                      </v:shape>
                                      <o:OLEObject Type="Embed" ProgID="Equation.3" ShapeID="_x0000_i1046" DrawAspect="Content" ObjectID="_1790596771" r:id="rId65"/>
                                    </w:object>
                                  </w:r>
                                  <w:r>
                                    <w:rPr>
                                      <w:sz w:val="18"/>
                                      <w:szCs w:val="18"/>
                                    </w:rPr>
                                    <w:t xml:space="preserve">, </w:t>
                                  </w:r>
                                  <w:r>
                                    <w:rPr>
                                      <w:position w:val="-10"/>
                                      <w:sz w:val="18"/>
                                      <w:szCs w:val="18"/>
                                    </w:rPr>
                                    <w:object w:dxaOrig="684" w:dyaOrig="319" w14:anchorId="4ECFE75C">
                                      <v:shape id="_x0000_i1048" type="#_x0000_t75" style="width:34.2pt;height:15.95pt">
                                        <v:imagedata r:id="rId35" o:title=""/>
                                      </v:shape>
                                      <o:OLEObject Type="Embed" ProgID="Equation.3" ShapeID="_x0000_i1048" DrawAspect="Content" ObjectID="_1790596772" r:id="rId66"/>
                                    </w:object>
                                  </w:r>
                                  <w:r>
                                    <w:rPr>
                                      <w:sz w:val="18"/>
                                      <w:szCs w:val="18"/>
                                    </w:rPr>
                                    <w:t>, or</w:t>
                                  </w:r>
                                  <w:r>
                                    <w:rPr>
                                      <w:position w:val="-10"/>
                                      <w:sz w:val="18"/>
                                      <w:szCs w:val="18"/>
                                    </w:rPr>
                                    <w:object w:dxaOrig="820" w:dyaOrig="319" w14:anchorId="18EB88A5">
                                      <v:shape id="_x0000_i1050" type="#_x0000_t75" style="width:41pt;height:15.95pt">
                                        <v:imagedata r:id="rId37" o:title=""/>
                                      </v:shape>
                                      <o:OLEObject Type="Embed" ProgID="Equation.3" ShapeID="_x0000_i1050" DrawAspect="Content" ObjectID="_1790596773"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Pr>
                                      <w:position w:val="-10"/>
                                      <w:sz w:val="18"/>
                                      <w:szCs w:val="18"/>
                                    </w:rPr>
                                    <w:object w:dxaOrig="684" w:dyaOrig="319" w14:anchorId="1EE5DBB7">
                                      <v:shape id="_x0000_i1052" type="#_x0000_t75" style="width:34.2pt;height:15.95pt">
                                        <v:imagedata r:id="rId39" o:title=""/>
                                      </v:shape>
                                      <o:OLEObject Type="Embed" ProgID="Equation.3" ShapeID="_x0000_i1052" DrawAspect="Content" ObjectID="_1790596774" r:id="rId68"/>
                                    </w:object>
                                  </w:r>
                                  <w:r>
                                    <w:rPr>
                                      <w:sz w:val="18"/>
                                      <w:szCs w:val="18"/>
                                    </w:rPr>
                                    <w:t xml:space="preserve">, </w:t>
                                  </w:r>
                                  <w:r>
                                    <w:rPr>
                                      <w:position w:val="-10"/>
                                      <w:sz w:val="18"/>
                                      <w:szCs w:val="18"/>
                                    </w:rPr>
                                    <w:object w:dxaOrig="620" w:dyaOrig="319" w14:anchorId="732AB0AD">
                                      <v:shape id="_x0000_i1054" type="#_x0000_t75" style="width:31pt;height:15.95pt">
                                        <v:imagedata r:id="rId41" o:title=""/>
                                      </v:shape>
                                      <o:OLEObject Type="Embed" ProgID="Equation.3" ShapeID="_x0000_i1054" DrawAspect="Content" ObjectID="_1790596775" r:id="rId69"/>
                                    </w:object>
                                  </w:r>
                                  <w:r>
                                    <w:rPr>
                                      <w:sz w:val="18"/>
                                      <w:szCs w:val="18"/>
                                    </w:rPr>
                                    <w:t xml:space="preserve">, </w:t>
                                  </w:r>
                                  <w:r>
                                    <w:rPr>
                                      <w:position w:val="-10"/>
                                      <w:sz w:val="18"/>
                                      <w:szCs w:val="18"/>
                                    </w:rPr>
                                    <w:object w:dxaOrig="684" w:dyaOrig="319" w14:anchorId="47C8DBB3">
                                      <v:shape id="_x0000_i1056" type="#_x0000_t75" style="width:34.2pt;height:15.95pt">
                                        <v:imagedata r:id="rId43" o:title=""/>
                                      </v:shape>
                                      <o:OLEObject Type="Embed" ProgID="Equation.3" ShapeID="_x0000_i1056" DrawAspect="Content" ObjectID="_1790596776" r:id="rId70"/>
                                    </w:object>
                                  </w:r>
                                  <w:r>
                                    <w:rPr>
                                      <w:sz w:val="18"/>
                                      <w:szCs w:val="18"/>
                                    </w:rPr>
                                    <w:t xml:space="preserve">, </w:t>
                                  </w:r>
                                  <w:r>
                                    <w:rPr>
                                      <w:position w:val="-10"/>
                                      <w:sz w:val="18"/>
                                      <w:szCs w:val="18"/>
                                    </w:rPr>
                                    <w:object w:dxaOrig="684" w:dyaOrig="319" w14:anchorId="7FA14FCB">
                                      <v:shape id="_x0000_i1058" type="#_x0000_t75" style="width:34.2pt;height:15.95pt">
                                        <v:imagedata r:id="rId45" o:title=""/>
                                      </v:shape>
                                      <o:OLEObject Type="Embed" ProgID="Equation.3" ShapeID="_x0000_i1058" DrawAspect="Content" ObjectID="_1790596777" r:id="rId71"/>
                                    </w:object>
                                  </w:r>
                                  <w:r>
                                    <w:rPr>
                                      <w:sz w:val="18"/>
                                      <w:szCs w:val="18"/>
                                    </w:rPr>
                                    <w:t xml:space="preserve">, </w:t>
                                  </w:r>
                                  <w:r>
                                    <w:rPr>
                                      <w:position w:val="-10"/>
                                      <w:sz w:val="18"/>
                                      <w:szCs w:val="18"/>
                                    </w:rPr>
                                    <w:object w:dxaOrig="784" w:dyaOrig="319" w14:anchorId="6A7F22EB">
                                      <v:shape id="_x0000_i1060" type="#_x0000_t75" style="width:39.2pt;height:15.95pt">
                                        <v:imagedata r:id="rId47" o:title=""/>
                                      </v:shape>
                                      <o:OLEObject Type="Embed" ProgID="Equation.3" ShapeID="_x0000_i1060" DrawAspect="Content" ObjectID="_1790596778" r:id="rId72"/>
                                    </w:object>
                                  </w:r>
                                  <w:r>
                                    <w:rPr>
                                      <w:sz w:val="18"/>
                                      <w:szCs w:val="18"/>
                                    </w:rPr>
                                    <w:t xml:space="preserve">, </w:t>
                                  </w:r>
                                  <w:r>
                                    <w:rPr>
                                      <w:position w:val="-10"/>
                                      <w:sz w:val="18"/>
                                      <w:szCs w:val="18"/>
                                    </w:rPr>
                                    <w:object w:dxaOrig="784" w:dyaOrig="319" w14:anchorId="2A6B7B19">
                                      <v:shape id="_x0000_i1062" type="#_x0000_t75" style="width:39.2pt;height:15.95pt">
                                        <v:imagedata r:id="rId49" o:title=""/>
                                      </v:shape>
                                      <o:OLEObject Type="Embed" ProgID="Equation.3" ShapeID="_x0000_i1062" DrawAspect="Content" ObjectID="_1790596779" r:id="rId73"/>
                                    </w:object>
                                  </w:r>
                                  <w:r>
                                    <w:rPr>
                                      <w:sz w:val="18"/>
                                      <w:szCs w:val="18"/>
                                    </w:rPr>
                                    <w:t xml:space="preserve"> or </w:t>
                                  </w:r>
                                  <w:r>
                                    <w:rPr>
                                      <w:position w:val="-10"/>
                                      <w:sz w:val="18"/>
                                      <w:szCs w:val="18"/>
                                    </w:rPr>
                                    <w:object w:dxaOrig="784" w:dyaOrig="319" w14:anchorId="785E2CDE">
                                      <v:shape id="_x0000_i1064" type="#_x0000_t75" style="width:39.2pt;height:15.95pt">
                                        <v:imagedata r:id="rId51" o:title=""/>
                                      </v:shape>
                                      <o:OLEObject Type="Embed" ProgID="Equation.3" ShapeID="_x0000_i1064" DrawAspect="Content" ObjectID="_1790596780"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Pr>
                                <w:position w:val="-10"/>
                                <w:sz w:val="18"/>
                                <w:szCs w:val="18"/>
                              </w:rPr>
                              <w:object w:dxaOrig="687" w:dyaOrig="317" w14:anchorId="18CEC107">
                                <v:shape id="_x0000_i1046" type="#_x0000_t75" style="width:34.2pt;height:15.95pt" o:ole="">
                                  <v:imagedata r:id="rId33" o:title=""/>
                                </v:shape>
                                <o:OLEObject Type="Embed" ProgID="Equation.3" ShapeID="_x0000_i1046" DrawAspect="Content" ObjectID="_1790596771" r:id="rId75"/>
                              </w:object>
                            </w:r>
                            <w:r>
                              <w:rPr>
                                <w:sz w:val="18"/>
                                <w:szCs w:val="18"/>
                              </w:rPr>
                              <w:t xml:space="preserve">, </w:t>
                            </w:r>
                            <w:r>
                              <w:rPr>
                                <w:position w:val="-10"/>
                                <w:sz w:val="18"/>
                                <w:szCs w:val="18"/>
                              </w:rPr>
                              <w:object w:dxaOrig="684" w:dyaOrig="319" w14:anchorId="4ECFE75C">
                                <v:shape id="_x0000_i1048" type="#_x0000_t75" style="width:34.2pt;height:15.95pt">
                                  <v:imagedata r:id="rId35" o:title=""/>
                                </v:shape>
                                <o:OLEObject Type="Embed" ProgID="Equation.3" ShapeID="_x0000_i1048" DrawAspect="Content" ObjectID="_1790596772" r:id="rId76"/>
                              </w:object>
                            </w:r>
                            <w:r>
                              <w:rPr>
                                <w:sz w:val="18"/>
                                <w:szCs w:val="18"/>
                              </w:rPr>
                              <w:t>, or</w:t>
                            </w:r>
                            <w:r>
                              <w:rPr>
                                <w:position w:val="-10"/>
                                <w:sz w:val="18"/>
                                <w:szCs w:val="18"/>
                              </w:rPr>
                              <w:object w:dxaOrig="820" w:dyaOrig="319" w14:anchorId="18EB88A5">
                                <v:shape id="_x0000_i1050" type="#_x0000_t75" style="width:41pt;height:15.95pt">
                                  <v:imagedata r:id="rId37" o:title=""/>
                                </v:shape>
                                <o:OLEObject Type="Embed" ProgID="Equation.3" ShapeID="_x0000_i1050" DrawAspect="Content" ObjectID="_1790596773"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Pr>
                                <w:position w:val="-10"/>
                                <w:sz w:val="18"/>
                                <w:szCs w:val="18"/>
                              </w:rPr>
                              <w:object w:dxaOrig="684" w:dyaOrig="319" w14:anchorId="1EE5DBB7">
                                <v:shape id="_x0000_i1052" type="#_x0000_t75" style="width:34.2pt;height:15.95pt">
                                  <v:imagedata r:id="rId39" o:title=""/>
                                </v:shape>
                                <o:OLEObject Type="Embed" ProgID="Equation.3" ShapeID="_x0000_i1052" DrawAspect="Content" ObjectID="_1790596774" r:id="rId78"/>
                              </w:object>
                            </w:r>
                            <w:r>
                              <w:rPr>
                                <w:sz w:val="18"/>
                                <w:szCs w:val="18"/>
                              </w:rPr>
                              <w:t xml:space="preserve">, </w:t>
                            </w:r>
                            <w:r>
                              <w:rPr>
                                <w:position w:val="-10"/>
                                <w:sz w:val="18"/>
                                <w:szCs w:val="18"/>
                              </w:rPr>
                              <w:object w:dxaOrig="620" w:dyaOrig="319" w14:anchorId="732AB0AD">
                                <v:shape id="_x0000_i1054" type="#_x0000_t75" style="width:31pt;height:15.95pt">
                                  <v:imagedata r:id="rId41" o:title=""/>
                                </v:shape>
                                <o:OLEObject Type="Embed" ProgID="Equation.3" ShapeID="_x0000_i1054" DrawAspect="Content" ObjectID="_1790596775" r:id="rId79"/>
                              </w:object>
                            </w:r>
                            <w:r>
                              <w:rPr>
                                <w:sz w:val="18"/>
                                <w:szCs w:val="18"/>
                              </w:rPr>
                              <w:t xml:space="preserve">, </w:t>
                            </w:r>
                            <w:r>
                              <w:rPr>
                                <w:position w:val="-10"/>
                                <w:sz w:val="18"/>
                                <w:szCs w:val="18"/>
                              </w:rPr>
                              <w:object w:dxaOrig="684" w:dyaOrig="319" w14:anchorId="47C8DBB3">
                                <v:shape id="_x0000_i1056" type="#_x0000_t75" style="width:34.2pt;height:15.95pt">
                                  <v:imagedata r:id="rId43" o:title=""/>
                                </v:shape>
                                <o:OLEObject Type="Embed" ProgID="Equation.3" ShapeID="_x0000_i1056" DrawAspect="Content" ObjectID="_1790596776" r:id="rId80"/>
                              </w:object>
                            </w:r>
                            <w:r>
                              <w:rPr>
                                <w:sz w:val="18"/>
                                <w:szCs w:val="18"/>
                              </w:rPr>
                              <w:t xml:space="preserve">, </w:t>
                            </w:r>
                            <w:r>
                              <w:rPr>
                                <w:position w:val="-10"/>
                                <w:sz w:val="18"/>
                                <w:szCs w:val="18"/>
                              </w:rPr>
                              <w:object w:dxaOrig="684" w:dyaOrig="319" w14:anchorId="7FA14FCB">
                                <v:shape id="_x0000_i1058" type="#_x0000_t75" style="width:34.2pt;height:15.95pt">
                                  <v:imagedata r:id="rId45" o:title=""/>
                                </v:shape>
                                <o:OLEObject Type="Embed" ProgID="Equation.3" ShapeID="_x0000_i1058" DrawAspect="Content" ObjectID="_1790596777" r:id="rId81"/>
                              </w:object>
                            </w:r>
                            <w:r>
                              <w:rPr>
                                <w:sz w:val="18"/>
                                <w:szCs w:val="18"/>
                              </w:rPr>
                              <w:t xml:space="preserve">, </w:t>
                            </w:r>
                            <w:r>
                              <w:rPr>
                                <w:position w:val="-10"/>
                                <w:sz w:val="18"/>
                                <w:szCs w:val="18"/>
                              </w:rPr>
                              <w:object w:dxaOrig="784" w:dyaOrig="319" w14:anchorId="6A7F22EB">
                                <v:shape id="_x0000_i1060" type="#_x0000_t75" style="width:39.2pt;height:15.95pt">
                                  <v:imagedata r:id="rId47" o:title=""/>
                                </v:shape>
                                <o:OLEObject Type="Embed" ProgID="Equation.3" ShapeID="_x0000_i1060" DrawAspect="Content" ObjectID="_1790596778" r:id="rId82"/>
                              </w:object>
                            </w:r>
                            <w:r>
                              <w:rPr>
                                <w:sz w:val="18"/>
                                <w:szCs w:val="18"/>
                              </w:rPr>
                              <w:t xml:space="preserve">, </w:t>
                            </w:r>
                            <w:r>
                              <w:rPr>
                                <w:position w:val="-10"/>
                                <w:sz w:val="18"/>
                                <w:szCs w:val="18"/>
                              </w:rPr>
                              <w:object w:dxaOrig="784" w:dyaOrig="319" w14:anchorId="2A6B7B19">
                                <v:shape id="_x0000_i1062" type="#_x0000_t75" style="width:39.2pt;height:15.95pt">
                                  <v:imagedata r:id="rId49" o:title=""/>
                                </v:shape>
                                <o:OLEObject Type="Embed" ProgID="Equation.3" ShapeID="_x0000_i1062" DrawAspect="Content" ObjectID="_1790596779" r:id="rId83"/>
                              </w:object>
                            </w:r>
                            <w:r>
                              <w:rPr>
                                <w:sz w:val="18"/>
                                <w:szCs w:val="18"/>
                              </w:rPr>
                              <w:t xml:space="preserve"> or </w:t>
                            </w:r>
                            <w:r>
                              <w:rPr>
                                <w:position w:val="-10"/>
                                <w:sz w:val="18"/>
                                <w:szCs w:val="18"/>
                              </w:rPr>
                              <w:object w:dxaOrig="784" w:dyaOrig="319" w14:anchorId="785E2CDE">
                                <v:shape id="_x0000_i1064" type="#_x0000_t75" style="width:39.2pt;height:15.95pt">
                                  <v:imagedata r:id="rId51" o:title=""/>
                                </v:shape>
                                <o:OLEObject Type="Embed" ProgID="Equation.3" ShapeID="_x0000_i1064" DrawAspect="Content" ObjectID="_1790596780"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afff0"/>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7"/>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宋体"/>
                <w:color w:val="FF0000"/>
                <w:sz w:val="20"/>
                <w:lang w:eastAsia="zh-CN"/>
              </w:rPr>
            </w:pPr>
            <w:r>
              <w:rPr>
                <w:rFonts w:eastAsia="宋体"/>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Pr>
                <w:position w:val="-10"/>
                <w:sz w:val="20"/>
              </w:rPr>
              <w:object w:dxaOrig="700" w:dyaOrig="317" w14:anchorId="29BEE812">
                <v:shape id="_x0000_i1065" type="#_x0000_t75" style="width:35.55pt;height:15.95pt" o:ole="">
                  <v:imagedata r:id="rId33" o:title=""/>
                </v:shape>
                <o:OLEObject Type="Embed" ProgID="Equation.3" ShapeID="_x0000_i1065" DrawAspect="Content" ObjectID="_1790596750" r:id="rId85"/>
              </w:object>
            </w:r>
            <w:r>
              <w:rPr>
                <w:sz w:val="20"/>
              </w:rPr>
              <w:t xml:space="preserve">, </w:t>
            </w:r>
            <w:r>
              <w:rPr>
                <w:position w:val="-10"/>
                <w:sz w:val="20"/>
              </w:rPr>
              <w:object w:dxaOrig="700" w:dyaOrig="317" w14:anchorId="1BD9B523">
                <v:shape id="_x0000_i1066" type="#_x0000_t75" style="width:35.55pt;height:15.95pt" o:ole="">
                  <v:imagedata r:id="rId35" o:title=""/>
                </v:shape>
                <o:OLEObject Type="Embed" ProgID="Equation.3" ShapeID="_x0000_i1066" DrawAspect="Content" ObjectID="_1790596751" r:id="rId86"/>
              </w:object>
            </w:r>
            <w:r>
              <w:rPr>
                <w:sz w:val="20"/>
              </w:rPr>
              <w:t>, or</w:t>
            </w:r>
            <w:r>
              <w:rPr>
                <w:position w:val="-10"/>
                <w:sz w:val="20"/>
              </w:rPr>
              <w:object w:dxaOrig="819" w:dyaOrig="317" w14:anchorId="0A06B4D8">
                <v:shape id="_x0000_i1067" type="#_x0000_t75" style="width:41pt;height:15.95pt" o:ole="">
                  <v:imagedata r:id="rId37" o:title=""/>
                </v:shape>
                <o:OLEObject Type="Embed" ProgID="Equation.3" ShapeID="_x0000_i1067" DrawAspect="Content" ObjectID="_1790596752"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Pr>
                <w:position w:val="-10"/>
                <w:sz w:val="20"/>
              </w:rPr>
              <w:object w:dxaOrig="700" w:dyaOrig="317" w14:anchorId="3E546DA1">
                <v:shape id="_x0000_i1068" type="#_x0000_t75" style="width:35.55pt;height:15.95pt" o:ole="">
                  <v:imagedata r:id="rId39" o:title=""/>
                </v:shape>
                <o:OLEObject Type="Embed" ProgID="Equation.3" ShapeID="_x0000_i1068" DrawAspect="Content" ObjectID="_1790596753" r:id="rId88"/>
              </w:object>
            </w:r>
            <w:r>
              <w:rPr>
                <w:sz w:val="20"/>
              </w:rPr>
              <w:t xml:space="preserve">, </w:t>
            </w:r>
            <w:r>
              <w:rPr>
                <w:position w:val="-10"/>
                <w:sz w:val="20"/>
              </w:rPr>
              <w:object w:dxaOrig="621" w:dyaOrig="317" w14:anchorId="47FE84F1">
                <v:shape id="_x0000_i1069" type="#_x0000_t75" style="width:31pt;height:15.95pt" o:ole="">
                  <v:imagedata r:id="rId41" o:title=""/>
                </v:shape>
                <o:OLEObject Type="Embed" ProgID="Equation.3" ShapeID="_x0000_i1069" DrawAspect="Content" ObjectID="_1790596754" r:id="rId89"/>
              </w:object>
            </w:r>
            <w:r>
              <w:rPr>
                <w:sz w:val="20"/>
              </w:rPr>
              <w:t xml:space="preserve">, </w:t>
            </w:r>
            <w:r>
              <w:rPr>
                <w:position w:val="-10"/>
                <w:sz w:val="20"/>
              </w:rPr>
              <w:object w:dxaOrig="700" w:dyaOrig="317" w14:anchorId="0A3EE806">
                <v:shape id="_x0000_i1070" type="#_x0000_t75" style="width:35.55pt;height:15.95pt" o:ole="">
                  <v:imagedata r:id="rId43" o:title=""/>
                </v:shape>
                <o:OLEObject Type="Embed" ProgID="Equation.3" ShapeID="_x0000_i1070" DrawAspect="Content" ObjectID="_1790596755" r:id="rId90"/>
              </w:object>
            </w:r>
            <w:r>
              <w:rPr>
                <w:sz w:val="20"/>
              </w:rPr>
              <w:t xml:space="preserve">, </w:t>
            </w:r>
            <w:r>
              <w:rPr>
                <w:position w:val="-10"/>
                <w:sz w:val="20"/>
              </w:rPr>
              <w:object w:dxaOrig="687" w:dyaOrig="317" w14:anchorId="2A57D2D2">
                <v:shape id="_x0000_i1071" type="#_x0000_t75" style="width:34.2pt;height:15.95pt" o:ole="">
                  <v:imagedata r:id="rId45" o:title=""/>
                </v:shape>
                <o:OLEObject Type="Embed" ProgID="Equation.3" ShapeID="_x0000_i1071" DrawAspect="Content" ObjectID="_1790596756" r:id="rId91"/>
              </w:object>
            </w:r>
            <w:r>
              <w:rPr>
                <w:sz w:val="20"/>
              </w:rPr>
              <w:t xml:space="preserve">, </w:t>
            </w:r>
            <w:r>
              <w:rPr>
                <w:position w:val="-10"/>
                <w:sz w:val="20"/>
              </w:rPr>
              <w:object w:dxaOrig="766" w:dyaOrig="317" w14:anchorId="063F9550">
                <v:shape id="_x0000_i1072" type="#_x0000_t75" style="width:38.3pt;height:15.95pt" o:ole="">
                  <v:imagedata r:id="rId47" o:title=""/>
                </v:shape>
                <o:OLEObject Type="Embed" ProgID="Equation.3" ShapeID="_x0000_i1072" DrawAspect="Content" ObjectID="_1790596757" r:id="rId92"/>
              </w:object>
            </w:r>
            <w:r>
              <w:rPr>
                <w:sz w:val="20"/>
              </w:rPr>
              <w:t xml:space="preserve">, </w:t>
            </w:r>
            <w:r>
              <w:rPr>
                <w:position w:val="-10"/>
                <w:sz w:val="20"/>
              </w:rPr>
              <w:object w:dxaOrig="766" w:dyaOrig="317" w14:anchorId="504FDB6E">
                <v:shape id="_x0000_i1073" type="#_x0000_t75" style="width:38.3pt;height:15.95pt" o:ole="">
                  <v:imagedata r:id="rId49" o:title=""/>
                </v:shape>
                <o:OLEObject Type="Embed" ProgID="Equation.3" ShapeID="_x0000_i1073" DrawAspect="Content" ObjectID="_1790596758" r:id="rId93"/>
              </w:object>
            </w:r>
            <w:r>
              <w:rPr>
                <w:sz w:val="20"/>
              </w:rPr>
              <w:t xml:space="preserve"> or </w:t>
            </w:r>
            <w:r>
              <w:rPr>
                <w:position w:val="-10"/>
                <w:sz w:val="20"/>
              </w:rPr>
              <w:object w:dxaOrig="766" w:dyaOrig="317" w14:anchorId="22A1DBBC">
                <v:shape id="_x0000_i1074" type="#_x0000_t75" style="width:38.3pt;height:15.95pt" o:ole="">
                  <v:imagedata r:id="rId51" o:title=""/>
                </v:shape>
                <o:OLEObject Type="Embed" ProgID="Equation.3" ShapeID="_x0000_i1074" DrawAspect="Content" ObjectID="_1790596759" r:id="rId94"/>
              </w:object>
            </w:r>
            <w:r>
              <w:rPr>
                <w:sz w:val="20"/>
              </w:rPr>
              <w:t xml:space="preserve"> for frequency range 2.</w:t>
            </w:r>
          </w:p>
          <w:p w14:paraId="009F219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ad"/>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ad"/>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ad"/>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ad"/>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ad"/>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ad"/>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宋体"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宋体"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宋体"/>
                <w:sz w:val="22"/>
                <w:lang w:val="en-US" w:eastAsia="zh-CN"/>
              </w:rPr>
            </w:pPr>
            <w:r>
              <w:rPr>
                <w:rFonts w:eastAsia="宋体"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宋体"/>
                <w:sz w:val="22"/>
                <w:lang w:val="en-US" w:eastAsia="zh-CN"/>
              </w:rPr>
            </w:pPr>
            <w:r>
              <w:rPr>
                <w:rFonts w:eastAsia="宋体" w:hint="eastAsia"/>
                <w:sz w:val="22"/>
                <w:lang w:val="en-US" w:eastAsia="zh-CN"/>
              </w:rPr>
              <w:t>T</w:t>
            </w:r>
            <w:r>
              <w:rPr>
                <w:rFonts w:eastAsia="宋体"/>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宋体"/>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宋体"/>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afff0"/>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afff0"/>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afff0"/>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31"/>
        <w:rPr>
          <w:rFonts w:eastAsia="MS Mincho" w:cs="Batang"/>
          <w:b/>
          <w:bCs/>
          <w:sz w:val="22"/>
          <w:szCs w:val="22"/>
        </w:rPr>
      </w:pPr>
      <w:bookmarkStart w:id="32" w:name="_GoBack"/>
      <w:bookmarkEnd w:id="32"/>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afff0"/>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afff0"/>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376"/>
        <w:gridCol w:w="1023"/>
        <w:gridCol w:w="7229"/>
      </w:tblGrid>
      <w:tr w:rsidR="007D6A83" w14:paraId="4D91C8D5" w14:textId="77777777">
        <w:tc>
          <w:tcPr>
            <w:tcW w:w="140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21"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tc>
          <w:tcPr>
            <w:tcW w:w="140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21"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tc>
          <w:tcPr>
            <w:tcW w:w="140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tc>
          <w:tcPr>
            <w:tcW w:w="140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21"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tc>
          <w:tcPr>
            <w:tcW w:w="140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tc>
          <w:tcPr>
            <w:tcW w:w="140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21"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tc>
          <w:tcPr>
            <w:tcW w:w="1405" w:type="dxa"/>
          </w:tcPr>
          <w:p w14:paraId="04E7EEE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21"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tc>
          <w:tcPr>
            <w:tcW w:w="140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tc>
          <w:tcPr>
            <w:tcW w:w="140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tc>
          <w:tcPr>
            <w:tcW w:w="140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21"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tc>
          <w:tcPr>
            <w:tcW w:w="140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245759">
            <w:pPr>
              <w:spacing w:afterLines="50" w:after="120"/>
              <w:jc w:val="both"/>
              <w:rPr>
                <w:rFonts w:eastAsiaTheme="minorEastAsia"/>
                <w:sz w:val="22"/>
                <w:lang w:val="en-US" w:eastAsia="zh-CN"/>
              </w:rPr>
            </w:pPr>
            <w:r>
              <w:rPr>
                <w:lang w:val="en-US"/>
              </w:rPr>
              <w:object w:dxaOrig="7005" w:dyaOrig="2696" w14:anchorId="1FFBF312">
                <v:shape id="_x0000_i1075" type="#_x0000_t75" style="width:350.6pt;height:134.95pt" o:ole="">
                  <v:imagedata r:id="rId96" o:title=""/>
                </v:shape>
                <o:OLEObject Type="Embed" ProgID="PBrush" ShapeID="_x0000_i1075" DrawAspect="Content" ObjectID="_1790596760" r:id="rId97"/>
              </w:object>
            </w:r>
          </w:p>
        </w:tc>
      </w:tr>
      <w:tr w:rsidR="007D6A83" w14:paraId="69A3443B" w14:textId="77777777">
        <w:tc>
          <w:tcPr>
            <w:tcW w:w="140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21"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tc>
          <w:tcPr>
            <w:tcW w:w="140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21"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tc>
          <w:tcPr>
            <w:tcW w:w="140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tc>
          <w:tcPr>
            <w:tcW w:w="140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21"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tc>
          <w:tcPr>
            <w:tcW w:w="140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21"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afff0"/>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afff0"/>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afff0"/>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tc>
          <w:tcPr>
            <w:tcW w:w="140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21"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afff0"/>
              <w:numPr>
                <w:ilvl w:val="0"/>
                <w:numId w:val="53"/>
              </w:numPr>
              <w:spacing w:afterLines="50" w:after="120"/>
              <w:ind w:leftChars="0"/>
              <w:jc w:val="both"/>
              <w:rPr>
                <w:sz w:val="22"/>
                <w:lang w:val="en-US"/>
              </w:rPr>
            </w:pPr>
            <w:r w:rsidRPr="002007B8">
              <w:rPr>
                <w:b/>
                <w:bCs/>
                <w:sz w:val="22"/>
                <w:lang w:val="en-US"/>
              </w:rPr>
              <w:lastRenderedPageBreak/>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afff0"/>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tc>
          <w:tcPr>
            <w:tcW w:w="1405" w:type="dxa"/>
          </w:tcPr>
          <w:p w14:paraId="440D1DAD" w14:textId="7BA4A053" w:rsidR="003A3042" w:rsidRPr="003A3042" w:rsidRDefault="003A3042">
            <w:pPr>
              <w:spacing w:afterLines="50" w:after="120"/>
              <w:jc w:val="both"/>
              <w:rPr>
                <w:rFonts w:eastAsiaTheme="minorEastAsia" w:hint="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21"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hint="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r>
              <w:rPr>
                <w:color w:val="000000"/>
              </w:rPr>
              <w:t>..</w:t>
            </w:r>
            <w:proofErr w:type="gramEnd"/>
            <w:r>
              <w:rPr>
                <w:rFonts w:eastAsiaTheme="minorEastAsia"/>
                <w:lang w:eastAsia="zh-CN"/>
              </w:rPr>
              <w:t>”?</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afff0"/>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afff0"/>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06C9E46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afff0"/>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lastRenderedPageBreak/>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afff0"/>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afff0"/>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lastRenderedPageBreak/>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afff0"/>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lastRenderedPageBreak/>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3" w:name="_Hlk178857068"/>
            <w:bookmarkEnd w:id="33"/>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afff0"/>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afff0"/>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 xml:space="preserve">It is unclear to us whether the proposal has essential benefit (i.e., how many UL PDCCH candidates can be excluded in a slot and how often that allows the UE to monitor additional search space sets) or without this proposal, there </w:t>
            </w:r>
            <w:r>
              <w:rPr>
                <w:sz w:val="22"/>
                <w:lang w:val="en-US"/>
              </w:rPr>
              <w:lastRenderedPageBreak/>
              <w:t>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lastRenderedPageBreak/>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a8"/>
              <w:jc w:val="both"/>
              <w:rPr>
                <w:sz w:val="18"/>
                <w:szCs w:val="18"/>
                <w:lang w:val="en-US"/>
              </w:rPr>
            </w:pPr>
            <w:bookmarkStart w:id="34" w:name="_Toc131502032"/>
            <w:bookmarkStart w:id="35" w:name="_Toc131415286"/>
            <w:bookmarkStart w:id="36" w:name="_Toc131416005"/>
            <w:bookmarkStart w:id="37" w:name="_Toc131677051"/>
            <w:bookmarkStart w:id="38" w:name="_Toc131679116"/>
            <w:bookmarkStart w:id="39" w:name="_Toc131677880"/>
            <w:bookmarkStart w:id="40" w:name="_Toc134804115"/>
            <w:bookmarkStart w:id="41" w:name="_Toc131680189"/>
            <w:bookmarkStart w:id="42" w:name="_Toc131678915"/>
            <w:bookmarkStart w:id="43" w:name="_Ref127482374"/>
            <w:bookmarkStart w:id="44" w:name="_Toc134785499"/>
            <w:bookmarkStart w:id="45" w:name="_Toc131605368"/>
            <w:bookmarkStart w:id="46" w:name="_Toc131415971"/>
            <w:bookmarkStart w:id="47" w:name="_Toc131683505"/>
            <w:bookmarkStart w:id="48" w:name="_Toc131679084"/>
            <w:bookmarkStart w:id="49" w:name="_Toc131680870"/>
            <w:bookmarkStart w:id="50" w:name="_Toc131676608"/>
            <w:bookmarkStart w:id="51" w:name="_Toc134785462"/>
            <w:bookmarkStart w:id="52" w:name="_Toc134803082"/>
            <w:bookmarkStart w:id="53" w:name="_Toc131683165"/>
            <w:bookmarkStart w:id="54" w:name="_Toc131680894"/>
            <w:bookmarkStart w:id="55" w:name="_Toc131680074"/>
            <w:bookmarkStart w:id="56" w:name="_Toc131682998"/>
            <w:bookmarkStart w:id="57" w:name="_Toc131496967"/>
            <w:bookmarkStart w:id="58" w:name="_Toc131682976"/>
            <w:bookmarkStart w:id="59" w:name="_Toc131692292"/>
            <w:bookmarkStart w:id="60" w:name="_Toc131683433"/>
            <w:bookmarkStart w:id="61" w:name="_Toc134804229"/>
            <w:bookmarkStart w:id="62" w:name="_Toc131682954"/>
            <w:bookmarkStart w:id="63" w:name="_Toc131683592"/>
            <w:bookmarkStart w:id="64" w:name="_Toc131692329"/>
            <w:bookmarkStart w:id="65" w:name="_Toc131683289"/>
            <w:bookmarkStart w:id="66" w:name="_Toc131682804"/>
            <w:bookmarkStart w:id="67" w:name="_Toc131683397"/>
            <w:bookmarkStart w:id="68" w:name="_Toc131416022"/>
            <w:bookmarkStart w:id="69" w:name="_Toc134804180"/>
            <w:bookmarkStart w:id="70" w:name="_Toc131676770"/>
            <w:bookmarkStart w:id="71" w:name="_Toc131683020"/>
            <w:bookmarkStart w:id="72" w:name="_Toc131693302"/>
            <w:bookmarkStart w:id="73" w:name="_Toc131677934"/>
            <w:bookmarkStart w:id="74" w:name="_Toc131415988"/>
            <w:bookmarkStart w:id="75" w:name="_Toc131605816"/>
            <w:bookmarkStart w:id="76" w:name="_Toc131683042"/>
            <w:bookmarkStart w:id="77" w:name="_Toc131683253"/>
            <w:bookmarkStart w:id="78" w:name="_Toc131683325"/>
            <w:bookmarkStart w:id="79" w:name="_Toc131683469"/>
            <w:bookmarkStart w:id="80" w:name="_Toc131683361"/>
            <w:bookmarkStart w:id="81"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afff0"/>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afff0"/>
        <w:numPr>
          <w:ilvl w:val="1"/>
          <w:numId w:val="20"/>
        </w:numPr>
        <w:ind w:leftChars="0"/>
        <w:jc w:val="both"/>
        <w:rPr>
          <w:b/>
        </w:rPr>
      </w:pPr>
      <w:r>
        <w:rPr>
          <w:b/>
        </w:rPr>
        <w:t>There is a change in PL compared to that in previous report.</w:t>
      </w:r>
    </w:p>
    <w:p w14:paraId="69B18147" w14:textId="77777777" w:rsidR="007D6A83" w:rsidRDefault="00245759">
      <w:pPr>
        <w:pStyle w:val="afff0"/>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lastRenderedPageBreak/>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ad"/>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2A4F9C">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aff7"/>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a8"/>
              <w:jc w:val="center"/>
              <w:rPr>
                <w:sz w:val="18"/>
                <w:szCs w:val="18"/>
                <w:lang w:val="en-US"/>
              </w:rPr>
            </w:pPr>
            <w:bookmarkStart w:id="82"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2"/>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a8"/>
              <w:jc w:val="both"/>
              <w:rPr>
                <w:bCs/>
                <w:sz w:val="18"/>
                <w:szCs w:val="18"/>
                <w:lang w:val="en-US"/>
              </w:rPr>
            </w:pPr>
            <w:bookmarkStart w:id="83" w:name="_Toc149817554"/>
            <w:bookmarkStart w:id="84"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3"/>
            <w:bookmarkEnd w:id="84"/>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afff0"/>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afff0"/>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ad"/>
            </w:pPr>
            <w:r>
              <w:t xml:space="preserve">is this issue only relevant to waveform switching? </w:t>
            </w:r>
          </w:p>
          <w:p w14:paraId="1BE12F2A" w14:textId="77777777" w:rsidR="007D6A83" w:rsidRDefault="00245759">
            <w:pPr>
              <w:pStyle w:val="ad"/>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ad"/>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lastRenderedPageBreak/>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5"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5"/>
    </w:p>
    <w:p w14:paraId="3CCEA1A9" w14:textId="77777777" w:rsidR="007D6A83" w:rsidRDefault="00245759">
      <w:pPr>
        <w:rPr>
          <w:sz w:val="22"/>
          <w:szCs w:val="18"/>
        </w:rPr>
      </w:pPr>
      <w:bookmarkStart w:id="86" w:name="_Hlk67580600"/>
      <w:r>
        <w:rPr>
          <w:sz w:val="22"/>
          <w:szCs w:val="18"/>
        </w:rPr>
        <w:t>Note: Ideally one RAN WG would take the decision about whether a TEI feature should be introduced or not and other RAN WGs then accept this decision and contribute their TEI CRs.</w:t>
      </w:r>
      <w:bookmarkEnd w:id="86"/>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lastRenderedPageBreak/>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lastRenderedPageBreak/>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w:t>
      </w:r>
      <w:r>
        <w:rPr>
          <w:sz w:val="22"/>
          <w:szCs w:val="18"/>
        </w:rPr>
        <w:lastRenderedPageBreak/>
        <w:t xml:space="preserve">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A39C4" w14:textId="77777777" w:rsidR="00E3483E" w:rsidRDefault="00E3483E">
      <w:r>
        <w:separator/>
      </w:r>
    </w:p>
  </w:endnote>
  <w:endnote w:type="continuationSeparator" w:id="0">
    <w:p w14:paraId="49A99360" w14:textId="77777777" w:rsidR="00E3483E" w:rsidRDefault="00E34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ZapfDingbats">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A5AC" w14:textId="77777777" w:rsidR="002A4F9C" w:rsidRDefault="002A4F9C">
    <w:pPr>
      <w:pStyle w:val="af9"/>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C019" w14:textId="77777777" w:rsidR="002A4F9C" w:rsidRDefault="002A4F9C">
    <w:pPr>
      <w:pStyle w:val="af9"/>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8CF8" w14:textId="77777777" w:rsidR="002A4F9C" w:rsidRDefault="002A4F9C">
    <w:pPr>
      <w:pStyle w:val="af9"/>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3F33C" w14:textId="77777777" w:rsidR="00E3483E" w:rsidRDefault="00E3483E">
      <w:r>
        <w:separator/>
      </w:r>
    </w:p>
  </w:footnote>
  <w:footnote w:type="continuationSeparator" w:id="0">
    <w:p w14:paraId="7C2AC579" w14:textId="77777777" w:rsidR="00E3483E" w:rsidRDefault="00E348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6"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
  </w:num>
  <w:num w:numId="2">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3"/>
  </w:num>
  <w:num w:numId="5">
    <w:abstractNumId w:val="45"/>
  </w:num>
  <w:num w:numId="6">
    <w:abstractNumId w:val="50"/>
  </w:num>
  <w:num w:numId="7">
    <w:abstractNumId w:val="15"/>
  </w:num>
  <w:num w:numId="8">
    <w:abstractNumId w:val="44"/>
  </w:num>
  <w:num w:numId="9">
    <w:abstractNumId w:val="33"/>
  </w:num>
  <w:num w:numId="10">
    <w:abstractNumId w:val="32"/>
  </w:num>
  <w:num w:numId="11">
    <w:abstractNumId w:val="27"/>
  </w:num>
  <w:num w:numId="12">
    <w:abstractNumId w:val="37"/>
  </w:num>
  <w:num w:numId="13">
    <w:abstractNumId w:val="36"/>
  </w:num>
  <w:num w:numId="14">
    <w:abstractNumId w:val="19"/>
  </w:num>
  <w:num w:numId="15">
    <w:abstractNumId w:val="28"/>
  </w:num>
  <w:num w:numId="16">
    <w:abstractNumId w:val="35"/>
  </w:num>
  <w:num w:numId="17">
    <w:abstractNumId w:val="40"/>
  </w:num>
  <w:num w:numId="18">
    <w:abstractNumId w:val="51"/>
  </w:num>
  <w:num w:numId="19">
    <w:abstractNumId w:val="42"/>
  </w:num>
  <w:num w:numId="20">
    <w:abstractNumId w:val="49"/>
  </w:num>
  <w:num w:numId="21">
    <w:abstractNumId w:val="38"/>
  </w:num>
  <w:num w:numId="22">
    <w:abstractNumId w:val="20"/>
  </w:num>
  <w:num w:numId="23">
    <w:abstractNumId w:val="9"/>
  </w:num>
  <w:num w:numId="24">
    <w:abstractNumId w:val="46"/>
  </w:num>
  <w:num w:numId="25">
    <w:abstractNumId w:val="48"/>
  </w:num>
  <w:num w:numId="26">
    <w:abstractNumId w:val="41"/>
  </w:num>
  <w:num w:numId="27">
    <w:abstractNumId w:val="13"/>
  </w:num>
  <w:num w:numId="28">
    <w:abstractNumId w:val="36"/>
    <w:lvlOverride w:ilvl="0">
      <w:startOverride w:val="1"/>
    </w:lvlOverride>
  </w:num>
  <w:num w:numId="29">
    <w:abstractNumId w:val="26"/>
  </w:num>
  <w:num w:numId="30">
    <w:abstractNumId w:val="25"/>
  </w:num>
  <w:num w:numId="31">
    <w:abstractNumId w:val="39"/>
  </w:num>
  <w:num w:numId="32">
    <w:abstractNumId w:val="10"/>
  </w:num>
  <w:num w:numId="33">
    <w:abstractNumId w:val="21"/>
  </w:num>
  <w:num w:numId="34">
    <w:abstractNumId w:val="0"/>
  </w:num>
  <w:num w:numId="35">
    <w:abstractNumId w:val="1"/>
  </w:num>
  <w:num w:numId="36">
    <w:abstractNumId w:val="31"/>
  </w:num>
  <w:num w:numId="37">
    <w:abstractNumId w:val="2"/>
  </w:num>
  <w:num w:numId="38">
    <w:abstractNumId w:val="17"/>
  </w:num>
  <w:num w:numId="39">
    <w:abstractNumId w:val="24"/>
  </w:num>
  <w:num w:numId="40">
    <w:abstractNumId w:val="7"/>
  </w:num>
  <w:num w:numId="41">
    <w:abstractNumId w:val="18"/>
  </w:num>
  <w:num w:numId="42">
    <w:abstractNumId w:val="8"/>
  </w:num>
  <w:num w:numId="43">
    <w:abstractNumId w:val="47"/>
  </w:num>
  <w:num w:numId="44">
    <w:abstractNumId w:val="6"/>
  </w:num>
  <w:num w:numId="45">
    <w:abstractNumId w:val="16"/>
  </w:num>
  <w:num w:numId="46">
    <w:abstractNumId w:val="14"/>
  </w:num>
  <w:num w:numId="47">
    <w:abstractNumId w:val="43"/>
  </w:num>
  <w:num w:numId="48">
    <w:abstractNumId w:val="12"/>
  </w:num>
  <w:num w:numId="49">
    <w:abstractNumId w:val="3"/>
  </w:num>
  <w:num w:numId="50">
    <w:abstractNumId w:val="22"/>
  </w:num>
  <w:num w:numId="51">
    <w:abstractNumId w:val="11"/>
  </w:num>
  <w:num w:numId="52">
    <w:abstractNumId w:val="30"/>
  </w:num>
  <w:num w:numId="53">
    <w:abstractNumId w:val="3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Pr>
      <w:rFonts w:ascii="Times New Roman" w:eastAsia="MS Gothic"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TOC7">
    <w:name w:val="toc 7"/>
    <w:basedOn w:val="TOC6"/>
    <w:next w:val="a0"/>
    <w:semiHidden/>
    <w:qFormat/>
    <w:pPr>
      <w:ind w:left="2268" w:hanging="2268"/>
    </w:pPr>
  </w:style>
  <w:style w:type="paragraph" w:styleId="TOC6">
    <w:name w:val="toc 6"/>
    <w:basedOn w:val="TOC5"/>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rPr>
  </w:style>
  <w:style w:type="paragraph" w:styleId="TOC5">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宋体"/>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a9"/>
    <w:uiPriority w:val="35"/>
    <w:qFormat/>
    <w:pPr>
      <w:spacing w:before="120" w:after="120"/>
    </w:pPr>
    <w:rPr>
      <w:b/>
    </w:rPr>
  </w:style>
  <w:style w:type="paragraph" w:styleId="aa">
    <w:name w:val="List Bullet"/>
    <w:basedOn w:val="a0"/>
    <w:qFormat/>
    <w:pPr>
      <w:tabs>
        <w:tab w:val="left" w:pos="360"/>
      </w:tabs>
      <w:ind w:left="360" w:hanging="360"/>
    </w:pPr>
  </w:style>
  <w:style w:type="paragraph" w:styleId="ab">
    <w:name w:val="Document Map"/>
    <w:basedOn w:val="a0"/>
    <w:link w:val="ac"/>
    <w:semiHidden/>
    <w:qFormat/>
    <w:pPr>
      <w:shd w:val="clear" w:color="auto" w:fill="000080"/>
    </w:pPr>
    <w:rPr>
      <w:rFonts w:ascii="Tahoma" w:hAnsi="Tahoma"/>
    </w:rPr>
  </w:style>
  <w:style w:type="paragraph" w:styleId="ad">
    <w:name w:val="annotation text"/>
    <w:basedOn w:val="a0"/>
    <w:link w:val="ae"/>
    <w:qFormat/>
    <w:rPr>
      <w:sz w:val="20"/>
    </w:rPr>
  </w:style>
  <w:style w:type="paragraph" w:styleId="34">
    <w:name w:val="Body Text 3"/>
    <w:basedOn w:val="a0"/>
    <w:link w:val="35"/>
    <w:qFormat/>
    <w:pPr>
      <w:jc w:val="both"/>
    </w:pPr>
  </w:style>
  <w:style w:type="paragraph" w:styleId="af">
    <w:name w:val="Closing"/>
    <w:basedOn w:val="a0"/>
    <w:link w:val="af0"/>
    <w:uiPriority w:val="99"/>
    <w:qFormat/>
    <w:pPr>
      <w:jc w:val="right"/>
    </w:pPr>
    <w:rPr>
      <w:b/>
      <w:color w:val="FF0000"/>
      <w:szCs w:val="21"/>
      <w:lang w:val="en-US"/>
    </w:rPr>
  </w:style>
  <w:style w:type="paragraph" w:styleId="af1">
    <w:name w:val="Body Text"/>
    <w:basedOn w:val="a0"/>
    <w:link w:val="af2"/>
    <w:qFormat/>
    <w:pPr>
      <w:spacing w:after="120"/>
    </w:pPr>
  </w:style>
  <w:style w:type="paragraph" w:styleId="af3">
    <w:name w:val="Body Text Indent"/>
    <w:basedOn w:val="a0"/>
    <w:link w:val="af4"/>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22">
    <w:name w:val="List 2"/>
    <w:basedOn w:val="a5"/>
    <w:qFormat/>
    <w:pPr>
      <w:ind w:left="851"/>
    </w:pPr>
  </w:style>
  <w:style w:type="paragraph" w:styleId="23">
    <w:name w:val="List Bullet 2"/>
    <w:basedOn w:val="aa"/>
    <w:qFormat/>
    <w:pPr>
      <w:tabs>
        <w:tab w:val="clear" w:pos="360"/>
      </w:tabs>
      <w:spacing w:after="60"/>
      <w:ind w:left="1080" w:hanging="357"/>
    </w:pPr>
    <w:rPr>
      <w:rFonts w:ascii="Arial" w:hAnsi="Arial"/>
    </w:rPr>
  </w:style>
  <w:style w:type="paragraph" w:styleId="TOC3">
    <w:name w:val="toc 3"/>
    <w:basedOn w:val="TOC2"/>
    <w:next w:val="a0"/>
    <w:semiHidden/>
    <w:qFormat/>
    <w:pPr>
      <w:overflowPunct w:val="0"/>
      <w:autoSpaceDE w:val="0"/>
      <w:autoSpaceDN w:val="0"/>
      <w:adjustRightInd w:val="0"/>
      <w:ind w:left="1134" w:hanging="1134"/>
      <w:textAlignment w:val="baseline"/>
    </w:pPr>
    <w:rPr>
      <w:rFonts w:eastAsia="宋体"/>
      <w:lang w:val="en-US"/>
    </w:rPr>
  </w:style>
  <w:style w:type="paragraph" w:styleId="TOC2">
    <w:name w:val="toc 2"/>
    <w:basedOn w:val="TOC1"/>
    <w:next w:val="a0"/>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a0"/>
    <w:next w:val="a0"/>
    <w:qFormat/>
  </w:style>
  <w:style w:type="paragraph" w:styleId="af5">
    <w:name w:val="Plain Text"/>
    <w:basedOn w:val="a0"/>
    <w:link w:val="af6"/>
    <w:uiPriority w:val="99"/>
    <w:qFormat/>
    <w:rPr>
      <w:rFonts w:ascii="Courier New" w:hAnsi="Courier New"/>
    </w:rPr>
  </w:style>
  <w:style w:type="paragraph" w:styleId="51">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paragraph" w:styleId="TOC8">
    <w:name w:val="toc 8"/>
    <w:basedOn w:val="TOC1"/>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4">
    <w:name w:val="Body Text Indent 2"/>
    <w:basedOn w:val="a0"/>
    <w:link w:val="25"/>
    <w:uiPriority w:val="99"/>
    <w:qFormat/>
    <w:pPr>
      <w:widowControl w:val="0"/>
      <w:autoSpaceDE w:val="0"/>
      <w:autoSpaceDN w:val="0"/>
      <w:adjustRightInd w:val="0"/>
      <w:ind w:left="1656"/>
      <w:jc w:val="both"/>
      <w:textAlignment w:val="baseline"/>
    </w:pPr>
    <w:rPr>
      <w:kern w:val="2"/>
    </w:rPr>
  </w:style>
  <w:style w:type="paragraph" w:styleId="af7">
    <w:name w:val="Balloon Text"/>
    <w:basedOn w:val="a0"/>
    <w:link w:val="af8"/>
    <w:qFormat/>
    <w:rPr>
      <w:rFonts w:ascii="Arial" w:hAnsi="Arial"/>
      <w:sz w:val="18"/>
    </w:rPr>
  </w:style>
  <w:style w:type="paragraph" w:styleId="af9">
    <w:name w:val="footer"/>
    <w:basedOn w:val="a0"/>
    <w:link w:val="afa"/>
    <w:qFormat/>
    <w:pPr>
      <w:tabs>
        <w:tab w:val="center" w:pos="4536"/>
        <w:tab w:val="right" w:pos="9072"/>
      </w:tabs>
      <w:spacing w:before="120"/>
    </w:pPr>
    <w:rPr>
      <w:lang w:val="de-DE"/>
    </w:rPr>
  </w:style>
  <w:style w:type="paragraph" w:styleId="afb">
    <w:name w:val="header"/>
    <w:basedOn w:val="a0"/>
    <w:link w:val="afc"/>
    <w:qFormat/>
    <w:pPr>
      <w:widowControl w:val="0"/>
    </w:pPr>
    <w:rPr>
      <w:rFonts w:ascii="Arial" w:eastAsia="MS Mincho" w:hAnsi="Arial"/>
      <w:b/>
      <w:sz w:val="18"/>
    </w:rPr>
  </w:style>
  <w:style w:type="paragraph" w:styleId="TOC4">
    <w:name w:val="toc 4"/>
    <w:basedOn w:val="TOC3"/>
    <w:next w:val="a0"/>
    <w:semiHidden/>
    <w:qFormat/>
    <w:pPr>
      <w:ind w:left="1418" w:hanging="1418"/>
    </w:pPr>
  </w:style>
  <w:style w:type="paragraph" w:styleId="afd">
    <w:name w:val="Subtitle"/>
    <w:basedOn w:val="a0"/>
    <w:next w:val="a0"/>
    <w:link w:val="afe"/>
    <w:qFormat/>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paragraph" w:styleId="aff">
    <w:name w:val="footnote text"/>
    <w:basedOn w:val="a0"/>
    <w:link w:val="aff0"/>
    <w:qFormat/>
    <w:pPr>
      <w:keepLines/>
      <w:ind w:left="454" w:hanging="454"/>
    </w:pPr>
    <w:rPr>
      <w:sz w:val="16"/>
    </w:rPr>
  </w:style>
  <w:style w:type="paragraph" w:styleId="52">
    <w:name w:val="List 5"/>
    <w:basedOn w:val="42"/>
    <w:qFormat/>
    <w:pPr>
      <w:ind w:left="1702"/>
    </w:pPr>
  </w:style>
  <w:style w:type="paragraph" w:styleId="42">
    <w:name w:val="List 4"/>
    <w:basedOn w:val="33"/>
    <w:qFormat/>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aff1">
    <w:name w:val="table of figures"/>
    <w:basedOn w:val="TOC1"/>
    <w:next w:val="a0"/>
    <w:uiPriority w:val="99"/>
    <w:semiHidden/>
    <w:qFormat/>
    <w:pPr>
      <w:tabs>
        <w:tab w:val="right" w:leader="dot" w:pos="9360"/>
      </w:tabs>
      <w:spacing w:before="120" w:after="120"/>
    </w:pPr>
    <w:rPr>
      <w:caps/>
    </w:rPr>
  </w:style>
  <w:style w:type="paragraph" w:styleId="TOC9">
    <w:name w:val="toc 9"/>
    <w:basedOn w:val="TOC8"/>
    <w:next w:val="a0"/>
    <w:qFormat/>
    <w:pPr>
      <w:ind w:left="1418" w:hanging="1418"/>
    </w:pPr>
  </w:style>
  <w:style w:type="paragraph" w:styleId="26">
    <w:name w:val="Body Text 2"/>
    <w:basedOn w:val="a0"/>
    <w:link w:val="27"/>
    <w:qFormat/>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paragraph" w:styleId="aff2">
    <w:name w:val="Normal (Web)"/>
    <w:basedOn w:val="a0"/>
    <w:uiPriority w:val="99"/>
    <w:unhideWhenUsed/>
    <w:qFormat/>
    <w:pPr>
      <w:spacing w:before="100" w:beforeAutospacing="1" w:after="100" w:afterAutospacing="1"/>
    </w:pPr>
    <w:rPr>
      <w:rFonts w:ascii="MS PGothic" w:eastAsia="MS PGothic" w:hAnsi="MS PGothic" w:cs="MS PGothic"/>
      <w:szCs w:val="24"/>
      <w:lang w:val="en-US"/>
    </w:rPr>
  </w:style>
  <w:style w:type="paragraph" w:styleId="11">
    <w:name w:val="index 1"/>
    <w:basedOn w:val="a0"/>
    <w:next w:val="a0"/>
    <w:semiHidden/>
    <w:qFormat/>
    <w:pPr>
      <w:keepLines/>
      <w:overflowPunct w:val="0"/>
      <w:autoSpaceDE w:val="0"/>
      <w:autoSpaceDN w:val="0"/>
      <w:adjustRightInd w:val="0"/>
      <w:textAlignment w:val="baseline"/>
    </w:pPr>
    <w:rPr>
      <w:rFonts w:eastAsia="宋体"/>
      <w:sz w:val="20"/>
      <w:lang w:val="en-US" w:eastAsia="en-US"/>
    </w:rPr>
  </w:style>
  <w:style w:type="paragraph" w:styleId="28">
    <w:name w:val="index 2"/>
    <w:basedOn w:val="11"/>
    <w:next w:val="a0"/>
    <w:semiHidden/>
    <w:qFormat/>
    <w:pPr>
      <w:ind w:left="284"/>
    </w:pPr>
  </w:style>
  <w:style w:type="paragraph" w:styleId="aff3">
    <w:name w:val="Title"/>
    <w:basedOn w:val="a0"/>
    <w:link w:val="aff4"/>
    <w:uiPriority w:val="99"/>
    <w:qFormat/>
    <w:pPr>
      <w:jc w:val="center"/>
    </w:pPr>
    <w:rPr>
      <w:rFonts w:ascii="Arial" w:hAnsi="Arial"/>
      <w:b/>
    </w:rPr>
  </w:style>
  <w:style w:type="paragraph" w:styleId="aff5">
    <w:name w:val="annotation subject"/>
    <w:basedOn w:val="ad"/>
    <w:next w:val="ad"/>
    <w:link w:val="aff6"/>
    <w:qFormat/>
    <w:rPr>
      <w:b/>
      <w:sz w:val="24"/>
    </w:rPr>
  </w:style>
  <w:style w:type="table" w:styleId="aff7">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qFormat/>
    <w:rPr>
      <w:rFonts w:eastAsia="Times New Roman"/>
      <w:kern w:val="2"/>
      <w:sz w:val="21"/>
      <w:lang w:val="en-GB"/>
    </w:rPr>
  </w:style>
  <w:style w:type="character" w:styleId="affa">
    <w:name w:val="FollowedHyperlink"/>
    <w:qFormat/>
    <w:rPr>
      <w:rFonts w:eastAsia="Times New Roman"/>
      <w:color w:val="800080"/>
      <w:kern w:val="2"/>
      <w:sz w:val="21"/>
      <w:u w:val="single"/>
      <w:lang w:val="en-GB"/>
    </w:rPr>
  </w:style>
  <w:style w:type="character" w:styleId="affb">
    <w:name w:val="Emphasis"/>
    <w:basedOn w:val="a1"/>
    <w:uiPriority w:val="20"/>
    <w:qFormat/>
    <w:rPr>
      <w:rFonts w:ascii="Times New Roman" w:hAnsi="Times New Roman" w:cs="Times New Roman" w:hint="default"/>
      <w:i/>
      <w:iCs/>
    </w:rPr>
  </w:style>
  <w:style w:type="character" w:styleId="affc">
    <w:name w:val="Hyperlink"/>
    <w:uiPriority w:val="99"/>
    <w:qFormat/>
    <w:rPr>
      <w:rFonts w:eastAsia="Times New Roman"/>
      <w:color w:val="0000FF"/>
      <w:kern w:val="2"/>
      <w:sz w:val="21"/>
      <w:u w:val="single"/>
      <w:lang w:val="en-GB"/>
    </w:rPr>
  </w:style>
  <w:style w:type="character" w:styleId="affd">
    <w:name w:val="annotation reference"/>
    <w:qFormat/>
    <w:rPr>
      <w:rFonts w:eastAsia="Times New Roman"/>
      <w:kern w:val="2"/>
      <w:sz w:val="16"/>
      <w:lang w:val="en-GB"/>
    </w:rPr>
  </w:style>
  <w:style w:type="character" w:styleId="affe">
    <w:name w:val="footnote reference"/>
    <w:qFormat/>
    <w:rPr>
      <w:rFonts w:eastAsia="Times New Roman"/>
      <w:b/>
      <w:kern w:val="2"/>
      <w:position w:val="6"/>
      <w:sz w:val="16"/>
      <w:lang w:val="en-GB"/>
    </w:rPr>
  </w:style>
  <w:style w:type="paragraph" w:customStyle="1" w:styleId="Heading1unnumbered">
    <w:name w:val="Heading 1 unnumbered"/>
    <w:basedOn w:val="1"/>
    <w:next w:val="af1"/>
    <w:uiPriority w:val="99"/>
    <w:qFormat/>
    <w:pPr>
      <w:tabs>
        <w:tab w:val="left" w:pos="360"/>
      </w:tabs>
      <w:spacing w:before="360" w:after="240"/>
      <w:ind w:left="360" w:hanging="360"/>
      <w:outlineLvl w:val="9"/>
    </w:pPr>
    <w:rPr>
      <w:rFonts w:ascii="Times New Roman" w:hAnsi="Times New Roman"/>
      <w:sz w:val="32"/>
    </w:rPr>
  </w:style>
  <w:style w:type="character" w:customStyle="1" w:styleId="afc">
    <w:name w:val="页眉 字符"/>
    <w:link w:val="afb"/>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a"/>
    <w:next w:val="af1"/>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1"/>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8">
    <w:name w:val="批注框文本 字符"/>
    <w:link w:val="af7"/>
    <w:uiPriority w:val="99"/>
    <w:qFormat/>
    <w:rPr>
      <w:rFonts w:ascii="Arial" w:eastAsia="MS Gothic" w:hAnsi="Arial"/>
      <w:sz w:val="18"/>
      <w:lang w:val="en-GB"/>
    </w:rPr>
  </w:style>
  <w:style w:type="paragraph" w:customStyle="1" w:styleId="Reference">
    <w:name w:val="Reference"/>
    <w:basedOn w:val="a0"/>
    <w:qFormat/>
    <w:pPr>
      <w:widowControl w:val="0"/>
      <w:ind w:left="283" w:hanging="283"/>
      <w:jc w:val="both"/>
    </w:pPr>
    <w:rPr>
      <w:rFonts w:ascii="Arial" w:eastAsia="MS Mincho" w:hAnsi="Arial"/>
      <w:kern w:val="2"/>
      <w:sz w:val="21"/>
      <w:lang w:val="de-DE"/>
    </w:rPr>
  </w:style>
  <w:style w:type="character" w:customStyle="1" w:styleId="ae">
    <w:name w:val="批注文字 字符"/>
    <w:basedOn w:val="a1"/>
    <w:link w:val="ad"/>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fff">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6">
    <w:name w:val="批注主题 字符"/>
    <w:basedOn w:val="ae"/>
    <w:link w:val="aff5"/>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
    <w:name w:val="表 (赤)  81"/>
    <w:basedOn w:val="a0"/>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f0">
    <w:name w:val="List Paragraph"/>
    <w:basedOn w:val="a0"/>
    <w:link w:val="afff1"/>
    <w:uiPriority w:val="34"/>
    <w:qFormat/>
    <w:pPr>
      <w:ind w:leftChars="400" w:left="840"/>
    </w:pPr>
  </w:style>
  <w:style w:type="character" w:customStyle="1" w:styleId="afff1">
    <w:name w:val="列表段落 字符"/>
    <w:link w:val="afff0"/>
    <w:uiPriority w:val="34"/>
    <w:qFormat/>
    <w:locked/>
    <w:rPr>
      <w:rFonts w:ascii="Times New Roman" w:eastAsia="MS Gothic"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注释标题 字符"/>
    <w:basedOn w:val="a1"/>
    <w:link w:val="a6"/>
    <w:uiPriority w:val="99"/>
    <w:qFormat/>
    <w:rPr>
      <w:rFonts w:ascii="Times New Roman" w:eastAsia="MS Gothic" w:hAnsi="Times New Roman"/>
      <w:b/>
      <w:color w:val="FF0000"/>
      <w:sz w:val="24"/>
      <w:szCs w:val="21"/>
    </w:rPr>
  </w:style>
  <w:style w:type="character" w:customStyle="1" w:styleId="af0">
    <w:name w:val="结束语 字符"/>
    <w:basedOn w:val="a1"/>
    <w:link w:val="af"/>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af1"/>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2">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2">
    <w:name w:val="正文1"/>
    <w:uiPriority w:val="99"/>
    <w:qFormat/>
    <w:rPr>
      <w:rFonts w:eastAsia="宋体" w:cs="Times"/>
      <w:sz w:val="24"/>
      <w:szCs w:val="24"/>
      <w:lang w:eastAsia="zh-CN"/>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宋体"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宋体"/>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标题 1 字符"/>
    <w:basedOn w:val="a1"/>
    <w:link w:val="1"/>
    <w:qFormat/>
    <w:rPr>
      <w:rFonts w:ascii="Arial" w:eastAsia="MS Gothic" w:hAnsi="Arial"/>
      <w:kern w:val="28"/>
      <w:sz w:val="28"/>
      <w:lang w:val="en-GB"/>
    </w:rPr>
  </w:style>
  <w:style w:type="character" w:customStyle="1" w:styleId="20">
    <w:name w:val="标题 2 字符"/>
    <w:basedOn w:val="a1"/>
    <w:link w:val="2"/>
    <w:qFormat/>
    <w:rPr>
      <w:rFonts w:ascii="Arial" w:eastAsia="MS Gothic" w:hAnsi="Arial"/>
      <w:sz w:val="24"/>
      <w:lang w:val="en-GB"/>
    </w:rPr>
  </w:style>
  <w:style w:type="character" w:customStyle="1" w:styleId="32">
    <w:name w:val="标题 3 字符"/>
    <w:basedOn w:val="a1"/>
    <w:link w:val="31"/>
    <w:qFormat/>
    <w:rPr>
      <w:rFonts w:ascii="Arial" w:eastAsia="MS Gothic" w:hAnsi="Arial"/>
      <w:sz w:val="24"/>
      <w:lang w:val="en-GB"/>
    </w:rPr>
  </w:style>
  <w:style w:type="character" w:customStyle="1" w:styleId="41">
    <w:name w:val="标题 4 字符"/>
    <w:basedOn w:val="a1"/>
    <w:link w:val="40"/>
    <w:qFormat/>
    <w:rPr>
      <w:rFonts w:ascii="Arial" w:eastAsia="MS Gothic" w:hAnsi="Arial"/>
      <w:i/>
      <w:sz w:val="24"/>
      <w:lang w:val="en-GB"/>
    </w:rPr>
  </w:style>
  <w:style w:type="character" w:customStyle="1" w:styleId="50">
    <w:name w:val="标题 5 字符"/>
    <w:basedOn w:val="a1"/>
    <w:link w:val="5"/>
    <w:qFormat/>
    <w:rPr>
      <w:rFonts w:ascii="Times New Roman" w:eastAsia="MS Gothic" w:hAnsi="Times New Roman"/>
      <w:sz w:val="26"/>
      <w:u w:val="single"/>
      <w:lang w:val="en-GB"/>
    </w:rPr>
  </w:style>
  <w:style w:type="character" w:customStyle="1" w:styleId="60">
    <w:name w:val="标题 6 字符"/>
    <w:basedOn w:val="a1"/>
    <w:link w:val="6"/>
    <w:qFormat/>
    <w:rPr>
      <w:rFonts w:ascii="Times New Roman" w:eastAsia="MS Gothic" w:hAnsi="Times New Roman"/>
      <w:i/>
      <w:sz w:val="22"/>
      <w:lang w:val="en-GB"/>
    </w:rPr>
  </w:style>
  <w:style w:type="character" w:customStyle="1" w:styleId="70">
    <w:name w:val="标题 7 字符"/>
    <w:basedOn w:val="a1"/>
    <w:link w:val="7"/>
    <w:qFormat/>
    <w:rPr>
      <w:rFonts w:ascii="Arial" w:eastAsia="MS Gothic" w:hAnsi="Arial"/>
      <w:sz w:val="24"/>
      <w:lang w:val="en-GB"/>
    </w:rPr>
  </w:style>
  <w:style w:type="character" w:customStyle="1" w:styleId="80">
    <w:name w:val="标题 8 字符"/>
    <w:basedOn w:val="a1"/>
    <w:link w:val="8"/>
    <w:qFormat/>
    <w:rPr>
      <w:rFonts w:ascii="Arial" w:eastAsia="MS Gothic" w:hAnsi="Arial"/>
      <w:i/>
      <w:sz w:val="24"/>
      <w:lang w:val="en-GB"/>
    </w:rPr>
  </w:style>
  <w:style w:type="character" w:customStyle="1" w:styleId="90">
    <w:name w:val="标题 9 字符"/>
    <w:basedOn w:val="a1"/>
    <w:link w:val="9"/>
    <w:qFormat/>
    <w:rPr>
      <w:rFonts w:ascii="Arial" w:eastAsia="MS Gothic" w:hAnsi="Arial"/>
      <w:b/>
      <w:i/>
      <w:sz w:val="18"/>
      <w:lang w:val="en-GB"/>
    </w:rPr>
  </w:style>
  <w:style w:type="character" w:customStyle="1" w:styleId="af2">
    <w:name w:val="正文文本 字符"/>
    <w:basedOn w:val="a1"/>
    <w:link w:val="af1"/>
    <w:qFormat/>
    <w:rPr>
      <w:rFonts w:ascii="Times New Roman" w:eastAsia="MS Gothic" w:hAnsi="Times New Roman"/>
      <w:sz w:val="24"/>
      <w:lang w:val="en-GB"/>
    </w:rPr>
  </w:style>
  <w:style w:type="character" w:customStyle="1" w:styleId="af4">
    <w:name w:val="正文文本缩进 字符"/>
    <w:basedOn w:val="a1"/>
    <w:link w:val="af3"/>
    <w:uiPriority w:val="99"/>
    <w:qFormat/>
    <w:rPr>
      <w:rFonts w:ascii="Times New Roman" w:eastAsia="MS Gothic" w:hAnsi="Times New Roman"/>
      <w:sz w:val="24"/>
      <w:lang w:val="en-GB"/>
    </w:rPr>
  </w:style>
  <w:style w:type="character" w:customStyle="1" w:styleId="ac">
    <w:name w:val="文档结构图 字符"/>
    <w:basedOn w:val="a1"/>
    <w:link w:val="ab"/>
    <w:uiPriority w:val="99"/>
    <w:semiHidden/>
    <w:qFormat/>
    <w:rPr>
      <w:rFonts w:ascii="Tahoma" w:eastAsia="MS Gothic" w:hAnsi="Tahoma"/>
      <w:sz w:val="24"/>
      <w:shd w:val="clear" w:color="auto" w:fill="000080"/>
      <w:lang w:val="en-GB"/>
    </w:rPr>
  </w:style>
  <w:style w:type="character" w:customStyle="1" w:styleId="af6">
    <w:name w:val="纯文本 字符"/>
    <w:basedOn w:val="a1"/>
    <w:link w:val="af5"/>
    <w:uiPriority w:val="99"/>
    <w:qFormat/>
    <w:rPr>
      <w:rFonts w:ascii="Courier New" w:eastAsia="MS Gothic" w:hAnsi="Courier New"/>
      <w:sz w:val="24"/>
      <w:lang w:val="en-GB"/>
    </w:rPr>
  </w:style>
  <w:style w:type="character" w:customStyle="1" w:styleId="aff0">
    <w:name w:val="脚注文本 字符"/>
    <w:basedOn w:val="a1"/>
    <w:link w:val="aff"/>
    <w:qFormat/>
    <w:rPr>
      <w:rFonts w:ascii="Times New Roman" w:eastAsia="MS Gothic" w:hAnsi="Times New Roman"/>
      <w:sz w:val="16"/>
      <w:lang w:val="en-GB"/>
    </w:rPr>
  </w:style>
  <w:style w:type="character" w:customStyle="1" w:styleId="25">
    <w:name w:val="正文文本缩进 2 字符"/>
    <w:basedOn w:val="a1"/>
    <w:link w:val="24"/>
    <w:uiPriority w:val="99"/>
    <w:qFormat/>
    <w:rPr>
      <w:rFonts w:ascii="Times New Roman" w:eastAsia="MS Gothic" w:hAnsi="Times New Roman"/>
      <w:kern w:val="2"/>
      <w:sz w:val="24"/>
      <w:lang w:val="en-GB"/>
    </w:rPr>
  </w:style>
  <w:style w:type="character" w:customStyle="1" w:styleId="afa">
    <w:name w:val="页脚 字符"/>
    <w:basedOn w:val="a1"/>
    <w:link w:val="af9"/>
    <w:qFormat/>
    <w:rPr>
      <w:rFonts w:ascii="Times New Roman" w:eastAsia="MS Gothic" w:hAnsi="Times New Roman"/>
      <w:sz w:val="24"/>
      <w:lang w:val="de-DE"/>
    </w:rPr>
  </w:style>
  <w:style w:type="character" w:customStyle="1" w:styleId="aff4">
    <w:name w:val="标题 字符"/>
    <w:basedOn w:val="a1"/>
    <w:link w:val="aff3"/>
    <w:uiPriority w:val="99"/>
    <w:qFormat/>
    <w:rPr>
      <w:rFonts w:ascii="Arial" w:eastAsia="MS Gothic" w:hAnsi="Arial"/>
      <w:b/>
      <w:sz w:val="24"/>
      <w:lang w:val="en-GB"/>
    </w:rPr>
  </w:style>
  <w:style w:type="character" w:customStyle="1" w:styleId="35">
    <w:name w:val="正文文本 3 字符"/>
    <w:basedOn w:val="a1"/>
    <w:link w:val="34"/>
    <w:uiPriority w:val="99"/>
    <w:qFormat/>
    <w:rPr>
      <w:rFonts w:ascii="Times New Roman" w:eastAsia="MS Gothic"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MS Gothic" w:hAnsi="Times New Roman"/>
      <w:lang w:val="en-GB"/>
    </w:rPr>
  </w:style>
  <w:style w:type="character" w:customStyle="1" w:styleId="HeaderChar1">
    <w:name w:val="Header Char1"/>
    <w:basedOn w:val="a1"/>
    <w:semiHidden/>
    <w:qFormat/>
    <w:rPr>
      <w:rFonts w:ascii="Times New Roman" w:eastAsia="MS Gothic" w:hAnsi="Times New Roman"/>
      <w:sz w:val="24"/>
      <w:lang w:val="en-GB"/>
    </w:rPr>
  </w:style>
  <w:style w:type="character" w:customStyle="1" w:styleId="a9">
    <w:name w:val="题注 字符"/>
    <w:link w:val="a8"/>
    <w:qFormat/>
    <w:locked/>
    <w:rPr>
      <w:rFonts w:ascii="Times New Roman" w:eastAsia="MS Gothic"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MS Gothic"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0">
    <w:name w:val="見出し 8 (文字)1"/>
    <w:basedOn w:val="a1"/>
    <w:semiHidden/>
    <w:qFormat/>
    <w:rPr>
      <w:rFonts w:ascii="Times New Roman" w:eastAsia="MS Gothic" w:hAnsi="Times New Roman" w:cs="Times New Roman"/>
      <w:sz w:val="24"/>
      <w:lang w:val="en-GB"/>
    </w:rPr>
  </w:style>
  <w:style w:type="character" w:customStyle="1" w:styleId="91">
    <w:name w:val="見出し 9 (文字)1"/>
    <w:basedOn w:val="a1"/>
    <w:semiHidden/>
    <w:qFormat/>
    <w:rPr>
      <w:rFonts w:ascii="Times New Roman" w:eastAsia="MS Gothic" w:hAnsi="Times New Roman" w:cs="Times New Roman"/>
      <w:sz w:val="24"/>
      <w:lang w:val="en-GB"/>
    </w:rPr>
  </w:style>
  <w:style w:type="character" w:customStyle="1" w:styleId="13">
    <w:name w:val="脚注文字列 (文字)1"/>
    <w:basedOn w:val="a1"/>
    <w:semiHidden/>
    <w:qFormat/>
    <w:rPr>
      <w:rFonts w:ascii="Times New Roman" w:eastAsia="MS Gothic" w:hAnsi="Times New Roman"/>
      <w:sz w:val="24"/>
      <w:lang w:val="en-GB"/>
    </w:rPr>
  </w:style>
  <w:style w:type="character" w:customStyle="1" w:styleId="14">
    <w:name w:val="ヘッダー (文字)1"/>
    <w:basedOn w:val="a1"/>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宋体"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3">
    <w:name w:val="无间隔 字符"/>
    <w:link w:val="afff4"/>
    <w:uiPriority w:val="1"/>
    <w:qFormat/>
    <w:rPr>
      <w:rFonts w:ascii="Arial" w:eastAsia="Times New Roman" w:hAnsi="Arial"/>
    </w:rPr>
  </w:style>
  <w:style w:type="paragraph" w:styleId="afff4">
    <w:name w:val="No Spacing"/>
    <w:basedOn w:val="a0"/>
    <w:link w:val="afff3"/>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f0"/>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5">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宋体" w:hAnsi="Times New Roman"/>
      <w:color w:val="000000"/>
      <w:sz w:val="24"/>
      <w:szCs w:val="24"/>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1"/>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6">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Pr>
      <w:rFonts w:eastAsia="宋体"/>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27">
    <w:name w:val="正文文本 2 字符"/>
    <w:basedOn w:val="a1"/>
    <w:link w:val="26"/>
    <w:qFormat/>
    <w:rPr>
      <w:rFonts w:ascii="Arial" w:eastAsia="宋体"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e">
    <w:name w:val="副标题 字符"/>
    <w:basedOn w:val="a1"/>
    <w:link w:val="afd"/>
    <w:qFormat/>
    <w:rPr>
      <w:rFonts w:ascii="Cambria" w:eastAsia="宋体"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qFormat/>
    <w:rPr>
      <w:rFonts w:ascii="New York" w:eastAsia="宋体"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MS Gothic" w:hAnsi="Times New Roman"/>
      <w:sz w:val="24"/>
      <w:lang w:val="en-GB"/>
    </w:rPr>
  </w:style>
  <w:style w:type="character" w:customStyle="1" w:styleId="17">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宋体" w:eastAsia="宋体" w:hAnsi="宋体" w:cs="宋体"/>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8">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9">
    <w:name w:val="修订1"/>
    <w:hidden/>
    <w:uiPriority w:val="99"/>
    <w:unhideWhenUsed/>
    <w:qFormat/>
    <w:rPr>
      <w:rFonts w:ascii="Times New Roman" w:eastAsia="MS Gothic" w:hAnsi="Times New Roman"/>
      <w:sz w:val="24"/>
      <w:lang w:val="en-GB" w:eastAsia="ja-JP"/>
    </w:rPr>
  </w:style>
  <w:style w:type="paragraph" w:customStyle="1" w:styleId="29">
    <w:name w:val="正文2"/>
    <w:qFormat/>
    <w:pPr>
      <w:jc w:val="both"/>
    </w:pPr>
    <w:rPr>
      <w:rFonts w:ascii="Batang" w:eastAsia="宋体" w:hAnsi="Batang" w:cs="宋体"/>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20.wmf"/><Relationship Id="rId38" Type="http://schemas.openxmlformats.org/officeDocument/2006/relationships/oleObject" Target="embeddings/oleObject3.bin"/><Relationship Id="rId59" Type="http://schemas.openxmlformats.org/officeDocument/2006/relationships/oleObject" Target="embeddings/oleObject17.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7.bin"/><Relationship Id="rId67" Type="http://schemas.openxmlformats.org/officeDocument/2006/relationships/oleObject" Target="embeddings/oleObject2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83</Pages>
  <Words>34372</Words>
  <Characters>195922</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TAMRAKAR RAKESH</cp:lastModifiedBy>
  <cp:revision>4</cp:revision>
  <dcterms:created xsi:type="dcterms:W3CDTF">2024-10-16T06:31:00Z</dcterms:created>
  <dcterms:modified xsi:type="dcterms:W3CDTF">2024-10-16T06:39:00Z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2024-10-15T08:36:30Z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58b09dc1-b2a1-4fbc-98df-eeee21ed7dad</vt:lpwstr>
  </property>
  <property fmtid="{D5CDD505-2E9C-101B-9397-08002B2CF9AE}" pid="21" name="MSIP_Label_f7b7771f-98a2-4ec9-8160-ee37e9359e20_ContentBits">
    <vt:lpwstr>0</vt:lpwstr>
  </property>
</Properties>
</file>