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Hyperlink"/>
                  <w:rFonts w:eastAsiaTheme="minorEastAsia" w:hint="eastAsia"/>
                  <w:lang w:val="pt-BR" w:eastAsia="ja-JP"/>
                </w:rPr>
                <w:t>y</w:t>
              </w:r>
              <w:r w:rsidR="004E2B37" w:rsidRPr="00962F4A">
                <w:rPr>
                  <w:rStyle w:val="Hyperlink"/>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3"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68586D"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6"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Hyperlink"/>
                </w:rPr>
                <w:t>svgadhai@iitk.ac.in</w:t>
              </w:r>
            </w:hyperlink>
          </w:p>
          <w:p w14:paraId="4039B89A" w14:textId="234733CD" w:rsidR="00A8346B" w:rsidRDefault="00000000" w:rsidP="00A8346B">
            <w:hyperlink r:id="rId18"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9"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20"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21"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2"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3"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4"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5"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6"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7"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8"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9"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(M,N,O). Now, deleted from the Results Template.  </w:t>
            </w:r>
          </w:p>
        </w:tc>
      </w:tr>
      <w:tr w:rsidR="008C6BA9"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A604E9">
            <w:pPr>
              <w:rPr>
                <w:b w:val="0"/>
                <w:bCs w:val="0"/>
                <w:iCs/>
              </w:rPr>
            </w:pPr>
          </w:p>
        </w:tc>
        <w:tc>
          <w:tcPr>
            <w:tcW w:w="7555" w:type="dxa"/>
          </w:tcPr>
          <w:p w14:paraId="589CF6C6"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r w:rsidRPr="00AB2472">
        <w:rPr>
          <w:rStyle w:val="IntenseEmphasis"/>
          <w:rFonts w:hint="eastAsia"/>
          <w:bCs/>
        </w:rPr>
        <w:t>Spreadtrum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r w:rsidRPr="00AB2472">
        <w:rPr>
          <w:rStyle w:val="IntenseEmphasis"/>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a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lastRenderedPageBreak/>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lastRenderedPageBreak/>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lastRenderedPageBreak/>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lastRenderedPageBreak/>
        <w:t>-</w:t>
      </w:r>
      <w:r w:rsidRPr="00522D4C">
        <w:rPr>
          <w:sz w:val="20"/>
          <w:szCs w:val="20"/>
        </w:rPr>
        <w:tab/>
        <w:t>Imperfect past CSI generation ( representation)</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 representation)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lastRenderedPageBreak/>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r w:rsidRPr="00AB2472">
        <w:rPr>
          <w:rStyle w:val="IntenseEmphasis"/>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lastRenderedPageBreak/>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lastRenderedPageBreak/>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Imperfect past CSI generation ( representation)</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 representation)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lastRenderedPageBreak/>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t>Deprioritize  case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 xml:space="preserve">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w:t>
      </w:r>
      <w:r w:rsidRPr="001506FE">
        <w:rPr>
          <w:b/>
          <w:i/>
          <w:lang w:eastAsia="zh-CN"/>
        </w:rPr>
        <w:lastRenderedPageBreak/>
        <w:t>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lastRenderedPageBreak/>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lastRenderedPageBreak/>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bl>
    <w:p w14:paraId="229ADFDA" w14:textId="77777777" w:rsidR="00982681" w:rsidRPr="00710316" w:rsidRDefault="00982681" w:rsidP="00710316"/>
    <w:p w14:paraId="1A38CDB1" w14:textId="23A9EE19" w:rsidR="00ED3C6B" w:rsidRDefault="00ED3C6B" w:rsidP="00ED3C6B">
      <w:pPr>
        <w:pStyle w:val="Heading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lastRenderedPageBreak/>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lastRenderedPageBreak/>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lastRenderedPageBreak/>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(X,Y,Z)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val="en-US"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r w:rsidR="007101B1" w:rsidRPr="00095CE8">
        <w:t xml:space="preserve"> ,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r w:rsidR="00D73FF2" w:rsidRPr="00095CE8">
        <w:rPr>
          <w:lang w:eastAsia="ko-KR"/>
        </w:rPr>
        <w:t>%  at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Xiaomi] </w:t>
      </w:r>
      <w:r w:rsidR="00D73FF2" w:rsidRPr="00095CE8">
        <w:rPr>
          <w:lang w:eastAsia="ko-KR"/>
        </w:rPr>
        <w:t xml:space="preserve"> observe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(X,Y,Z) CSI payload bins. </w:t>
      </w:r>
    </w:p>
    <w:p w14:paraId="1749D87C" w14:textId="35B737F4" w:rsidR="008E32C4" w:rsidRPr="00D73FF2" w:rsidRDefault="009F75D0" w:rsidP="008E32C4">
      <w:pPr>
        <w:pStyle w:val="ListParagraph"/>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r w:rsidR="00801582" w:rsidRPr="00095CE8">
        <w:t xml:space="preserve"> ,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Nokia, </w:t>
      </w:r>
      <w:r w:rsidR="00D73FF2" w:rsidRPr="00095CE8">
        <w:rPr>
          <w:lang w:eastAsia="ko-KR"/>
        </w:rPr>
        <w:t xml:space="preserve"> IIT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r w:rsidR="00801582" w:rsidRPr="00095CE8">
        <w:t xml:space="preserve"> ,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xml:space="preserve">% at CSI payload Y (medium payload) </w:t>
      </w:r>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 xml:space="preserve">(large payload) </w:t>
      </w:r>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Precoding matrix  (SVD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A604E9">
            <w:pPr>
              <w:rPr>
                <w:b w:val="0"/>
                <w:bCs w:val="0"/>
                <w:iCs/>
              </w:rPr>
            </w:pPr>
          </w:p>
        </w:tc>
        <w:tc>
          <w:tcPr>
            <w:tcW w:w="7555" w:type="dxa"/>
          </w:tcPr>
          <w:p w14:paraId="2B9226D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A604E9">
            <w:pPr>
              <w:rPr>
                <w:b w:val="0"/>
                <w:bCs w:val="0"/>
                <w:iCs/>
              </w:rPr>
            </w:pPr>
          </w:p>
        </w:tc>
        <w:tc>
          <w:tcPr>
            <w:tcW w:w="7555" w:type="dxa"/>
          </w:tcPr>
          <w:p w14:paraId="3E21B7F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A604E9">
            <w:pPr>
              <w:rPr>
                <w:b w:val="0"/>
                <w:bCs w:val="0"/>
                <w:iCs/>
              </w:rPr>
            </w:pPr>
          </w:p>
        </w:tc>
        <w:tc>
          <w:tcPr>
            <w:tcW w:w="7555" w:type="dxa"/>
          </w:tcPr>
          <w:p w14:paraId="1691BDE0"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X,Y,Z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751DC9" w:rsidRPr="003464A3">
        <w:t>6.</w:t>
      </w:r>
      <w:r w:rsidR="002C1D0C">
        <w:t>3</w:t>
      </w:r>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of  </w:t>
      </w:r>
      <w:r w:rsidR="006A595F" w:rsidRPr="003464A3">
        <w:t>4.</w:t>
      </w:r>
      <w:r w:rsidR="002C1D0C">
        <w:t>7</w:t>
      </w:r>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 ;</w:t>
      </w:r>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 .</w:t>
      </w:r>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 ;</w:t>
      </w:r>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 .</w:t>
      </w:r>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 ;</w:t>
      </w:r>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 .</w:t>
      </w:r>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 ;</w:t>
      </w:r>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 .</w:t>
      </w:r>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 ;</w:t>
      </w:r>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 .</w:t>
      </w:r>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 ;</w:t>
      </w:r>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r w:rsidRPr="00AB2472">
        <w:rPr>
          <w:rStyle w:val="IntenseEmphasis"/>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SimSun"/>
                <w:b w:val="0"/>
                <w:bCs w:val="0"/>
                <w:iCs/>
                <w:lang w:eastAsia="zh-CN"/>
              </w:rPr>
            </w:pPr>
            <w:r>
              <w:rPr>
                <w:rFonts w:eastAsia="SimSun"/>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Considering the above, is it possible to capture our results in the observation for Option 1 as well?</w:t>
            </w: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lastRenderedPageBreak/>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lastRenderedPageBreak/>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lastRenderedPageBreak/>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r w:rsidRPr="00280116">
        <w:rPr>
          <w:rStyle w:val="IntenseEmphasis"/>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r w:rsidRPr="00AB2472">
        <w:rPr>
          <w:rStyle w:val="IntenseEmphasis"/>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r w:rsidRPr="00AB2472">
        <w:rPr>
          <w:rStyle w:val="IntenseEmphasis"/>
          <w:bCs/>
        </w:rPr>
        <w:t>Tejas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lastRenderedPageBreak/>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lastRenderedPageBreak/>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lastRenderedPageBreak/>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r>
        <w:rPr>
          <w:rStyle w:val="IntenseEmphasis"/>
          <w:rFonts w:eastAsia="SimSun"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lastRenderedPageBreak/>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lastRenderedPageBreak/>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 xml:space="preserve">encoder or </w:t>
            </w:r>
            <w:r>
              <w:lastRenderedPageBreak/>
              <w:t>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requirement,  but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bl>
    <w:p w14:paraId="73FC3098" w14:textId="77777777" w:rsidR="00BB5AAE" w:rsidRDefault="00BB5AAE" w:rsidP="00F36CAF"/>
    <w:p w14:paraId="155F5C4B" w14:textId="52091627" w:rsidR="001A51C1" w:rsidRDefault="00692277" w:rsidP="004B2BD2">
      <w:pPr>
        <w:pStyle w:val="Heading3"/>
      </w:pPr>
      <w:r>
        <w:lastRenderedPageBreak/>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r w:rsidRPr="00111C8D">
        <w:rPr>
          <w:rStyle w:val="IntenseEmphasis"/>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r>
        <w:rPr>
          <w:rStyle w:val="IntenseEmphasis"/>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w:t>
      </w:r>
      <w:r w:rsidRPr="002B62F0">
        <w:rPr>
          <w:b/>
          <w:bCs/>
          <w:i/>
          <w:iCs/>
          <w:lang w:eastAsia="zh-CN"/>
        </w:rPr>
        <w:lastRenderedPageBreak/>
        <w:t>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r>
        <w:rPr>
          <w:rStyle w:val="IntenseEmphasis"/>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lastRenderedPageBreak/>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lastRenderedPageBreak/>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lastRenderedPageBreak/>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lastRenderedPageBreak/>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lastRenderedPageBreak/>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Configuration of rank, number of subbands,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lastRenderedPageBreak/>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r w:rsidRPr="00280116">
        <w:rPr>
          <w:rStyle w:val="IntenseEmphasis"/>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lastRenderedPageBreak/>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r>
        <w:rPr>
          <w:rStyle w:val="IntenseEmphasis"/>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lastRenderedPageBreak/>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r>
        <w:rPr>
          <w:rStyle w:val="IntenseEmphasis"/>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is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r w:rsidRPr="006772E7">
        <w:rPr>
          <w:rStyle w:val="IntenseEmphasis"/>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r w:rsidRPr="002A5488">
        <w:rPr>
          <w:b/>
          <w:bCs/>
        </w:rPr>
        <w:t>KPIGenie</w:t>
      </w:r>
      <w:proofErr w:type="spellEnd"/>
      <w:r w:rsidRPr="002A5488">
        <w:rPr>
          <w:b/>
          <w:bCs/>
        </w:rPr>
        <w:t xml:space="preserve">  is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and </w:t>
            </w:r>
            <w:r w:rsidRPr="00346E6C">
              <w:rPr>
                <w:rFonts w:eastAsia="SimSun"/>
                <w:sz w:val="22"/>
                <w:szCs w:val="22"/>
                <w:lang w:val="en-US" w:eastAsia="zh-CN"/>
              </w:rPr>
              <w:lastRenderedPageBreak/>
              <w:t>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lastRenderedPageBreak/>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lastRenderedPageBreak/>
              <w:t>Ref decoder based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Spreadtrum, Tejas Network, ZTE, Ericsson, vivo, Xiaomi, Fujistu,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Spreadtrum, CMCC, vivo </w:t>
            </w:r>
          </w:p>
          <w:p w14:paraId="557AFA01" w14:textId="77777777" w:rsidR="007A3C75" w:rsidRDefault="007A3C75" w:rsidP="007A3C75">
            <w:pPr>
              <w:pStyle w:val="ListParagraph"/>
              <w:numPr>
                <w:ilvl w:val="0"/>
                <w:numId w:val="123"/>
              </w:numPr>
              <w:spacing w:after="120"/>
              <w:jc w:val="left"/>
            </w:pPr>
            <w:r>
              <w:lastRenderedPageBreak/>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ListParagraph"/>
              <w:numPr>
                <w:ilvl w:val="0"/>
                <w:numId w:val="125"/>
              </w:numPr>
              <w:spacing w:after="120"/>
              <w:jc w:val="left"/>
            </w:pPr>
            <w:r>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 </w:t>
      </w:r>
      <w:proofErr w:type="spellStart"/>
      <w:r w:rsidR="009D37A8" w:rsidRPr="00133C49">
        <w:t>KPI</w:t>
      </w:r>
      <w:r w:rsidR="009D37A8" w:rsidRPr="009D37A8">
        <w:rPr>
          <w:i/>
          <w:iCs/>
          <w:vertAlign w:val="subscript"/>
        </w:rPr>
        <w:t>Actual</w:t>
      </w:r>
      <w:proofErr w:type="spell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Likewise,  </w:t>
      </w:r>
      <w:proofErr w:type="spellStart"/>
      <w:r w:rsidR="009D37A8" w:rsidRPr="00133C49">
        <w:t>KPI</w:t>
      </w:r>
      <w:r w:rsidR="009D37A8" w:rsidRPr="009D37A8">
        <w:rPr>
          <w:i/>
          <w:iCs/>
          <w:vertAlign w:val="subscript"/>
        </w:rPr>
        <w:t>Genie</w:t>
      </w:r>
      <w:proofErr w:type="spell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monitoring,  we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 </w:t>
            </w:r>
            <w:proofErr w:type="spellStart"/>
            <w:r w:rsidRPr="00133C49">
              <w:t>KPI</w:t>
            </w:r>
            <w:r w:rsidRPr="00376B29">
              <w:rPr>
                <w:i/>
                <w:iCs/>
                <w:vertAlign w:val="subscript"/>
              </w:rPr>
              <w:t>Actual</w:t>
            </w:r>
            <w:proofErr w:type="spell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  </w:t>
            </w:r>
            <w:proofErr w:type="spellStart"/>
            <w:r w:rsidRPr="00133C49">
              <w:t>KPI</w:t>
            </w:r>
            <w:r w:rsidRPr="00376B29">
              <w:rPr>
                <w:i/>
                <w:iCs/>
                <w:vertAlign w:val="subscript"/>
              </w:rPr>
              <w:t>Genie</w:t>
            </w:r>
            <w:proofErr w:type="spell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SimSun"/>
                <w:b w:val="0"/>
                <w:bCs w:val="0"/>
                <w:iCs/>
                <w:lang w:val="en-US" w:eastAsia="zh-CN"/>
              </w:rPr>
            </w:pPr>
            <w:r w:rsidRPr="00170097">
              <w:rPr>
                <w:rFonts w:eastAsia="SimSun"/>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lastRenderedPageBreak/>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lastRenderedPageBreak/>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r w:rsidRPr="00C80355">
        <w:rPr>
          <w:rStyle w:val="IntenseEmphasis"/>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r>
        <w:rPr>
          <w:rStyle w:val="IntenseEmphasis"/>
        </w:rPr>
        <w:t>Spreadtrum</w:t>
      </w:r>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r>
        <w:rPr>
          <w:rStyle w:val="IntenseEmphasis"/>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Caption"/>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Caption"/>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lastRenderedPageBreak/>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lastRenderedPageBreak/>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lastRenderedPageBreak/>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lastRenderedPageBreak/>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lastRenderedPageBreak/>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lastRenderedPageBreak/>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lastRenderedPageBreak/>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SimSun"/>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r w:rsidRPr="00D27055">
        <w:rPr>
          <w:rStyle w:val="IntenseEmphasis"/>
          <w:rFonts w:eastAsia="SimSun"/>
          <w:b w:val="0"/>
          <w:lang w:eastAsia="zh-CN"/>
        </w:rPr>
        <w:lastRenderedPageBreak/>
        <w:t>Fujistu</w:t>
      </w:r>
    </w:p>
    <w:p w14:paraId="35D7055B" w14:textId="77777777" w:rsidR="0054079D" w:rsidRPr="00F70D6A" w:rsidRDefault="0054079D" w:rsidP="0054079D">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lastRenderedPageBreak/>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lastRenderedPageBreak/>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ListParagraph"/>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3BFDB" w14:textId="77777777" w:rsidR="00F53203" w:rsidRDefault="00F53203" w:rsidP="00E25422">
      <w:r>
        <w:separator/>
      </w:r>
    </w:p>
  </w:endnote>
  <w:endnote w:type="continuationSeparator" w:id="0">
    <w:p w14:paraId="2BC22B9D" w14:textId="77777777" w:rsidR="00F53203" w:rsidRDefault="00F53203" w:rsidP="00E25422">
      <w:r>
        <w:continuationSeparator/>
      </w:r>
    </w:p>
  </w:endnote>
  <w:endnote w:type="continuationNotice" w:id="1">
    <w:p w14:paraId="23011DCA" w14:textId="77777777" w:rsidR="00F53203" w:rsidRDefault="00F5320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7C5EE028" w:rsidR="00A604E9" w:rsidRDefault="00A604E9" w:rsidP="006C3BA7">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p w14:paraId="72C76803" w14:textId="77777777" w:rsidR="00A604E9" w:rsidRDefault="00A60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A05FC" w14:textId="77777777" w:rsidR="00F53203" w:rsidRDefault="00F53203" w:rsidP="00E25422">
      <w:r>
        <w:separator/>
      </w:r>
    </w:p>
  </w:footnote>
  <w:footnote w:type="continuationSeparator" w:id="0">
    <w:p w14:paraId="3E495F81" w14:textId="77777777" w:rsidR="00F53203" w:rsidRDefault="00F53203" w:rsidP="00E25422">
      <w:r>
        <w:continuationSeparator/>
      </w:r>
    </w:p>
  </w:footnote>
  <w:footnote w:type="continuationNotice" w:id="1">
    <w:p w14:paraId="302EBAC8" w14:textId="77777777" w:rsidR="00F53203" w:rsidRDefault="00F5320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6"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8"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6"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9"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0"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6"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0"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1"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947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161579">
    <w:abstractNumId w:val="114"/>
  </w:num>
  <w:num w:numId="3" w16cid:durableId="1930039920">
    <w:abstractNumId w:val="20"/>
  </w:num>
  <w:num w:numId="4" w16cid:durableId="791706449">
    <w:abstractNumId w:val="172"/>
  </w:num>
  <w:num w:numId="5" w16cid:durableId="21396458">
    <w:abstractNumId w:val="78"/>
  </w:num>
  <w:num w:numId="6" w16cid:durableId="584145781">
    <w:abstractNumId w:val="41"/>
  </w:num>
  <w:num w:numId="7" w16cid:durableId="1447264231">
    <w:abstractNumId w:val="122"/>
  </w:num>
  <w:num w:numId="8" w16cid:durableId="1730884158">
    <w:abstractNumId w:val="177"/>
  </w:num>
  <w:num w:numId="9" w16cid:durableId="401222561">
    <w:abstractNumId w:val="56"/>
  </w:num>
  <w:num w:numId="10" w16cid:durableId="225725731">
    <w:abstractNumId w:val="126"/>
  </w:num>
  <w:num w:numId="11" w16cid:durableId="2076540704">
    <w:abstractNumId w:val="65"/>
  </w:num>
  <w:num w:numId="12" w16cid:durableId="1756516739">
    <w:abstractNumId w:val="23"/>
  </w:num>
  <w:num w:numId="13" w16cid:durableId="2112897358">
    <w:abstractNumId w:val="77"/>
  </w:num>
  <w:num w:numId="14" w16cid:durableId="1230456717">
    <w:abstractNumId w:val="171"/>
  </w:num>
  <w:num w:numId="15" w16cid:durableId="1774546402">
    <w:abstractNumId w:val="55"/>
  </w:num>
  <w:num w:numId="16" w16cid:durableId="1922520474">
    <w:abstractNumId w:val="134"/>
  </w:num>
  <w:num w:numId="17" w16cid:durableId="1648898672">
    <w:abstractNumId w:val="152"/>
  </w:num>
  <w:num w:numId="18" w16cid:durableId="94517240">
    <w:abstractNumId w:val="18"/>
  </w:num>
  <w:num w:numId="19" w16cid:durableId="1522821846">
    <w:abstractNumId w:val="9"/>
  </w:num>
  <w:num w:numId="20" w16cid:durableId="532353383">
    <w:abstractNumId w:val="71"/>
  </w:num>
  <w:num w:numId="21" w16cid:durableId="1369600578">
    <w:abstractNumId w:val="123"/>
  </w:num>
  <w:num w:numId="22" w16cid:durableId="498426837">
    <w:abstractNumId w:val="154"/>
  </w:num>
  <w:num w:numId="23" w16cid:durableId="356854196">
    <w:abstractNumId w:val="103"/>
  </w:num>
  <w:num w:numId="24" w16cid:durableId="869804610">
    <w:abstractNumId w:val="182"/>
  </w:num>
  <w:num w:numId="25" w16cid:durableId="1420255564">
    <w:abstractNumId w:val="161"/>
  </w:num>
  <w:num w:numId="26" w16cid:durableId="2089304033">
    <w:abstractNumId w:val="139"/>
  </w:num>
  <w:num w:numId="27" w16cid:durableId="1606499571">
    <w:abstractNumId w:val="118"/>
  </w:num>
  <w:num w:numId="28" w16cid:durableId="420952460">
    <w:abstractNumId w:val="165"/>
  </w:num>
  <w:num w:numId="29" w16cid:durableId="41642274">
    <w:abstractNumId w:val="85"/>
  </w:num>
  <w:num w:numId="30" w16cid:durableId="685209002">
    <w:abstractNumId w:val="179"/>
  </w:num>
  <w:num w:numId="31" w16cid:durableId="259222304">
    <w:abstractNumId w:val="167"/>
  </w:num>
  <w:num w:numId="32" w16cid:durableId="891425764">
    <w:abstractNumId w:val="162"/>
  </w:num>
  <w:num w:numId="33" w16cid:durableId="1644852402">
    <w:abstractNumId w:val="132"/>
  </w:num>
  <w:num w:numId="34" w16cid:durableId="1833136860">
    <w:abstractNumId w:val="159"/>
  </w:num>
  <w:num w:numId="35" w16cid:durableId="688800624">
    <w:abstractNumId w:val="47"/>
  </w:num>
  <w:num w:numId="36" w16cid:durableId="610012801">
    <w:abstractNumId w:val="20"/>
    <w:lvlOverride w:ilvl="0">
      <w:startOverride w:val="1"/>
    </w:lvlOverride>
  </w:num>
  <w:num w:numId="37" w16cid:durableId="189271008">
    <w:abstractNumId w:val="2"/>
  </w:num>
  <w:num w:numId="38" w16cid:durableId="598680974">
    <w:abstractNumId w:val="61"/>
  </w:num>
  <w:num w:numId="39" w16cid:durableId="1539005958">
    <w:abstractNumId w:val="72"/>
  </w:num>
  <w:num w:numId="40" w16cid:durableId="1937400894">
    <w:abstractNumId w:val="21"/>
  </w:num>
  <w:num w:numId="41" w16cid:durableId="1484348895">
    <w:abstractNumId w:val="94"/>
  </w:num>
  <w:num w:numId="42" w16cid:durableId="181169059">
    <w:abstractNumId w:val="108"/>
  </w:num>
  <w:num w:numId="43" w16cid:durableId="1177958731">
    <w:abstractNumId w:val="74"/>
  </w:num>
  <w:num w:numId="44" w16cid:durableId="629820741">
    <w:abstractNumId w:val="128"/>
  </w:num>
  <w:num w:numId="45" w16cid:durableId="506141095">
    <w:abstractNumId w:val="49"/>
  </w:num>
  <w:num w:numId="46" w16cid:durableId="241185011">
    <w:abstractNumId w:val="124"/>
  </w:num>
  <w:num w:numId="47" w16cid:durableId="358704907">
    <w:abstractNumId w:val="75"/>
  </w:num>
  <w:num w:numId="48" w16cid:durableId="282733521">
    <w:abstractNumId w:val="142"/>
  </w:num>
  <w:num w:numId="49" w16cid:durableId="207493315">
    <w:abstractNumId w:val="70"/>
  </w:num>
  <w:num w:numId="50" w16cid:durableId="461077137">
    <w:abstractNumId w:val="176"/>
  </w:num>
  <w:num w:numId="51" w16cid:durableId="2038267620">
    <w:abstractNumId w:val="160"/>
  </w:num>
  <w:num w:numId="52" w16cid:durableId="1855531287">
    <w:abstractNumId w:val="130"/>
  </w:num>
  <w:num w:numId="53" w16cid:durableId="1841000596">
    <w:abstractNumId w:val="95"/>
  </w:num>
  <w:num w:numId="54" w16cid:durableId="1723364862">
    <w:abstractNumId w:val="186"/>
  </w:num>
  <w:num w:numId="55" w16cid:durableId="60712456">
    <w:abstractNumId w:val="66"/>
  </w:num>
  <w:num w:numId="56" w16cid:durableId="2038505105">
    <w:abstractNumId w:val="86"/>
  </w:num>
  <w:num w:numId="57" w16cid:durableId="1131706043">
    <w:abstractNumId w:val="96"/>
  </w:num>
  <w:num w:numId="58" w16cid:durableId="2111581027">
    <w:abstractNumId w:val="46"/>
  </w:num>
  <w:num w:numId="59" w16cid:durableId="268591358">
    <w:abstractNumId w:val="52"/>
  </w:num>
  <w:num w:numId="60" w16cid:durableId="813836395">
    <w:abstractNumId w:val="88"/>
  </w:num>
  <w:num w:numId="61" w16cid:durableId="654141020">
    <w:abstractNumId w:val="174"/>
  </w:num>
  <w:num w:numId="62" w16cid:durableId="463039486">
    <w:abstractNumId w:val="50"/>
  </w:num>
  <w:num w:numId="63" w16cid:durableId="1087967458">
    <w:abstractNumId w:val="138"/>
  </w:num>
  <w:num w:numId="64" w16cid:durableId="1028409666">
    <w:abstractNumId w:val="54"/>
  </w:num>
  <w:num w:numId="65" w16cid:durableId="644551443">
    <w:abstractNumId w:val="97"/>
  </w:num>
  <w:num w:numId="66" w16cid:durableId="716323279">
    <w:abstractNumId w:val="111"/>
  </w:num>
  <w:num w:numId="67" w16cid:durableId="476339575">
    <w:abstractNumId w:val="183"/>
  </w:num>
  <w:num w:numId="68" w16cid:durableId="1419521080">
    <w:abstractNumId w:val="147"/>
  </w:num>
  <w:num w:numId="69" w16cid:durableId="194462906">
    <w:abstractNumId w:val="8"/>
  </w:num>
  <w:num w:numId="70" w16cid:durableId="1510951959">
    <w:abstractNumId w:val="120"/>
  </w:num>
  <w:num w:numId="71" w16cid:durableId="2053918756">
    <w:abstractNumId w:val="19"/>
  </w:num>
  <w:num w:numId="72" w16cid:durableId="1662848022">
    <w:abstractNumId w:val="133"/>
  </w:num>
  <w:num w:numId="73" w16cid:durableId="459811936">
    <w:abstractNumId w:val="29"/>
  </w:num>
  <w:num w:numId="74" w16cid:durableId="1229878905">
    <w:abstractNumId w:val="141"/>
  </w:num>
  <w:num w:numId="75" w16cid:durableId="1090010482">
    <w:abstractNumId w:val="67"/>
  </w:num>
  <w:num w:numId="76" w16cid:durableId="1212379421">
    <w:abstractNumId w:val="60"/>
  </w:num>
  <w:num w:numId="77" w16cid:durableId="1946690490">
    <w:abstractNumId w:val="19"/>
  </w:num>
  <w:num w:numId="78" w16cid:durableId="1883521100">
    <w:abstractNumId w:val="60"/>
  </w:num>
  <w:num w:numId="79" w16cid:durableId="647514052">
    <w:abstractNumId w:val="170"/>
  </w:num>
  <w:num w:numId="80" w16cid:durableId="575554293">
    <w:abstractNumId w:val="151"/>
  </w:num>
  <w:num w:numId="81" w16cid:durableId="747583357">
    <w:abstractNumId w:val="6"/>
  </w:num>
  <w:num w:numId="82" w16cid:durableId="1471827170">
    <w:abstractNumId w:val="80"/>
  </w:num>
  <w:num w:numId="83" w16cid:durableId="503202825">
    <w:abstractNumId w:val="93"/>
  </w:num>
  <w:num w:numId="84" w16cid:durableId="1768647425">
    <w:abstractNumId w:val="175"/>
  </w:num>
  <w:num w:numId="85" w16cid:durableId="872882355">
    <w:abstractNumId w:val="112"/>
  </w:num>
  <w:num w:numId="86" w16cid:durableId="1699969094">
    <w:abstractNumId w:val="173"/>
  </w:num>
  <w:num w:numId="87" w16cid:durableId="366873826">
    <w:abstractNumId w:val="117"/>
  </w:num>
  <w:num w:numId="88" w16cid:durableId="867791595">
    <w:abstractNumId w:val="87"/>
  </w:num>
  <w:num w:numId="89" w16cid:durableId="2144619161">
    <w:abstractNumId w:val="131"/>
  </w:num>
  <w:num w:numId="90" w16cid:durableId="972323285">
    <w:abstractNumId w:val="145"/>
  </w:num>
  <w:num w:numId="91" w16cid:durableId="1502550009">
    <w:abstractNumId w:val="89"/>
  </w:num>
  <w:num w:numId="92" w16cid:durableId="379399277">
    <w:abstractNumId w:val="16"/>
  </w:num>
  <w:num w:numId="93" w16cid:durableId="793448082">
    <w:abstractNumId w:val="105"/>
  </w:num>
  <w:num w:numId="94" w16cid:durableId="333846665">
    <w:abstractNumId w:val="181"/>
  </w:num>
  <w:num w:numId="95" w16cid:durableId="1220824125">
    <w:abstractNumId w:val="7"/>
  </w:num>
  <w:num w:numId="96" w16cid:durableId="691492077">
    <w:abstractNumId w:val="15"/>
  </w:num>
  <w:num w:numId="97" w16cid:durableId="1009452539">
    <w:abstractNumId w:val="25"/>
  </w:num>
  <w:num w:numId="98" w16cid:durableId="678896465">
    <w:abstractNumId w:val="137"/>
  </w:num>
  <w:num w:numId="99" w16cid:durableId="1338003531">
    <w:abstractNumId w:val="129"/>
  </w:num>
  <w:num w:numId="100" w16cid:durableId="1999723384">
    <w:abstractNumId w:val="37"/>
  </w:num>
  <w:num w:numId="101" w16cid:durableId="2043168669">
    <w:abstractNumId w:val="100"/>
  </w:num>
  <w:num w:numId="102" w16cid:durableId="1141459335">
    <w:abstractNumId w:val="33"/>
  </w:num>
  <w:num w:numId="103" w16cid:durableId="1688478134">
    <w:abstractNumId w:val="30"/>
  </w:num>
  <w:num w:numId="104" w16cid:durableId="1249459357">
    <w:abstractNumId w:val="164"/>
  </w:num>
  <w:num w:numId="105" w16cid:durableId="31659867">
    <w:abstractNumId w:val="116"/>
  </w:num>
  <w:num w:numId="106" w16cid:durableId="1609316495">
    <w:abstractNumId w:val="155"/>
  </w:num>
  <w:num w:numId="107" w16cid:durableId="445270890">
    <w:abstractNumId w:val="13"/>
  </w:num>
  <w:num w:numId="108" w16cid:durableId="1671130074">
    <w:abstractNumId w:val="59"/>
  </w:num>
  <w:num w:numId="109" w16cid:durableId="1676689959">
    <w:abstractNumId w:val="153"/>
  </w:num>
  <w:num w:numId="110" w16cid:durableId="32845863">
    <w:abstractNumId w:val="184"/>
  </w:num>
  <w:num w:numId="111" w16cid:durableId="1625650450">
    <w:abstractNumId w:val="24"/>
  </w:num>
  <w:num w:numId="112" w16cid:durableId="1121001403">
    <w:abstractNumId w:val="189"/>
  </w:num>
  <w:num w:numId="113" w16cid:durableId="2015841659">
    <w:abstractNumId w:val="53"/>
  </w:num>
  <w:num w:numId="114" w16cid:durableId="139732405">
    <w:abstractNumId w:val="69"/>
  </w:num>
  <w:num w:numId="115" w16cid:durableId="99036432">
    <w:abstractNumId w:val="158"/>
  </w:num>
  <w:num w:numId="116" w16cid:durableId="1828127094">
    <w:abstractNumId w:val="45"/>
  </w:num>
  <w:num w:numId="117" w16cid:durableId="122117486">
    <w:abstractNumId w:val="1"/>
  </w:num>
  <w:num w:numId="118" w16cid:durableId="1352759006">
    <w:abstractNumId w:val="92"/>
  </w:num>
  <w:num w:numId="119" w16cid:durableId="2014840438">
    <w:abstractNumId w:val="73"/>
  </w:num>
  <w:num w:numId="120" w16cid:durableId="1908225528">
    <w:abstractNumId w:val="31"/>
  </w:num>
  <w:num w:numId="121" w16cid:durableId="668024285">
    <w:abstractNumId w:val="113"/>
  </w:num>
  <w:num w:numId="122" w16cid:durableId="1830170760">
    <w:abstractNumId w:val="149"/>
  </w:num>
  <w:num w:numId="123" w16cid:durableId="896937261">
    <w:abstractNumId w:val="22"/>
  </w:num>
  <w:num w:numId="124" w16cid:durableId="1549144190">
    <w:abstractNumId w:val="101"/>
  </w:num>
  <w:num w:numId="125" w16cid:durableId="827359168">
    <w:abstractNumId w:val="169"/>
  </w:num>
  <w:num w:numId="126" w16cid:durableId="1560627717">
    <w:abstractNumId w:val="51"/>
  </w:num>
  <w:num w:numId="127" w16cid:durableId="121778694">
    <w:abstractNumId w:val="127"/>
  </w:num>
  <w:num w:numId="128" w16cid:durableId="1797485096">
    <w:abstractNumId w:val="119"/>
  </w:num>
  <w:num w:numId="129" w16cid:durableId="1720084709">
    <w:abstractNumId w:val="109"/>
  </w:num>
  <w:num w:numId="130" w16cid:durableId="680089355">
    <w:abstractNumId w:val="115"/>
  </w:num>
  <w:num w:numId="131" w16cid:durableId="403532234">
    <w:abstractNumId w:val="121"/>
  </w:num>
  <w:num w:numId="132" w16cid:durableId="875697039">
    <w:abstractNumId w:val="3"/>
  </w:num>
  <w:num w:numId="133" w16cid:durableId="1034041938">
    <w:abstractNumId w:val="12"/>
  </w:num>
  <w:num w:numId="134" w16cid:durableId="1846243974">
    <w:abstractNumId w:val="0"/>
  </w:num>
  <w:num w:numId="135" w16cid:durableId="368460050">
    <w:abstractNumId w:val="10"/>
  </w:num>
  <w:num w:numId="136" w16cid:durableId="746616851">
    <w:abstractNumId w:val="42"/>
  </w:num>
  <w:num w:numId="137" w16cid:durableId="727075600">
    <w:abstractNumId w:val="146"/>
  </w:num>
  <w:num w:numId="138" w16cid:durableId="1427730834">
    <w:abstractNumId w:val="191"/>
  </w:num>
  <w:num w:numId="139" w16cid:durableId="30764966">
    <w:abstractNumId w:val="34"/>
  </w:num>
  <w:num w:numId="140" w16cid:durableId="1363744681">
    <w:abstractNumId w:val="102"/>
  </w:num>
  <w:num w:numId="141" w16cid:durableId="355037715">
    <w:abstractNumId w:val="28"/>
  </w:num>
  <w:num w:numId="142" w16cid:durableId="1651669393">
    <w:abstractNumId w:val="32"/>
  </w:num>
  <w:num w:numId="143" w16cid:durableId="1629779746">
    <w:abstractNumId w:val="26"/>
  </w:num>
  <w:num w:numId="144" w16cid:durableId="1210805199">
    <w:abstractNumId w:val="68"/>
  </w:num>
  <w:num w:numId="145" w16cid:durableId="1314532177">
    <w:abstractNumId w:val="178"/>
  </w:num>
  <w:num w:numId="146" w16cid:durableId="2084524508">
    <w:abstractNumId w:val="98"/>
  </w:num>
  <w:num w:numId="147" w16cid:durableId="1941911169">
    <w:abstractNumId w:val="163"/>
  </w:num>
  <w:num w:numId="148" w16cid:durableId="33510148">
    <w:abstractNumId w:val="14"/>
  </w:num>
  <w:num w:numId="149" w16cid:durableId="251204141">
    <w:abstractNumId w:val="188"/>
  </w:num>
  <w:num w:numId="150" w16cid:durableId="1532449516">
    <w:abstractNumId w:val="99"/>
  </w:num>
  <w:num w:numId="151" w16cid:durableId="1569919212">
    <w:abstractNumId w:val="104"/>
  </w:num>
  <w:num w:numId="152" w16cid:durableId="1678188524">
    <w:abstractNumId w:val="81"/>
  </w:num>
  <w:num w:numId="153" w16cid:durableId="690840338">
    <w:abstractNumId w:val="168"/>
  </w:num>
  <w:num w:numId="154" w16cid:durableId="807405569">
    <w:abstractNumId w:val="40"/>
  </w:num>
  <w:num w:numId="155" w16cid:durableId="108015233">
    <w:abstractNumId w:val="17"/>
  </w:num>
  <w:num w:numId="156" w16cid:durableId="1371611407">
    <w:abstractNumId w:val="110"/>
  </w:num>
  <w:num w:numId="157" w16cid:durableId="2019454653">
    <w:abstractNumId w:val="91"/>
  </w:num>
  <w:num w:numId="158" w16cid:durableId="1786926947">
    <w:abstractNumId w:val="62"/>
  </w:num>
  <w:num w:numId="159" w16cid:durableId="1048410751">
    <w:abstractNumId w:val="57"/>
  </w:num>
  <w:num w:numId="160" w16cid:durableId="1530945778">
    <w:abstractNumId w:val="36"/>
  </w:num>
  <w:num w:numId="161" w16cid:durableId="1791438958">
    <w:abstractNumId w:val="82"/>
  </w:num>
  <w:num w:numId="162" w16cid:durableId="1336108515">
    <w:abstractNumId w:val="136"/>
  </w:num>
  <w:num w:numId="163" w16cid:durableId="1429158350">
    <w:abstractNumId w:val="106"/>
  </w:num>
  <w:num w:numId="164" w16cid:durableId="1676952488">
    <w:abstractNumId w:val="27"/>
  </w:num>
  <w:num w:numId="165" w16cid:durableId="186215095">
    <w:abstractNumId w:val="20"/>
    <w:lvlOverride w:ilvl="0">
      <w:startOverride w:val="1"/>
    </w:lvlOverride>
  </w:num>
  <w:num w:numId="166" w16cid:durableId="1152673496">
    <w:abstractNumId w:val="83"/>
  </w:num>
  <w:num w:numId="167" w16cid:durableId="1744257790">
    <w:abstractNumId w:val="140"/>
  </w:num>
  <w:num w:numId="168" w16cid:durableId="193227895">
    <w:abstractNumId w:val="190"/>
  </w:num>
  <w:num w:numId="169" w16cid:durableId="2113355630">
    <w:abstractNumId w:val="38"/>
  </w:num>
  <w:num w:numId="170" w16cid:durableId="113988095">
    <w:abstractNumId w:val="76"/>
  </w:num>
  <w:num w:numId="171" w16cid:durableId="2132018798">
    <w:abstractNumId w:val="90"/>
  </w:num>
  <w:num w:numId="172" w16cid:durableId="251092729">
    <w:abstractNumId w:val="4"/>
  </w:num>
  <w:num w:numId="173" w16cid:durableId="305166542">
    <w:abstractNumId w:val="107"/>
  </w:num>
  <w:num w:numId="174" w16cid:durableId="1320187473">
    <w:abstractNumId w:val="84"/>
  </w:num>
  <w:num w:numId="175" w16cid:durableId="1210414351">
    <w:abstractNumId w:val="185"/>
  </w:num>
  <w:num w:numId="176" w16cid:durableId="2099672670">
    <w:abstractNumId w:val="48"/>
  </w:num>
  <w:num w:numId="177" w16cid:durableId="2147355863">
    <w:abstractNumId w:val="150"/>
  </w:num>
  <w:num w:numId="178" w16cid:durableId="1007562987">
    <w:abstractNumId w:val="79"/>
  </w:num>
  <w:num w:numId="179" w16cid:durableId="757672222">
    <w:abstractNumId w:val="148"/>
  </w:num>
  <w:num w:numId="180" w16cid:durableId="1075668802">
    <w:abstractNumId w:val="156"/>
  </w:num>
  <w:num w:numId="181" w16cid:durableId="2126994090">
    <w:abstractNumId w:val="63"/>
  </w:num>
  <w:num w:numId="182" w16cid:durableId="2034766674">
    <w:abstractNumId w:val="125"/>
  </w:num>
  <w:num w:numId="183" w16cid:durableId="1291352913">
    <w:abstractNumId w:val="44"/>
  </w:num>
  <w:num w:numId="184" w16cid:durableId="267353891">
    <w:abstractNumId w:val="135"/>
  </w:num>
  <w:num w:numId="185" w16cid:durableId="1749107850">
    <w:abstractNumId w:val="143"/>
  </w:num>
  <w:num w:numId="186" w16cid:durableId="910428651">
    <w:abstractNumId w:val="5"/>
  </w:num>
  <w:num w:numId="187" w16cid:durableId="1832409070">
    <w:abstractNumId w:val="180"/>
  </w:num>
  <w:num w:numId="188" w16cid:durableId="474877450">
    <w:abstractNumId w:val="35"/>
  </w:num>
  <w:num w:numId="189" w16cid:durableId="1550647299">
    <w:abstractNumId w:val="39"/>
  </w:num>
  <w:num w:numId="190" w16cid:durableId="2095517163">
    <w:abstractNumId w:val="187"/>
  </w:num>
  <w:num w:numId="191" w16cid:durableId="634724086">
    <w:abstractNumId w:val="11"/>
  </w:num>
  <w:num w:numId="192" w16cid:durableId="1254123202">
    <w:abstractNumId w:val="64"/>
  </w:num>
  <w:num w:numId="193" w16cid:durableId="1869026619">
    <w:abstractNumId w:val="144"/>
  </w:num>
  <w:num w:numId="194" w16cid:durableId="874578604">
    <w:abstractNumId w:val="43"/>
  </w:num>
  <w:num w:numId="195" w16cid:durableId="1396126405">
    <w:abstractNumId w:val="166"/>
  </w:num>
  <w:num w:numId="196" w16cid:durableId="14248345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656934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914969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27303426">
    <w:abstractNumId w:val="15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customStyle="1" w:styleId="14">
    <w:name w:val="未解決のメンション1"/>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customStyle="1" w:styleId="15">
    <w:name w:val="メンション1"/>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확인되지 않은 멘션2"/>
    <w:basedOn w:val="DefaultParagraphFont"/>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02047635-FDCE-4D2A-AA64-B21F03CFE2D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234</TotalTime>
  <Pages>165</Pages>
  <Words>46790</Words>
  <Characters>266706</Characters>
  <Application>Microsoft Office Word</Application>
  <DocSecurity>0</DocSecurity>
  <Lines>2222</Lines>
  <Paragraphs>625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312871</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Sergeev, Victor</cp:lastModifiedBy>
  <cp:revision>86</cp:revision>
  <dcterms:created xsi:type="dcterms:W3CDTF">2024-08-18T08:46:00Z</dcterms:created>
  <dcterms:modified xsi:type="dcterms:W3CDTF">2024-08-19T07:49:00Z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