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C22899" w:rsidP="0080344B">
            <w:pPr>
              <w:rPr>
                <w:rFonts w:eastAsia="宋体"/>
                <w:lang w:eastAsia="zh-CN"/>
              </w:rPr>
            </w:pPr>
            <w:hyperlink r:id="rId12" w:history="1">
              <w:r w:rsidR="0080344B" w:rsidRPr="008819F2">
                <w:rPr>
                  <w:rStyle w:val="Hyperlink"/>
                  <w:rFonts w:eastAsia="宋体" w:hint="eastAsia"/>
                  <w:lang w:eastAsia="zh-CN"/>
                </w:rPr>
                <w:t>w</w:t>
              </w:r>
              <w:r w:rsidR="0080344B" w:rsidRPr="008819F2">
                <w:rPr>
                  <w:rStyle w:val="Hyperlink"/>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77060E"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C22899" w:rsidP="009B2D29">
            <w:pPr>
              <w:rPr>
                <w:rFonts w:eastAsia="Yu Mincho"/>
                <w:szCs w:val="20"/>
                <w:lang w:val="sv-SE" w:eastAsia="ja-JP"/>
              </w:rPr>
            </w:pPr>
            <w:hyperlink r:id="rId13" w:history="1">
              <w:r w:rsidR="009B2D29" w:rsidRPr="004766A2">
                <w:rPr>
                  <w:rStyle w:val="Hyperlink"/>
                  <w:rFonts w:eastAsia="Yu Mincho"/>
                  <w:szCs w:val="20"/>
                  <w:lang w:val="sv-SE" w:eastAsia="ja-JP"/>
                </w:rPr>
                <w:t>Jingya.li@ericsson.com</w:t>
              </w:r>
            </w:hyperlink>
          </w:p>
          <w:p w14:paraId="227932D7" w14:textId="77777777" w:rsidR="009B2D29" w:rsidRPr="004766A2" w:rsidRDefault="00C22899" w:rsidP="009B2D29">
            <w:pPr>
              <w:rPr>
                <w:rFonts w:eastAsia="Yu Mincho"/>
                <w:szCs w:val="20"/>
                <w:lang w:val="sv-SE" w:eastAsia="ja-JP"/>
              </w:rPr>
            </w:pPr>
            <w:hyperlink r:id="rId14"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C22899" w:rsidP="00AD08F9">
            <w:pPr>
              <w:rPr>
                <w:rFonts w:eastAsia="宋体"/>
                <w:lang w:eastAsia="zh-CN"/>
              </w:rPr>
            </w:pPr>
            <w:hyperlink r:id="rId15" w:history="1">
              <w:r w:rsidR="00A22A99" w:rsidRPr="00190258">
                <w:rPr>
                  <w:rStyle w:val="Hyperlink"/>
                  <w:rFonts w:eastAsia="宋体" w:hint="eastAsia"/>
                  <w:lang w:eastAsia="zh-CN"/>
                </w:rPr>
                <w:t>l</w:t>
              </w:r>
              <w:r w:rsidR="00A22A99" w:rsidRPr="00190258">
                <w:rPr>
                  <w:rStyle w:val="Hyperlink"/>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C22899" w:rsidP="00A8346B">
            <w:hyperlink r:id="rId16" w:history="1">
              <w:r w:rsidR="00A8346B" w:rsidRPr="00604D09">
                <w:rPr>
                  <w:rStyle w:val="Hyperlink"/>
                </w:rPr>
                <w:t>svgadhai@iitk.ac.in</w:t>
              </w:r>
            </w:hyperlink>
          </w:p>
          <w:p w14:paraId="4039B89A" w14:textId="234733CD" w:rsidR="00A8346B" w:rsidRDefault="00C22899" w:rsidP="00A8346B">
            <w:hyperlink r:id="rId17"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C22899" w:rsidP="00297DA8">
            <w:pPr>
              <w:rPr>
                <w:rFonts w:eastAsia="宋体"/>
                <w:szCs w:val="20"/>
                <w:lang w:eastAsia="zh-CN"/>
              </w:rPr>
            </w:pPr>
            <w:hyperlink r:id="rId18" w:history="1">
              <w:r w:rsidR="00C94E70" w:rsidRPr="00702881">
                <w:rPr>
                  <w:rStyle w:val="Hyperlink"/>
                  <w:rFonts w:eastAsia="宋体"/>
                  <w:szCs w:val="20"/>
                  <w:lang w:eastAsia="zh-CN"/>
                </w:rPr>
                <w:t>Isfar.tariq@att.com</w:t>
              </w:r>
            </w:hyperlink>
          </w:p>
          <w:p w14:paraId="57B7427F" w14:textId="7879C9DA" w:rsidR="00C94E70" w:rsidRDefault="00C22899" w:rsidP="00297DA8">
            <w:pPr>
              <w:rPr>
                <w:rFonts w:eastAsia="宋体"/>
                <w:szCs w:val="20"/>
                <w:lang w:eastAsia="zh-CN"/>
              </w:rPr>
            </w:pPr>
            <w:hyperlink r:id="rId19" w:history="1">
              <w:r w:rsidR="00C94E70" w:rsidRPr="00702881">
                <w:rPr>
                  <w:rStyle w:val="Hyperlink"/>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C22899" w:rsidP="00604A13">
            <w:pPr>
              <w:pStyle w:val="BodyText"/>
              <w:spacing w:before="0" w:after="0" w:line="300" w:lineRule="auto"/>
              <w:rPr>
                <w:szCs w:val="20"/>
              </w:rPr>
            </w:pPr>
            <w:hyperlink r:id="rId20"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C22899" w:rsidP="00604A13">
            <w:pPr>
              <w:pStyle w:val="BodyText"/>
              <w:spacing w:before="0" w:after="0" w:line="300" w:lineRule="auto"/>
              <w:rPr>
                <w:szCs w:val="20"/>
              </w:rPr>
            </w:pPr>
            <w:hyperlink r:id="rId21"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C22899" w:rsidP="00604A13">
            <w:pPr>
              <w:pStyle w:val="BodyText"/>
              <w:spacing w:before="0" w:after="0" w:line="300" w:lineRule="auto"/>
            </w:pPr>
            <w:hyperlink r:id="rId22"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C22899" w:rsidP="00604A13">
            <w:pPr>
              <w:pStyle w:val="BodyText"/>
              <w:spacing w:before="0" w:after="0" w:line="300" w:lineRule="auto"/>
            </w:pPr>
            <w:hyperlink r:id="rId23"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C22899" w:rsidP="00604A13">
            <w:pPr>
              <w:pStyle w:val="BodyText"/>
              <w:spacing w:before="0" w:after="0" w:line="300" w:lineRule="auto"/>
              <w:rPr>
                <w:rStyle w:val="Hyperlink"/>
              </w:rPr>
            </w:pPr>
            <w:hyperlink r:id="rId24" w:history="1">
              <w:r w:rsidR="001B03D1" w:rsidRPr="00D17DE9">
                <w:rPr>
                  <w:rStyle w:val="Hyperlink"/>
                </w:rPr>
                <w:t>shivshankar@cewit.org.in</w:t>
              </w:r>
            </w:hyperlink>
          </w:p>
          <w:p w14:paraId="7EF3027F" w14:textId="1BCAE5CF" w:rsidR="001B03D1" w:rsidRPr="00D17DE9" w:rsidRDefault="00C22899" w:rsidP="00604A13">
            <w:pPr>
              <w:pStyle w:val="BodyText"/>
              <w:spacing w:before="0" w:after="0" w:line="300" w:lineRule="auto"/>
              <w:rPr>
                <w:rFonts w:eastAsia="宋体"/>
                <w:lang w:eastAsia="zh-CN"/>
              </w:rPr>
            </w:pPr>
            <w:hyperlink r:id="rId25"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5" w:type="dxa"/>
            <w:vAlign w:val="center"/>
          </w:tcPr>
          <w:p w14:paraId="4EA527CE" w14:textId="2D22A54E" w:rsidR="00F52CB7" w:rsidRDefault="00C22899" w:rsidP="00996B42">
            <w:pPr>
              <w:pStyle w:val="BodyText"/>
              <w:spacing w:before="0" w:after="0" w:line="300" w:lineRule="auto"/>
              <w:rPr>
                <w:rFonts w:eastAsia="宋体"/>
                <w:lang w:eastAsia="zh-CN"/>
              </w:rPr>
            </w:pPr>
            <w:hyperlink r:id="rId26" w:history="1">
              <w:r w:rsidR="00F52CB7" w:rsidRPr="00170F4F">
                <w:rPr>
                  <w:rStyle w:val="Hyperlink"/>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C22899" w:rsidP="00A17473">
            <w:pPr>
              <w:pStyle w:val="BodyText"/>
              <w:spacing w:before="0" w:after="0" w:line="300" w:lineRule="auto"/>
            </w:pPr>
            <w:hyperlink r:id="rId27"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C22899" w:rsidP="00A17473">
            <w:pPr>
              <w:pStyle w:val="BodyText"/>
              <w:spacing w:before="0" w:after="0" w:line="300" w:lineRule="auto"/>
            </w:pPr>
            <w:hyperlink r:id="rId28"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宋体"/>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lastRenderedPageBreak/>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xml:space="preserve">” mean for training the CSI compression model? If so, agree to study the two options. Option 1 seems </w:t>
            </w:r>
            <w:r>
              <w:rPr>
                <w:rFonts w:eastAsia="宋体"/>
                <w:iCs/>
                <w:lang w:eastAsia="zh-CN"/>
              </w:rPr>
              <w:lastRenderedPageBreak/>
              <w:t>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bl>
    <w:p w14:paraId="229ADFDA" w14:textId="77777777" w:rsidR="00982681" w:rsidRPr="00710316" w:rsidRDefault="00982681" w:rsidP="00710316"/>
    <w:p w14:paraId="1A38CDB1" w14:textId="23A9EE19" w:rsidR="00ED3C6B" w:rsidRDefault="00ED3C6B" w:rsidP="00ED3C6B">
      <w:pPr>
        <w:pStyle w:val="Heading3"/>
      </w:pPr>
      <w:r>
        <w:lastRenderedPageBreak/>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lastRenderedPageBreak/>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77777777" w:rsidR="008D4A27" w:rsidRPr="005E10A1" w:rsidRDefault="008D4A27" w:rsidP="00D53748">
            <w:pPr>
              <w:rPr>
                <w:b w:val="0"/>
                <w:bCs w:val="0"/>
                <w:iCs/>
              </w:rPr>
            </w:pPr>
          </w:p>
        </w:tc>
        <w:tc>
          <w:tcPr>
            <w:tcW w:w="7555" w:type="dxa"/>
          </w:tcPr>
          <w:p w14:paraId="5CE3F37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lastRenderedPageBreak/>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77777777" w:rsidR="008D4A27" w:rsidRPr="005E10A1" w:rsidRDefault="008D4A27" w:rsidP="00D53748">
            <w:pPr>
              <w:rPr>
                <w:b w:val="0"/>
                <w:bCs w:val="0"/>
                <w:iCs/>
              </w:rPr>
            </w:pPr>
          </w:p>
        </w:tc>
        <w:tc>
          <w:tcPr>
            <w:tcW w:w="7555" w:type="dxa"/>
          </w:tcPr>
          <w:p w14:paraId="6FCFE43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lastRenderedPageBreak/>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lastRenderedPageBreak/>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lastRenderedPageBreak/>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lastRenderedPageBreak/>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lastRenderedPageBreak/>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lastRenderedPageBreak/>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lastRenderedPageBreak/>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77777777" w:rsidR="008D4A27" w:rsidRPr="005E10A1" w:rsidRDefault="008D4A27" w:rsidP="00D53748">
            <w:pPr>
              <w:rPr>
                <w:b w:val="0"/>
                <w:bCs w:val="0"/>
                <w:iCs/>
              </w:rPr>
            </w:pPr>
          </w:p>
        </w:tc>
        <w:tc>
          <w:tcPr>
            <w:tcW w:w="7555" w:type="dxa"/>
          </w:tcPr>
          <w:p w14:paraId="5571DCF4"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77777777" w:rsidR="008D4A27" w:rsidRPr="005E10A1" w:rsidRDefault="008D4A27" w:rsidP="00D53748">
            <w:pPr>
              <w:rPr>
                <w:b w:val="0"/>
                <w:bCs w:val="0"/>
                <w:iCs/>
              </w:rPr>
            </w:pPr>
          </w:p>
        </w:tc>
        <w:tc>
          <w:tcPr>
            <w:tcW w:w="7555" w:type="dxa"/>
          </w:tcPr>
          <w:p w14:paraId="1F1C594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lastRenderedPageBreak/>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lastRenderedPageBreak/>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lastRenderedPageBreak/>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77777777" w:rsidR="008D4A27" w:rsidRPr="005E10A1" w:rsidRDefault="008D4A27" w:rsidP="00D53748">
            <w:pPr>
              <w:rPr>
                <w:b w:val="0"/>
                <w:bCs w:val="0"/>
                <w:iCs/>
              </w:rPr>
            </w:pPr>
          </w:p>
        </w:tc>
        <w:tc>
          <w:tcPr>
            <w:tcW w:w="7555" w:type="dxa"/>
          </w:tcPr>
          <w:p w14:paraId="5EF042C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lastRenderedPageBreak/>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77777777" w:rsidR="008D4A27" w:rsidRPr="005E10A1" w:rsidRDefault="008D4A27" w:rsidP="00D53748">
            <w:pPr>
              <w:rPr>
                <w:b w:val="0"/>
                <w:bCs w:val="0"/>
                <w:iCs/>
              </w:rPr>
            </w:pPr>
          </w:p>
        </w:tc>
        <w:tc>
          <w:tcPr>
            <w:tcW w:w="7555" w:type="dxa"/>
          </w:tcPr>
          <w:p w14:paraId="70FFA21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77777777" w:rsidR="008D4A27" w:rsidRPr="005E10A1" w:rsidRDefault="008D4A27" w:rsidP="00D53748">
            <w:pPr>
              <w:rPr>
                <w:b w:val="0"/>
                <w:bCs w:val="0"/>
                <w:iCs/>
              </w:rPr>
            </w:pPr>
          </w:p>
        </w:tc>
        <w:tc>
          <w:tcPr>
            <w:tcW w:w="7555" w:type="dxa"/>
          </w:tcPr>
          <w:p w14:paraId="1FC3B2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lastRenderedPageBreak/>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lastRenderedPageBreak/>
        <w:t>For RU &gt; 70%, 2 sources [QC] observes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lastRenderedPageBreak/>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lastRenderedPageBreak/>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7777777" w:rsidR="008D4A27" w:rsidRPr="005E10A1" w:rsidRDefault="008D4A27" w:rsidP="00D53748">
            <w:pPr>
              <w:rPr>
                <w:b w:val="0"/>
                <w:bCs w:val="0"/>
                <w:iCs/>
              </w:rPr>
            </w:pPr>
          </w:p>
        </w:tc>
        <w:tc>
          <w:tcPr>
            <w:tcW w:w="7555" w:type="dxa"/>
          </w:tcPr>
          <w:p w14:paraId="16F49F0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77777777" w:rsidR="008D4A27" w:rsidRPr="005E10A1" w:rsidRDefault="008D4A27" w:rsidP="00D53748">
            <w:pPr>
              <w:rPr>
                <w:b w:val="0"/>
                <w:bCs w:val="0"/>
                <w:iCs/>
              </w:rPr>
            </w:pPr>
          </w:p>
        </w:tc>
        <w:tc>
          <w:tcPr>
            <w:tcW w:w="7555" w:type="dxa"/>
          </w:tcPr>
          <w:p w14:paraId="2E6E6E4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lastRenderedPageBreak/>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77777777" w:rsidR="008D4A27" w:rsidRPr="005E10A1" w:rsidRDefault="008D4A27" w:rsidP="00D53748">
            <w:pPr>
              <w:rPr>
                <w:b w:val="0"/>
                <w:bCs w:val="0"/>
                <w:iCs/>
              </w:rPr>
            </w:pPr>
          </w:p>
        </w:tc>
        <w:tc>
          <w:tcPr>
            <w:tcW w:w="7555" w:type="dxa"/>
          </w:tcPr>
          <w:p w14:paraId="2C12AF1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8D4A27" w:rsidRPr="005E10A1" w:rsidRDefault="008D4A27" w:rsidP="00D53748">
            <w:pPr>
              <w:rPr>
                <w:b w:val="0"/>
                <w:bCs w:val="0"/>
                <w:iCs/>
              </w:rPr>
            </w:pPr>
          </w:p>
        </w:tc>
        <w:tc>
          <w:tcPr>
            <w:tcW w:w="7555" w:type="dxa"/>
          </w:tcPr>
          <w:p w14:paraId="25018E7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lastRenderedPageBreak/>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lastRenderedPageBreak/>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宋体"/>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lastRenderedPageBreak/>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lastRenderedPageBreak/>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492E5F"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3B73290A" w:rsidR="00492E5F" w:rsidRPr="00095CE8" w:rsidRDefault="00492E5F">
            <w:pPr>
              <w:rPr>
                <w:rFonts w:eastAsia="宋体"/>
                <w:b w:val="0"/>
                <w:bCs w:val="0"/>
                <w:iCs/>
                <w:lang w:eastAsia="zh-CN"/>
              </w:rPr>
            </w:pPr>
          </w:p>
        </w:tc>
        <w:tc>
          <w:tcPr>
            <w:tcW w:w="7555" w:type="dxa"/>
          </w:tcPr>
          <w:p w14:paraId="5CD2B82B" w14:textId="7352682B"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宋体"/>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w:t>
      </w:r>
      <w:proofErr w:type="spellStart"/>
      <w:r w:rsidR="003B3D84" w:rsidRPr="00095CE8">
        <w:rPr>
          <w:lang w:eastAsia="ko-KR"/>
        </w:rPr>
        <w:t>Oppo</w:t>
      </w:r>
      <w:proofErr w:type="spellEnd"/>
      <w:r w:rsidR="003B3D84" w:rsidRPr="00095CE8">
        <w:rPr>
          <w:lang w:eastAsia="ko-KR"/>
        </w:rPr>
        <w:t xml:space="preserve">,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lastRenderedPageBreak/>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w:t>
            </w:r>
            <w:r>
              <w:rPr>
                <w:rFonts w:eastAsia="宋体"/>
                <w:iCs/>
                <w:lang w:eastAsia="zh-CN"/>
              </w:rPr>
              <w:t xml:space="preserve"> need to draw the observation if only a single source provides results</w:t>
            </w:r>
            <w:r>
              <w:rPr>
                <w:rFonts w:eastAsia="宋体"/>
                <w:iCs/>
                <w:lang w:eastAsia="zh-CN"/>
              </w:rPr>
              <w:t>?</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lastRenderedPageBreak/>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lastRenderedPageBreak/>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宋体"/>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proofErr w:type="spellStart"/>
      <w:r w:rsidRPr="00280116">
        <w:rPr>
          <w:rStyle w:val="IntenseEmphasis"/>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w:t>
      </w:r>
      <w:r>
        <w:rPr>
          <w:b/>
          <w:bCs/>
          <w:i/>
          <w:iCs/>
        </w:rPr>
        <w:lastRenderedPageBreak/>
        <w:t xml:space="preserve">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proofErr w:type="spellStart"/>
      <w:r w:rsidRPr="00AB2472">
        <w:rPr>
          <w:rStyle w:val="IntenseEmphasis"/>
          <w:bCs/>
        </w:rPr>
        <w:t>Tejas</w:t>
      </w:r>
      <w:proofErr w:type="spellEnd"/>
      <w:r w:rsidRPr="00AB2472">
        <w:rPr>
          <w:rStyle w:val="IntenseEmphasis"/>
          <w:bCs/>
        </w:rPr>
        <w:t xml:space="preserve">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lastRenderedPageBreak/>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ListParagraph"/>
        <w:spacing w:before="120" w:after="120"/>
        <w:ind w:left="420"/>
        <w:rPr>
          <w:rFonts w:eastAsia="等线"/>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lastRenderedPageBreak/>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lastRenderedPageBreak/>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lastRenderedPageBreak/>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 xml:space="preserve">Any data </w:t>
      </w:r>
      <w:proofErr w:type="spellStart"/>
      <w:r w:rsidRPr="00E778AC">
        <w:rPr>
          <w:rFonts w:ascii="Arial" w:hAnsi="Arial" w:cs="Arial"/>
          <w:sz w:val="20"/>
          <w:szCs w:val="20"/>
        </w:rPr>
        <w:t>preprocessing</w:t>
      </w:r>
      <w:proofErr w:type="spellEnd"/>
      <w:r w:rsidRPr="00E778AC">
        <w:rPr>
          <w:rFonts w:ascii="Arial" w:hAnsi="Arial" w:cs="Arial"/>
          <w:sz w:val="20"/>
          <w:szCs w:val="20"/>
        </w:rPr>
        <w:t xml:space="preserve">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宋体"/>
          <w:b w:val="0"/>
          <w:bCs/>
          <w:lang w:eastAsia="zh-CN"/>
        </w:rPr>
      </w:pPr>
      <w:r>
        <w:rPr>
          <w:rStyle w:val="IntenseEmphasis"/>
          <w:rFonts w:eastAsia="宋体"/>
          <w:b w:val="0"/>
          <w:bCs/>
          <w:lang w:eastAsia="zh-CN"/>
        </w:rPr>
        <w:t>V</w:t>
      </w:r>
      <w:r>
        <w:rPr>
          <w:rStyle w:val="IntenseEmphasis"/>
          <w:rFonts w:eastAsia="宋体"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宋体"/>
          <w:b w:val="0"/>
          <w:bCs/>
          <w:lang w:eastAsia="zh-CN"/>
        </w:rPr>
      </w:pPr>
    </w:p>
    <w:p w14:paraId="77F60E21" w14:textId="7816EC89" w:rsidR="00F53524" w:rsidRDefault="00F53524" w:rsidP="00C041FE">
      <w:pPr>
        <w:rPr>
          <w:rStyle w:val="IntenseEmphasis"/>
          <w:rFonts w:eastAsia="宋体"/>
          <w:b w:val="0"/>
          <w:bCs/>
          <w:lang w:eastAsia="zh-CN"/>
        </w:rPr>
      </w:pPr>
      <w:r>
        <w:rPr>
          <w:rStyle w:val="IntenseEmphasis"/>
          <w:rFonts w:eastAsia="宋体"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宋体"/>
          <w:b w:val="0"/>
          <w:bCs/>
          <w:lang w:eastAsia="zh-CN"/>
        </w:rPr>
      </w:pPr>
      <w:r>
        <w:rPr>
          <w:rStyle w:val="IntenseEmphasis"/>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lastRenderedPageBreak/>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w:t>
      </w:r>
      <w:proofErr w:type="gramStart"/>
      <w:r w:rsidRPr="00067486">
        <w:rPr>
          <w:rFonts w:eastAsia="宋体"/>
          <w:b/>
          <w:bCs/>
          <w:i/>
          <w:iCs/>
          <w:lang w:eastAsia="zh-CN"/>
        </w:rPr>
        <w:t>model based</w:t>
      </w:r>
      <w:proofErr w:type="gramEnd"/>
      <w:r w:rsidRPr="00067486">
        <w:rPr>
          <w:rFonts w:eastAsia="宋体"/>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IntenseEmphasis"/>
          <w:rFonts w:eastAsia="宋体"/>
          <w:b w:val="0"/>
          <w:bCs/>
          <w:lang w:val="en-US" w:eastAsia="zh-CN"/>
        </w:rPr>
      </w:pPr>
    </w:p>
    <w:p w14:paraId="25238B34" w14:textId="45012AC2" w:rsidR="00DD6DF4" w:rsidRDefault="005F6509" w:rsidP="00C041FE">
      <w:pPr>
        <w:rPr>
          <w:rStyle w:val="IntenseEmphasis"/>
          <w:rFonts w:eastAsia="宋体"/>
          <w:b w:val="0"/>
          <w:bCs/>
          <w:lang w:eastAsia="zh-CN"/>
        </w:rPr>
      </w:pPr>
      <w:proofErr w:type="spellStart"/>
      <w:r>
        <w:rPr>
          <w:rStyle w:val="IntenseEmphasis"/>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宋体"/>
          <w:b w:val="0"/>
          <w:bCs/>
          <w:lang w:eastAsia="zh-CN"/>
        </w:rPr>
      </w:pPr>
    </w:p>
    <w:p w14:paraId="79F5EA16" w14:textId="194C355B" w:rsidR="00DD615A" w:rsidRDefault="00DD615A" w:rsidP="00C041FE">
      <w:pPr>
        <w:rPr>
          <w:rStyle w:val="IntenseEmphasis"/>
          <w:rFonts w:eastAsia="宋体"/>
          <w:b w:val="0"/>
          <w:bCs/>
          <w:lang w:eastAsia="zh-CN"/>
        </w:rPr>
      </w:pPr>
      <w:r>
        <w:rPr>
          <w:rStyle w:val="IntenseEmphasis"/>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w:t>
      </w:r>
      <w:proofErr w:type="gramStart"/>
      <w:r w:rsidRPr="00DC4F5F">
        <w:rPr>
          <w:rFonts w:hint="eastAsia"/>
          <w:bCs w:val="0"/>
          <w:sz w:val="22"/>
          <w:szCs w:val="22"/>
        </w:rPr>
        <w:t>side(</w:t>
      </w:r>
      <w:proofErr w:type="gramEnd"/>
      <w:r w:rsidRPr="00DC4F5F">
        <w:rPr>
          <w:rFonts w:hint="eastAsia"/>
          <w:bCs w:val="0"/>
          <w:sz w:val="22"/>
          <w:szCs w:val="22"/>
        </w:rPr>
        <w:t xml:space="preserv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 xml:space="preserve">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lastRenderedPageBreak/>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 xml:space="preserve">dataset or </w:t>
            </w:r>
            <w:r w:rsidRPr="00BB311D">
              <w:rPr>
                <w:sz w:val="20"/>
                <w:lang w:eastAsia="zh-CN"/>
              </w:rPr>
              <w:lastRenderedPageBreak/>
              <w:t>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w:t>
            </w:r>
            <w:r w:rsidRPr="00BB311D">
              <w:rPr>
                <w:sz w:val="20"/>
                <w:lang w:eastAsia="zh-CN"/>
              </w:rPr>
              <w:lastRenderedPageBreak/>
              <w:t xml:space="preserve">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lastRenderedPageBreak/>
              <w:t xml:space="preserve">Might feasible if </w:t>
            </w:r>
            <w:r w:rsidRPr="00BB311D">
              <w:rPr>
                <w:rFonts w:eastAsiaTheme="minorEastAsia" w:hint="eastAsia"/>
                <w:sz w:val="20"/>
                <w:lang w:eastAsia="zh-CN"/>
              </w:rPr>
              <w:t xml:space="preserve">dataset or information related to collecting dataset is transferred </w:t>
            </w:r>
            <w:r w:rsidRPr="00BB311D">
              <w:rPr>
                <w:rFonts w:eastAsiaTheme="minorEastAsia" w:hint="eastAsia"/>
                <w:sz w:val="20"/>
                <w:lang w:eastAsia="zh-CN"/>
              </w:rPr>
              <w:lastRenderedPageBreak/>
              <w:t>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t>
            </w:r>
            <w:r w:rsidRPr="00BB311D">
              <w:rPr>
                <w:rFonts w:hint="eastAsia"/>
                <w:sz w:val="20"/>
                <w:lang w:eastAsia="zh-CN"/>
              </w:rPr>
              <w:lastRenderedPageBreak/>
              <w:t>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IntenseEmphasis"/>
          <w:rFonts w:eastAsia="宋体"/>
          <w:b w:val="0"/>
          <w:bCs/>
          <w:lang w:eastAsia="zh-CN"/>
        </w:rPr>
      </w:pPr>
      <w:r>
        <w:rPr>
          <w:rStyle w:val="IntenseEmphasis"/>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宋体"/>
          <w:b w:val="0"/>
          <w:bCs/>
          <w:lang w:eastAsia="zh-CN"/>
        </w:rPr>
      </w:pPr>
    </w:p>
    <w:p w14:paraId="047F8FE6" w14:textId="58BE05A4" w:rsidR="009F6342" w:rsidRDefault="009F6342" w:rsidP="00C041FE">
      <w:pPr>
        <w:rPr>
          <w:rStyle w:val="IntenseEmphasis"/>
          <w:rFonts w:eastAsia="宋体"/>
          <w:b w:val="0"/>
          <w:bCs/>
          <w:lang w:eastAsia="zh-CN"/>
        </w:rPr>
      </w:pPr>
      <w:r>
        <w:rPr>
          <w:rStyle w:val="IntenseEmphasis"/>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宋体"/>
          <w:b w:val="0"/>
          <w:bCs/>
          <w:lang w:eastAsia="zh-CN"/>
        </w:rPr>
      </w:pPr>
      <w:r>
        <w:rPr>
          <w:rStyle w:val="IntenseEmphasis"/>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宋体"/>
          <w:b w:val="0"/>
          <w:bCs/>
          <w:lang w:eastAsia="zh-CN"/>
        </w:rPr>
      </w:pPr>
      <w:r>
        <w:rPr>
          <w:rStyle w:val="IntenseEmphasis"/>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宋体"/>
          <w:b w:val="0"/>
          <w:bCs/>
          <w:lang w:val="en-US" w:eastAsia="zh-CN"/>
        </w:rPr>
      </w:pPr>
    </w:p>
    <w:p w14:paraId="18A5325E" w14:textId="6E960B18" w:rsidR="00DD6DF4" w:rsidRPr="00D40D04" w:rsidRDefault="00146578" w:rsidP="00C041FE">
      <w:pPr>
        <w:rPr>
          <w:rStyle w:val="IntenseEmphasis"/>
          <w:rFonts w:eastAsia="宋体"/>
          <w:b w:val="0"/>
          <w:bCs/>
          <w:lang w:val="en-US" w:eastAsia="zh-CN"/>
        </w:rPr>
      </w:pPr>
      <w:r>
        <w:rPr>
          <w:rStyle w:val="IntenseEmphasis"/>
          <w:rFonts w:eastAsia="宋体"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0BE6AC34" w14:textId="77777777" w:rsidR="00DD6DF4" w:rsidRDefault="00DD6DF4" w:rsidP="00C041FE">
      <w:pPr>
        <w:rPr>
          <w:rStyle w:val="IntenseEmphasis"/>
          <w:rFonts w:eastAsia="宋体"/>
          <w:b w:val="0"/>
          <w:bCs/>
          <w:lang w:eastAsia="zh-CN"/>
        </w:rPr>
      </w:pPr>
    </w:p>
    <w:p w14:paraId="6660AC6E" w14:textId="27A4B304" w:rsidR="007431BC" w:rsidRDefault="007431BC" w:rsidP="00C041FE">
      <w:pPr>
        <w:rPr>
          <w:rStyle w:val="IntenseEmphasis"/>
          <w:rFonts w:eastAsia="宋体"/>
          <w:b w:val="0"/>
          <w:bCs/>
          <w:lang w:eastAsia="zh-CN"/>
        </w:rPr>
      </w:pPr>
      <w:r>
        <w:rPr>
          <w:rStyle w:val="IntenseEmphasis"/>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宋体"/>
          <w:b w:val="0"/>
          <w:bCs/>
          <w:lang w:eastAsia="zh-CN"/>
        </w:rPr>
      </w:pPr>
    </w:p>
    <w:p w14:paraId="307AB2BC" w14:textId="6345709E" w:rsidR="00FC1B19" w:rsidRDefault="00FC1B19" w:rsidP="00C041FE">
      <w:pPr>
        <w:rPr>
          <w:rStyle w:val="IntenseEmphasis"/>
          <w:rFonts w:eastAsia="宋体"/>
          <w:b w:val="0"/>
          <w:bCs/>
          <w:lang w:eastAsia="zh-CN"/>
        </w:rPr>
      </w:pPr>
      <w:r>
        <w:rPr>
          <w:rStyle w:val="IntenseEmphasis"/>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宋体"/>
          <w:b w:val="0"/>
          <w:bCs/>
          <w:lang w:eastAsia="zh-CN"/>
        </w:rPr>
      </w:pPr>
    </w:p>
    <w:p w14:paraId="07FD6232" w14:textId="53B03402" w:rsidR="00B75396" w:rsidRDefault="00B75396" w:rsidP="00C041FE">
      <w:pPr>
        <w:rPr>
          <w:rStyle w:val="IntenseEmphasis"/>
          <w:rFonts w:eastAsia="宋体"/>
          <w:b w:val="0"/>
          <w:bCs/>
          <w:lang w:eastAsia="zh-CN"/>
        </w:rPr>
      </w:pPr>
      <w:r>
        <w:rPr>
          <w:rStyle w:val="IntenseEmphasis"/>
          <w:rFonts w:eastAsia="宋体"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宋体"/>
          <w:b w:val="0"/>
          <w:bCs/>
          <w:lang w:eastAsia="zh-CN"/>
        </w:rPr>
      </w:pPr>
    </w:p>
    <w:p w14:paraId="2171B6B0" w14:textId="538B3CC1" w:rsidR="00F55538" w:rsidRDefault="00F55538" w:rsidP="00C041FE">
      <w:pPr>
        <w:rPr>
          <w:rStyle w:val="IntenseEmphasis"/>
          <w:rFonts w:eastAsia="宋体"/>
          <w:b w:val="0"/>
          <w:bCs/>
          <w:lang w:eastAsia="zh-CN"/>
        </w:rPr>
      </w:pPr>
      <w:r>
        <w:rPr>
          <w:rStyle w:val="IntenseEmphasis"/>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宋体"/>
          <w:b w:val="0"/>
          <w:bCs/>
          <w:lang w:eastAsia="zh-CN"/>
        </w:rPr>
      </w:pPr>
    </w:p>
    <w:p w14:paraId="60FC7C72" w14:textId="2983A228" w:rsidR="006A112A" w:rsidRDefault="006A112A" w:rsidP="00C041FE">
      <w:pPr>
        <w:rPr>
          <w:rStyle w:val="IntenseEmphasis"/>
          <w:rFonts w:eastAsia="宋体"/>
          <w:b w:val="0"/>
          <w:bCs/>
          <w:lang w:eastAsia="zh-CN"/>
        </w:rPr>
      </w:pPr>
      <w:r>
        <w:rPr>
          <w:rStyle w:val="IntenseEmphasis"/>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宋体"/>
          <w:b w:val="0"/>
          <w:bCs/>
          <w:lang w:val="en-US" w:eastAsia="zh-CN"/>
        </w:rPr>
      </w:pPr>
    </w:p>
    <w:p w14:paraId="680ABD1D" w14:textId="47A16122" w:rsidR="00C5651A" w:rsidRDefault="003B3431" w:rsidP="00C041FE">
      <w:pPr>
        <w:rPr>
          <w:rStyle w:val="IntenseEmphasis"/>
          <w:rFonts w:eastAsia="宋体"/>
          <w:b w:val="0"/>
          <w:bCs/>
          <w:lang w:val="en-US" w:eastAsia="zh-CN"/>
        </w:rPr>
      </w:pPr>
      <w:r>
        <w:rPr>
          <w:rStyle w:val="IntenseEmphasis"/>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宋体"/>
          <w:b w:val="0"/>
          <w:bCs/>
          <w:lang w:eastAsia="zh-CN"/>
        </w:rPr>
      </w:pPr>
    </w:p>
    <w:p w14:paraId="2D91D4D0" w14:textId="2EC54ABB" w:rsidR="00A403AD" w:rsidRDefault="00A403AD" w:rsidP="00C041FE">
      <w:pPr>
        <w:rPr>
          <w:rStyle w:val="IntenseEmphasis"/>
          <w:rFonts w:eastAsia="宋体"/>
          <w:b w:val="0"/>
          <w:bCs/>
          <w:lang w:eastAsia="zh-CN"/>
        </w:rPr>
      </w:pPr>
      <w:r>
        <w:rPr>
          <w:rStyle w:val="IntenseEmphasis"/>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宋体"/>
          <w:b w:val="0"/>
          <w:bCs/>
          <w:lang w:eastAsia="zh-CN"/>
        </w:rPr>
      </w:pPr>
    </w:p>
    <w:p w14:paraId="3B4EA20D" w14:textId="030EEB17" w:rsidR="005A7FFD" w:rsidRDefault="005A7FFD" w:rsidP="00C041FE">
      <w:pPr>
        <w:rPr>
          <w:rStyle w:val="IntenseEmphasis"/>
          <w:rFonts w:eastAsia="宋体"/>
          <w:b w:val="0"/>
          <w:bCs/>
          <w:lang w:eastAsia="zh-CN"/>
        </w:rPr>
      </w:pPr>
      <w:r w:rsidRPr="005A7FFD">
        <w:rPr>
          <w:rStyle w:val="IntenseEmphasis"/>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宋体"/>
          <w:b w:val="0"/>
          <w:bCs/>
          <w:lang w:eastAsia="zh-CN"/>
        </w:rPr>
      </w:pPr>
    </w:p>
    <w:p w14:paraId="6DF9FBC2" w14:textId="06E493FA" w:rsidR="004C5C4B" w:rsidRDefault="004C5C4B" w:rsidP="00C041FE">
      <w:pPr>
        <w:rPr>
          <w:rStyle w:val="IntenseEmphasis"/>
          <w:rFonts w:eastAsia="宋体"/>
          <w:b w:val="0"/>
          <w:bCs/>
          <w:lang w:eastAsia="zh-CN"/>
        </w:rPr>
      </w:pPr>
      <w:r>
        <w:rPr>
          <w:rStyle w:val="IntenseEmphasis"/>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宋体"/>
          <w:b w:val="0"/>
          <w:bCs/>
          <w:lang w:eastAsia="zh-CN"/>
        </w:rPr>
      </w:pPr>
    </w:p>
    <w:p w14:paraId="446D6B27" w14:textId="4DE370B9" w:rsidR="007F66B5" w:rsidRDefault="007F66B5" w:rsidP="00C041FE">
      <w:pPr>
        <w:rPr>
          <w:rStyle w:val="IntenseEmphasis"/>
          <w:rFonts w:eastAsia="宋体"/>
          <w:b w:val="0"/>
          <w:bCs/>
          <w:lang w:eastAsia="zh-CN"/>
        </w:rPr>
      </w:pPr>
      <w:r>
        <w:rPr>
          <w:rStyle w:val="IntenseEmphasis"/>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宋体"/>
          <w:b w:val="0"/>
          <w:bCs/>
          <w:lang w:val="en-US" w:eastAsia="zh-CN"/>
        </w:rPr>
      </w:pPr>
    </w:p>
    <w:p w14:paraId="66112014" w14:textId="2155F7CE" w:rsidR="00891627" w:rsidRDefault="00891627" w:rsidP="00C041FE">
      <w:pPr>
        <w:rPr>
          <w:rStyle w:val="IntenseEmphasis"/>
          <w:rFonts w:eastAsia="宋体"/>
          <w:b w:val="0"/>
          <w:bCs/>
          <w:lang w:val="en-US" w:eastAsia="zh-CN"/>
        </w:rPr>
      </w:pPr>
      <w:proofErr w:type="spellStart"/>
      <w:r>
        <w:rPr>
          <w:rStyle w:val="IntenseEmphasis"/>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宋体"/>
          <w:b w:val="0"/>
          <w:bCs/>
          <w:lang w:eastAsia="zh-CN"/>
        </w:rPr>
      </w:pPr>
    </w:p>
    <w:p w14:paraId="6180A48E" w14:textId="77777777" w:rsidR="00891627" w:rsidRDefault="00891627" w:rsidP="00C041FE">
      <w:pPr>
        <w:rPr>
          <w:rStyle w:val="IntenseEmphasis"/>
          <w:rFonts w:eastAsia="宋体"/>
          <w:b w:val="0"/>
          <w:bCs/>
          <w:lang w:val="en-US" w:eastAsia="zh-CN"/>
        </w:rPr>
      </w:pPr>
    </w:p>
    <w:p w14:paraId="4EB367D3" w14:textId="1EFC277E" w:rsidR="00F27F08" w:rsidRDefault="00F27F08" w:rsidP="00C041FE">
      <w:pPr>
        <w:rPr>
          <w:rStyle w:val="IntenseEmphasis"/>
          <w:rFonts w:eastAsia="宋体"/>
          <w:b w:val="0"/>
          <w:bCs/>
          <w:lang w:val="en-US" w:eastAsia="zh-CN"/>
        </w:rPr>
      </w:pPr>
      <w:r>
        <w:rPr>
          <w:rStyle w:val="IntenseEmphasis"/>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宋体"/>
          <w:b w:val="0"/>
          <w:bCs/>
          <w:lang w:val="en-US" w:eastAsia="zh-CN"/>
        </w:rPr>
      </w:pPr>
    </w:p>
    <w:p w14:paraId="226C9921" w14:textId="77777777" w:rsidR="00C5651A" w:rsidRPr="006A112A" w:rsidRDefault="00C5651A" w:rsidP="00C041FE">
      <w:pPr>
        <w:rPr>
          <w:rStyle w:val="IntenseEmphasis"/>
          <w:rFonts w:eastAsia="宋体"/>
          <w:b w:val="0"/>
          <w:bCs/>
          <w:lang w:val="en-US" w:eastAsia="zh-CN"/>
        </w:rPr>
      </w:pPr>
    </w:p>
    <w:p w14:paraId="00555B45" w14:textId="77777777" w:rsidR="00D051AF" w:rsidRPr="008033D4" w:rsidRDefault="00D051AF" w:rsidP="00C041FE">
      <w:pPr>
        <w:rPr>
          <w:rStyle w:val="IntenseEmphasis"/>
          <w:rFonts w:eastAsia="宋体"/>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hint="eastAsia"/>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lastRenderedPageBreak/>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 xml:space="preserve">confirmation and whether such confirmation would block RAN1 progress. </w:t>
            </w:r>
            <w:proofErr w:type="gramStart"/>
            <w:r w:rsidR="005149DB">
              <w:rPr>
                <w:rFonts w:eastAsia="宋体"/>
                <w:iCs/>
                <w:lang w:eastAsia="zh-CN"/>
              </w:rPr>
              <w:t>Thus</w:t>
            </w:r>
            <w:proofErr w:type="gramEnd"/>
            <w:r w:rsidR="005149DB">
              <w:rPr>
                <w:rFonts w:eastAsia="宋体"/>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 xml:space="preserve">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w:t>
      </w:r>
      <w:r>
        <w:lastRenderedPageBreak/>
        <w:t>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lastRenderedPageBreak/>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7777777" w:rsidR="00667F8D" w:rsidRDefault="00667F8D" w:rsidP="00667F8D">
            <w:pPr>
              <w:rPr>
                <w:iCs/>
              </w:rPr>
            </w:pPr>
          </w:p>
        </w:tc>
        <w:tc>
          <w:tcPr>
            <w:tcW w:w="7555" w:type="dxa"/>
          </w:tcPr>
          <w:p w14:paraId="24B19FC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宋体"/>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proofErr w:type="spellStart"/>
      <w:r w:rsidRPr="00111C8D">
        <w:rPr>
          <w:rStyle w:val="IntenseEmphasis"/>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lastRenderedPageBreak/>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lastRenderedPageBreak/>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lastRenderedPageBreak/>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lastRenderedPageBreak/>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lastRenderedPageBreak/>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lastRenderedPageBreak/>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lastRenderedPageBreak/>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lastRenderedPageBreak/>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宋体"/>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proofErr w:type="spellStart"/>
      <w:r w:rsidRPr="00280116">
        <w:rPr>
          <w:rStyle w:val="IntenseEmphasis"/>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lastRenderedPageBreak/>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proofErr w:type="spellStart"/>
      <w:r>
        <w:rPr>
          <w:rStyle w:val="IntenseEmphasis"/>
          <w:bCs/>
        </w:rPr>
        <w:t>Tejas</w:t>
      </w:r>
      <w:proofErr w:type="spellEnd"/>
      <w:r>
        <w:rPr>
          <w:rStyle w:val="IntenseEmphasis"/>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lastRenderedPageBreak/>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Conclude that i</w:t>
      </w:r>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lastRenderedPageBreak/>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 xml:space="preserve">Monitoring methods (both NW and UE side) can help to facilitate inter-vendor training collaborations, e.g., thorough identifying the cause of performance </w:t>
      </w:r>
      <w:r w:rsidRPr="00CF7A31">
        <w:rPr>
          <w:rFonts w:eastAsiaTheme="minorEastAsia"/>
          <w:b/>
          <w:szCs w:val="21"/>
          <w:lang w:eastAsia="zh-CN"/>
        </w:rPr>
        <w:lastRenderedPageBreak/>
        <w:t>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ListParagraph"/>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lastRenderedPageBreak/>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lastRenderedPageBreak/>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b/>
                <w:bCs/>
                <w:sz w:val="16"/>
                <w:szCs w:val="16"/>
                <w:lang w:eastAsia="zh-CN"/>
              </w:rPr>
              <w:lastRenderedPageBreak/>
              <w:t>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lastRenderedPageBreak/>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lastRenderedPageBreak/>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lastRenderedPageBreak/>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lastRenderedPageBreak/>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Inaccurate w/ non-AI/ML channel estimation</w:t>
            </w:r>
            <w:r>
              <w:rPr>
                <w:rFonts w:eastAsia="宋体" w:hint="eastAsia"/>
                <w:sz w:val="22"/>
                <w:szCs w:val="22"/>
                <w:lang w:val="en-US"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Direct </w:t>
            </w:r>
            <w:proofErr w:type="gramStart"/>
            <w:r w:rsidRPr="00346E6C">
              <w:rPr>
                <w:rFonts w:eastAsia="宋体"/>
                <w:sz w:val="22"/>
                <w:szCs w:val="22"/>
                <w:lang w:val="en-US" w:eastAsia="zh-CN"/>
              </w:rPr>
              <w:t>monitoring  output</w:t>
            </w:r>
            <w:proofErr w:type="gramEnd"/>
            <w:r w:rsidRPr="00346E6C">
              <w:rPr>
                <w:rFonts w:eastAsia="宋体"/>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lastRenderedPageBreak/>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lastRenderedPageBreak/>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lastRenderedPageBreak/>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lastRenderedPageBreak/>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lastRenderedPageBreak/>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ListParagraph"/>
              <w:numPr>
                <w:ilvl w:val="0"/>
                <w:numId w:val="125"/>
              </w:numPr>
              <w:spacing w:after="120"/>
              <w:jc w:val="left"/>
            </w:pPr>
            <w:r>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lastRenderedPageBreak/>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lastRenderedPageBreak/>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lastRenderedPageBreak/>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lastRenderedPageBreak/>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lastRenderedPageBreak/>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xml:space="preserve">. From performance perspective, it is clear that higher resolution benefits to monitoring accuracy. Let’s consider an extreme example, </w:t>
            </w:r>
            <w:r>
              <w:rPr>
                <w:rFonts w:eastAsia="宋体"/>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hint="eastAsia"/>
                <w:iCs/>
                <w:lang w:eastAsia="zh-CN"/>
              </w:rPr>
            </w:pPr>
            <w:bookmarkStart w:id="334" w:name="_GoBack" w:colFirst="0" w:colLast="-1"/>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bookmarkEnd w:id="334"/>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宋体"/>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proofErr w:type="spellStart"/>
      <w:r w:rsidRPr="00C80355">
        <w:rPr>
          <w:rStyle w:val="IntenseEmphasis"/>
        </w:rPr>
        <w:t>Futurewei</w:t>
      </w:r>
      <w:proofErr w:type="spellEnd"/>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lastRenderedPageBreak/>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lastRenderedPageBreak/>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Caption"/>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Caption"/>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6"/>
      <w:bookmarkEnd w:id="347"/>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lastRenderedPageBreak/>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lastRenderedPageBreak/>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lastRenderedPageBreak/>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lastRenderedPageBreak/>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lastRenderedPageBreak/>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lastRenderedPageBreak/>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lastRenderedPageBreak/>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宋体"/>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lastRenderedPageBreak/>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lastRenderedPageBreak/>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宋体"/>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宋体"/>
          <w:lang w:val="en-US" w:eastAsia="zh-CN"/>
        </w:rPr>
      </w:pPr>
      <w:r>
        <w:rPr>
          <w:rStyle w:val="IntenseEmphasis"/>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宋体"/>
          <w:lang w:eastAsia="zh-CN"/>
        </w:rPr>
      </w:pPr>
    </w:p>
    <w:p w14:paraId="449ACA31" w14:textId="77777777" w:rsidR="0054079D" w:rsidRPr="0033630F" w:rsidRDefault="0054079D" w:rsidP="0054079D">
      <w:pPr>
        <w:rPr>
          <w:rStyle w:val="IntenseEmphasis"/>
          <w:rFonts w:eastAsia="宋体"/>
          <w:lang w:val="en-US" w:eastAsia="zh-CN"/>
        </w:rPr>
      </w:pPr>
      <w:r w:rsidRPr="0033630F">
        <w:rPr>
          <w:rStyle w:val="IntenseEmphasis"/>
          <w:rFonts w:eastAsia="宋体"/>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宋体"/>
          <w:b w:val="0"/>
          <w:lang w:eastAsia="zh-CN"/>
        </w:rPr>
      </w:pPr>
      <w:r>
        <w:rPr>
          <w:rStyle w:val="IntenseEmphasis"/>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宋体"/>
          <w:b w:val="0"/>
          <w:lang w:eastAsia="zh-CN"/>
        </w:rPr>
      </w:pPr>
    </w:p>
    <w:p w14:paraId="4B7CCC18" w14:textId="77777777" w:rsidR="0054079D" w:rsidRDefault="0054079D" w:rsidP="0054079D">
      <w:pPr>
        <w:rPr>
          <w:rStyle w:val="IntenseEmphasis"/>
          <w:rFonts w:eastAsia="宋体"/>
          <w:b w:val="0"/>
          <w:lang w:eastAsia="zh-CN"/>
        </w:rPr>
      </w:pPr>
      <w:r>
        <w:rPr>
          <w:rStyle w:val="IntenseEmphasis"/>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IntenseEmphasis"/>
          <w:rFonts w:eastAsia="宋体"/>
          <w:b w:val="0"/>
          <w:lang w:val="en-US" w:eastAsia="zh-CN"/>
        </w:rPr>
      </w:pPr>
    </w:p>
    <w:p w14:paraId="7F77E69D" w14:textId="77777777" w:rsidR="0054079D" w:rsidRPr="00D27055" w:rsidRDefault="0054079D" w:rsidP="0054079D">
      <w:pPr>
        <w:rPr>
          <w:rStyle w:val="IntenseEmphasis"/>
          <w:rFonts w:eastAsia="宋体"/>
          <w:b w:val="0"/>
          <w:lang w:eastAsia="zh-CN"/>
        </w:rPr>
      </w:pPr>
      <w:proofErr w:type="spellStart"/>
      <w:r w:rsidRPr="00D27055">
        <w:rPr>
          <w:rStyle w:val="IntenseEmphasis"/>
          <w:rFonts w:eastAsia="宋体"/>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宋体"/>
          <w:lang w:eastAsia="zh-CN"/>
        </w:rPr>
      </w:pPr>
    </w:p>
    <w:p w14:paraId="2790F793" w14:textId="77777777" w:rsidR="0054079D" w:rsidRPr="006D22FF" w:rsidRDefault="0054079D" w:rsidP="0054079D">
      <w:pPr>
        <w:rPr>
          <w:rStyle w:val="IntenseEmphasis"/>
          <w:rFonts w:eastAsia="宋体"/>
          <w:lang w:eastAsia="zh-CN"/>
        </w:rPr>
      </w:pPr>
      <w:proofErr w:type="spellStart"/>
      <w:r w:rsidRPr="006D22FF">
        <w:rPr>
          <w:rStyle w:val="IntenseEmphasis"/>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宋体"/>
          <w:b w:val="0"/>
          <w:lang w:eastAsia="zh-CN"/>
        </w:rPr>
      </w:pPr>
      <w:r w:rsidRPr="00CE566E">
        <w:rPr>
          <w:rStyle w:val="IntenseEmphasis"/>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宋体"/>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lastRenderedPageBreak/>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lastRenderedPageBreak/>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ListParagraph"/>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C51E" w14:textId="77777777" w:rsidR="00C22899" w:rsidRDefault="00C22899" w:rsidP="00E25422">
      <w:r>
        <w:separator/>
      </w:r>
    </w:p>
  </w:endnote>
  <w:endnote w:type="continuationSeparator" w:id="0">
    <w:p w14:paraId="4CDBDEF2" w14:textId="77777777" w:rsidR="00C22899" w:rsidRDefault="00C22899" w:rsidP="00E25422">
      <w:r>
        <w:continuationSeparator/>
      </w:r>
    </w:p>
  </w:endnote>
  <w:endnote w:type="continuationNotice" w:id="1">
    <w:p w14:paraId="146C0E10" w14:textId="77777777" w:rsidR="00C22899" w:rsidRDefault="00C22899"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OpenSymbol">
    <w:altName w:val="MS Mincho"/>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A3EE" w14:textId="77777777" w:rsidR="00C22899" w:rsidRDefault="00C22899" w:rsidP="00E25422">
      <w:r>
        <w:separator/>
      </w:r>
    </w:p>
  </w:footnote>
  <w:footnote w:type="continuationSeparator" w:id="0">
    <w:p w14:paraId="08EAEE58" w14:textId="77777777" w:rsidR="00C22899" w:rsidRDefault="00C22899" w:rsidP="00E25422">
      <w:r>
        <w:continuationSeparator/>
      </w:r>
    </w:p>
  </w:footnote>
  <w:footnote w:type="continuationNotice" w:id="1">
    <w:p w14:paraId="4D4B9424" w14:textId="77777777" w:rsidR="00C22899" w:rsidRDefault="00C22899"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宋体"/>
      <w:sz w:val="20"/>
      <w:szCs w:val="20"/>
    </w:rPr>
  </w:style>
  <w:style w:type="character" w:styleId="Mention">
    <w:name w:val="Mention"/>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DC029-F37F-445D-9570-F64D8F4D5A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101</TotalTime>
  <Pages>157</Pages>
  <Words>44417</Words>
  <Characters>253181</Characters>
  <Application>Microsoft Office Word</Application>
  <DocSecurity>0</DocSecurity>
  <Lines>2109</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297004</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Yuan</cp:lastModifiedBy>
  <cp:revision>23</cp:revision>
  <dcterms:created xsi:type="dcterms:W3CDTF">2024-08-18T08:46:00Z</dcterms:created>
  <dcterms:modified xsi:type="dcterms:W3CDTF">2024-08-18T12:49:00Z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