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FC569" w14:textId="5E0C56CA" w:rsidR="00704225" w:rsidRPr="00666500" w:rsidRDefault="00704225" w:rsidP="00704225">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 xml:space="preserve">3GPP TSG </w:t>
      </w:r>
      <w:r w:rsidRPr="00666500">
        <w:rPr>
          <w:rFonts w:cs="Arial"/>
          <w:noProof w:val="0"/>
          <w:sz w:val="28"/>
          <w:szCs w:val="28"/>
          <w:lang w:val="en-US"/>
        </w:rPr>
        <w:t>RAN WG1 #11</w:t>
      </w:r>
      <w:r w:rsidR="00FD1EEF" w:rsidRPr="00666500">
        <w:rPr>
          <w:rFonts w:cs="Arial"/>
          <w:noProof w:val="0"/>
          <w:sz w:val="28"/>
          <w:szCs w:val="28"/>
          <w:lang w:val="en-US"/>
        </w:rPr>
        <w:t>9</w:t>
      </w:r>
      <w:r w:rsidRPr="00666500">
        <w:rPr>
          <w:rFonts w:cs="Arial"/>
          <w:noProof w:val="0"/>
          <w:sz w:val="28"/>
          <w:szCs w:val="28"/>
          <w:lang w:val="en-US"/>
        </w:rPr>
        <w:tab/>
        <w:t>R1-</w:t>
      </w:r>
      <w:r w:rsidR="004E3AFE" w:rsidRPr="00666500">
        <w:t xml:space="preserve"> </w:t>
      </w:r>
      <w:r w:rsidR="00107B82" w:rsidRPr="00666500">
        <w:rPr>
          <w:rFonts w:cs="Arial"/>
          <w:noProof w:val="0"/>
          <w:sz w:val="28"/>
          <w:szCs w:val="28"/>
          <w:lang w:val="en-US"/>
        </w:rPr>
        <w:t>24</w:t>
      </w:r>
      <w:r w:rsidR="005B78DD">
        <w:rPr>
          <w:rFonts w:cs="Arial"/>
          <w:noProof w:val="0"/>
          <w:sz w:val="28"/>
          <w:szCs w:val="28"/>
          <w:lang w:val="en-US"/>
        </w:rPr>
        <w:t>1</w:t>
      </w:r>
      <w:r w:rsidR="00666500" w:rsidRPr="00666500">
        <w:rPr>
          <w:rFonts w:cs="Arial"/>
          <w:noProof w:val="0"/>
          <w:sz w:val="28"/>
          <w:szCs w:val="28"/>
          <w:lang w:val="en-US"/>
        </w:rPr>
        <w:t>0437</w:t>
      </w:r>
    </w:p>
    <w:bookmarkEnd w:id="0"/>
    <w:p w14:paraId="18EF3BC8" w14:textId="4FC1E62D" w:rsidR="00CC16F3" w:rsidRPr="00666500" w:rsidRDefault="00FD1EEF" w:rsidP="00704225">
      <w:pPr>
        <w:pStyle w:val="a3"/>
        <w:rPr>
          <w:rFonts w:asciiTheme="majorHAnsi" w:eastAsia="SimSun" w:hAnsiTheme="majorHAnsi" w:cstheme="majorHAnsi"/>
          <w:sz w:val="28"/>
          <w:szCs w:val="28"/>
          <w:lang w:val="en-US" w:eastAsia="zh-CN"/>
        </w:rPr>
      </w:pPr>
      <w:r w:rsidRPr="00666500">
        <w:rPr>
          <w:rFonts w:asciiTheme="majorHAnsi" w:eastAsia="SimSun" w:hAnsiTheme="majorHAnsi" w:cstheme="majorHAnsi"/>
          <w:sz w:val="28"/>
          <w:szCs w:val="28"/>
          <w:lang w:val="en-US" w:eastAsia="zh-CN"/>
        </w:rPr>
        <w:t>Orlando, US, November 18th – 22nd, 2024</w:t>
      </w:r>
    </w:p>
    <w:p w14:paraId="2E7B3FD7" w14:textId="16FE037B"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22FC799B"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C72761" w:rsidRPr="00666500">
        <w:rPr>
          <w:rFonts w:ascii="Arial" w:hAnsi="Arial" w:cs="Arial"/>
          <w:b/>
          <w:sz w:val="28"/>
          <w:szCs w:val="28"/>
          <w:lang w:val="en-US"/>
        </w:rPr>
        <w:t>Support for 3-antenna-port transmission</w:t>
      </w:r>
    </w:p>
    <w:p w14:paraId="26DC8AEB" w14:textId="7009DF1A"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B110B3" w:rsidRPr="00666500">
        <w:rPr>
          <w:rFonts w:ascii="Arial" w:eastAsiaTheme="minorEastAsia" w:hAnsi="Arial" w:cs="Arial"/>
          <w:b/>
          <w:sz w:val="28"/>
          <w:szCs w:val="28"/>
          <w:lang w:val="pt-BR"/>
        </w:rPr>
        <w:t>9.2</w:t>
      </w:r>
      <w:r w:rsidR="001E0623" w:rsidRPr="00666500">
        <w:rPr>
          <w:rFonts w:ascii="Arial" w:eastAsiaTheme="minorEastAsia" w:hAnsi="Arial" w:cs="Arial"/>
          <w:b/>
          <w:sz w:val="28"/>
          <w:szCs w:val="28"/>
          <w:lang w:val="pt-BR"/>
        </w:rPr>
        <w:t>.</w:t>
      </w:r>
      <w:r w:rsidR="00C72761" w:rsidRPr="00666500">
        <w:rPr>
          <w:rFonts w:ascii="Arial" w:eastAsiaTheme="minorEastAsia" w:hAnsi="Arial" w:cs="Arial" w:hint="eastAsia"/>
          <w:b/>
          <w:sz w:val="28"/>
          <w:szCs w:val="28"/>
          <w:lang w:val="pt-BR"/>
        </w:rPr>
        <w:t>3</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2" w:name="DocumentFor"/>
      <w:bookmarkEnd w:id="2"/>
      <w:r w:rsidR="00DF7448" w:rsidRPr="00666500">
        <w:rPr>
          <w:rFonts w:ascii="Arial" w:hAnsi="Arial" w:cs="Arial" w:hint="eastAsia"/>
          <w:b/>
          <w:sz w:val="28"/>
          <w:szCs w:val="28"/>
          <w:lang w:val="en-US"/>
        </w:rPr>
        <w:t xml:space="preserve"> and Decision</w:t>
      </w:r>
    </w:p>
    <w:bookmarkEnd w:id="1"/>
    <w:p w14:paraId="658F1927" w14:textId="4D7985D2" w:rsidR="00004B52" w:rsidRPr="00666500" w:rsidRDefault="00D74DC6" w:rsidP="005544D4">
      <w:pPr>
        <w:pStyle w:val="10"/>
        <w:adjustRightInd w:val="0"/>
        <w:spacing w:before="100" w:beforeAutospacing="1" w:afterLines="0"/>
        <w:rPr>
          <w:lang w:val="en-US"/>
        </w:rPr>
      </w:pPr>
      <w:r w:rsidRPr="00666500">
        <w:rPr>
          <w:lang w:val="en-US"/>
        </w:rPr>
        <w:t>Background</w:t>
      </w:r>
    </w:p>
    <w:p w14:paraId="2D85A636" w14:textId="77777777" w:rsidR="002A4EC4" w:rsidRPr="00666500" w:rsidRDefault="002A4EC4" w:rsidP="002A4EC4">
      <w:pPr>
        <w:pStyle w:val="Style1"/>
        <w:snapToGrid w:val="0"/>
        <w:spacing w:line="240" w:lineRule="auto"/>
        <w:ind w:firstLine="0"/>
        <w:contextualSpacing w:val="0"/>
        <w:rPr>
          <w:rFonts w:eastAsia="ＭＳ ゴシック"/>
          <w:sz w:val="24"/>
          <w:lang w:val="en-GB" w:eastAsia="ja-JP"/>
        </w:rPr>
      </w:pPr>
      <w:r w:rsidRPr="00666500">
        <w:rPr>
          <w:rFonts w:eastAsia="ＭＳ ゴシック" w:hint="eastAsia"/>
          <w:sz w:val="24"/>
          <w:lang w:val="en-GB" w:eastAsia="ja-JP"/>
        </w:rPr>
        <w:t>I</w:t>
      </w:r>
      <w:r w:rsidRPr="00666500">
        <w:rPr>
          <w:rFonts w:eastAsia="ＭＳ ゴシック"/>
          <w:sz w:val="24"/>
          <w:lang w:val="en-GB" w:eastAsia="ja-JP"/>
        </w:rPr>
        <w:t>n RAN#102 and #105, the working item to enhance NR MIMO operations in Rel-19 was agreed and revised, respectively [1,2].</w:t>
      </w:r>
    </w:p>
    <w:p w14:paraId="7EC8494F" w14:textId="0C928DEF" w:rsidR="00600EA9" w:rsidRPr="00666500" w:rsidRDefault="00600EA9" w:rsidP="00A24545">
      <w:pPr>
        <w:pStyle w:val="Style1"/>
        <w:snapToGrid w:val="0"/>
        <w:spacing w:line="240" w:lineRule="auto"/>
        <w:ind w:firstLine="0"/>
        <w:contextualSpacing w:val="0"/>
        <w:rPr>
          <w:rFonts w:eastAsia="ＭＳ ゴシック"/>
          <w:sz w:val="24"/>
          <w:lang w:val="en-GB" w:eastAsia="ja-JP"/>
        </w:rPr>
      </w:pPr>
      <w:r w:rsidRPr="00666500">
        <w:rPr>
          <w:rFonts w:eastAsia="ＭＳ ゴシック"/>
          <w:sz w:val="24"/>
          <w:lang w:val="en-GB" w:eastAsia="ja-JP"/>
        </w:rPr>
        <w:t>The detailed objective is as follows:</w:t>
      </w:r>
    </w:p>
    <w:p w14:paraId="6DFC39FD" w14:textId="77777777" w:rsidR="002A4EC4" w:rsidRDefault="002A4EC4" w:rsidP="002A4EC4">
      <w:pPr>
        <w:numPr>
          <w:ilvl w:val="0"/>
          <w:numId w:val="42"/>
        </w:numPr>
        <w:spacing w:after="0" w:afterAutospacing="0"/>
        <w:jc w:val="left"/>
        <w:rPr>
          <w:rFonts w:eastAsia="Times New Roman"/>
          <w:szCs w:val="24"/>
          <w:lang w:val="en-US" w:eastAsia="en-US"/>
        </w:rPr>
      </w:pPr>
      <w:r w:rsidRPr="00666500">
        <w:rPr>
          <w:rFonts w:eastAsia="Times New Roman"/>
          <w:szCs w:val="24"/>
          <w:lang w:val="en-US" w:eastAsia="en-US"/>
        </w:rPr>
        <w:t>Specify non-coherent UL codebook to facilitate 3-antenna-port codebook-based transmiss</w:t>
      </w:r>
      <w:r w:rsidRPr="000D100E">
        <w:rPr>
          <w:rFonts w:eastAsia="Times New Roman"/>
          <w:szCs w:val="24"/>
          <w:lang w:val="en-US" w:eastAsia="en-US"/>
        </w:rPr>
        <w:t xml:space="preserve">ions, </w:t>
      </w:r>
      <w:r w:rsidRPr="001A530A">
        <w:rPr>
          <w:rFonts w:eastAsia="Times New Roman"/>
          <w:szCs w:val="24"/>
          <w:lang w:val="en-US" w:eastAsia="en-US"/>
        </w:rPr>
        <w:t xml:space="preserve">enhancement(s) to enable </w:t>
      </w:r>
      <w:r w:rsidRPr="001A530A">
        <w:rPr>
          <w:rFonts w:eastAsia="Times New Roman"/>
          <w:szCs w:val="24"/>
          <w:lang w:eastAsia="en-US"/>
        </w:rPr>
        <w:t>3T6R SRS antenna switching</w:t>
      </w:r>
      <w:r w:rsidRPr="001A530A">
        <w:rPr>
          <w:rFonts w:eastAsia="Times New Roman"/>
          <w:szCs w:val="24"/>
          <w:lang w:val="en-US" w:eastAsia="en-US"/>
        </w:rPr>
        <w:t xml:space="preserve">, as well as UE capability signaling for 3T3R </w:t>
      </w:r>
      <w:r>
        <w:rPr>
          <w:rFonts w:eastAsia="Times New Roman"/>
          <w:szCs w:val="24"/>
          <w:lang w:val="en-US" w:eastAsia="en-US"/>
        </w:rPr>
        <w:t xml:space="preserve">antenna switching </w:t>
      </w:r>
      <w:r w:rsidRPr="001A530A">
        <w:rPr>
          <w:rFonts w:eastAsia="Times New Roman"/>
          <w:szCs w:val="24"/>
          <w:lang w:val="en-US" w:eastAsia="en-US"/>
        </w:rPr>
        <w:t>and 3-antenna-port non-codebook-based transmissions,</w:t>
      </w:r>
      <w:r>
        <w:rPr>
          <w:rFonts w:eastAsia="Times New Roman"/>
          <w:szCs w:val="24"/>
          <w:lang w:val="en-US" w:eastAsia="en-US"/>
        </w:rPr>
        <w:t xml:space="preserve"> </w:t>
      </w:r>
      <w:r w:rsidRPr="000D100E">
        <w:rPr>
          <w:rFonts w:eastAsia="Times New Roman"/>
          <w:szCs w:val="24"/>
          <w:lang w:val="en-US" w:eastAsia="en-US"/>
        </w:rPr>
        <w:t>without enhancement on UL full power transmission and without enhancement on SRS resource</w:t>
      </w:r>
    </w:p>
    <w:p w14:paraId="00499F6B" w14:textId="77777777" w:rsidR="002A4EC4" w:rsidRDefault="002A4EC4" w:rsidP="002A4EC4">
      <w:pPr>
        <w:spacing w:after="0"/>
        <w:ind w:firstLine="720"/>
        <w:rPr>
          <w:rFonts w:eastAsia="Times New Roman"/>
          <w:szCs w:val="24"/>
          <w:lang w:val="en-US" w:eastAsia="en-US"/>
        </w:rPr>
      </w:pPr>
      <w:r>
        <w:rPr>
          <w:rFonts w:eastAsia="Times New Roman"/>
          <w:szCs w:val="24"/>
          <w:lang w:val="en-US" w:eastAsia="en-US"/>
        </w:rPr>
        <w:t>Note: UL full power transmission mode 1 and 2 are not supported.</w:t>
      </w:r>
    </w:p>
    <w:p w14:paraId="23756CC4" w14:textId="77777777" w:rsidR="002A4EC4" w:rsidRPr="000D100E" w:rsidRDefault="002A4EC4" w:rsidP="002A4EC4">
      <w:pPr>
        <w:spacing w:after="0"/>
        <w:ind w:left="720"/>
        <w:rPr>
          <w:rFonts w:eastAsia="Times New Roman"/>
          <w:szCs w:val="24"/>
          <w:lang w:val="en-US" w:eastAsia="en-US"/>
        </w:rPr>
      </w:pPr>
      <w:r w:rsidRPr="001A530A">
        <w:rPr>
          <w:rFonts w:eastAsia="Times New Roman"/>
          <w:szCs w:val="24"/>
          <w:lang w:val="en-US" w:eastAsia="en-US"/>
        </w:rPr>
        <w:t xml:space="preserve">Note: </w:t>
      </w:r>
      <w:r>
        <w:rPr>
          <w:rFonts w:eastAsia="Times New Roman"/>
          <w:szCs w:val="24"/>
          <w:lang w:val="en-US" w:eastAsia="en-US"/>
        </w:rPr>
        <w:t>O</w:t>
      </w:r>
      <w:r>
        <w:rPr>
          <w:rFonts w:eastAsia="Times New Roman"/>
          <w:szCs w:val="24"/>
          <w:lang w:eastAsia="en-US"/>
        </w:rPr>
        <w:t>ther than UE capability signaling, no other enhancement is specified for 3T3R SRS antenna switching.</w:t>
      </w:r>
    </w:p>
    <w:p w14:paraId="693FC75E" w14:textId="6583F83B" w:rsidR="004136BA" w:rsidRPr="002A4EC4" w:rsidRDefault="004136BA" w:rsidP="007252DD">
      <w:pPr>
        <w:spacing w:after="0" w:afterAutospacing="0"/>
        <w:jc w:val="left"/>
        <w:rPr>
          <w:rFonts w:eastAsiaTheme="minorEastAsia"/>
          <w:szCs w:val="24"/>
          <w:lang w:val="en-US"/>
        </w:rPr>
      </w:pPr>
    </w:p>
    <w:p w14:paraId="67B18D45" w14:textId="35BEB088" w:rsidR="002B2AFD" w:rsidRDefault="00C32C7C" w:rsidP="002B2AFD">
      <w:pPr>
        <w:pStyle w:val="10"/>
        <w:spacing w:after="180"/>
      </w:pPr>
      <w:r>
        <w:t>D</w:t>
      </w:r>
      <w:r w:rsidR="002C2DE4">
        <w:t>iscussions</w:t>
      </w:r>
    </w:p>
    <w:tbl>
      <w:tblPr>
        <w:tblStyle w:val="af0"/>
        <w:tblW w:w="0" w:type="auto"/>
        <w:tblLook w:val="04A0" w:firstRow="1" w:lastRow="0" w:firstColumn="1" w:lastColumn="0" w:noHBand="0" w:noVBand="1"/>
      </w:tblPr>
      <w:tblGrid>
        <w:gridCol w:w="9954"/>
      </w:tblGrid>
      <w:tr w:rsidR="002A4EC4" w14:paraId="2383EF70" w14:textId="77777777" w:rsidTr="002A4EC4">
        <w:tc>
          <w:tcPr>
            <w:tcW w:w="9954" w:type="dxa"/>
          </w:tcPr>
          <w:p w14:paraId="4523CD91" w14:textId="77777777" w:rsidR="00FD1EEF" w:rsidRPr="00FD1EEF" w:rsidRDefault="00FD1EEF" w:rsidP="00FD1EEF">
            <w:pPr>
              <w:spacing w:after="0" w:afterAutospacing="0"/>
              <w:rPr>
                <w:rFonts w:ascii="Times" w:eastAsia="Malgun Gothic" w:hAnsi="Times" w:cs="Times"/>
                <w:b/>
                <w:sz w:val="20"/>
                <w:lang w:eastAsia="ko-KR"/>
              </w:rPr>
            </w:pPr>
            <w:r w:rsidRPr="00FD1EEF">
              <w:rPr>
                <w:rFonts w:ascii="Times" w:eastAsia="Malgun Gothic" w:hAnsi="Times" w:cs="Times" w:hint="eastAsia"/>
                <w:b/>
                <w:sz w:val="20"/>
                <w:highlight w:val="green"/>
                <w:lang w:eastAsia="ko-KR"/>
              </w:rPr>
              <w:t>Agreement</w:t>
            </w:r>
          </w:p>
          <w:p w14:paraId="09921D67" w14:textId="77777777" w:rsidR="00FD1EEF" w:rsidRPr="00FD1EEF" w:rsidRDefault="00FD1EEF" w:rsidP="00FD1EEF">
            <w:pPr>
              <w:snapToGrid/>
              <w:spacing w:after="0" w:afterAutospacing="0"/>
              <w:contextualSpacing/>
              <w:jc w:val="left"/>
              <w:rPr>
                <w:rFonts w:eastAsia="Batang"/>
                <w:iCs/>
                <w:sz w:val="20"/>
                <w:lang w:eastAsia="en-US"/>
              </w:rPr>
            </w:pPr>
            <w:r w:rsidRPr="00FD1EEF">
              <w:rPr>
                <w:rFonts w:eastAsia="Batang"/>
                <w:iCs/>
                <w:sz w:val="20"/>
                <w:lang w:eastAsia="en-US"/>
              </w:rPr>
              <w:t xml:space="preserve">To support 3T6R antenna switching for a 3TX UE, </w:t>
            </w:r>
          </w:p>
          <w:p w14:paraId="457EB735" w14:textId="77777777" w:rsidR="00FD1EEF" w:rsidRPr="00FD1EEF" w:rsidRDefault="00FD1EEF" w:rsidP="00FD1EEF">
            <w:pPr>
              <w:numPr>
                <w:ilvl w:val="0"/>
                <w:numId w:val="44"/>
              </w:numPr>
              <w:snapToGrid/>
              <w:spacing w:after="0" w:afterAutospacing="0"/>
              <w:contextualSpacing/>
              <w:jc w:val="left"/>
              <w:rPr>
                <w:rFonts w:eastAsia="Batang"/>
                <w:iCs/>
                <w:sz w:val="20"/>
                <w:lang w:eastAsia="x-none"/>
              </w:rPr>
            </w:pPr>
            <w:r w:rsidRPr="00FD1EEF">
              <w:rPr>
                <w:rFonts w:eastAsia="Batang"/>
                <w:iCs/>
                <w:sz w:val="20"/>
                <w:lang w:eastAsia="x-none"/>
              </w:rPr>
              <w:t xml:space="preserve">The resourceType for a configured SRS resource set can be one of ‘periodic’, ‘semi-persistent’ and ‘aperiodic’, </w:t>
            </w:r>
          </w:p>
          <w:p w14:paraId="29474E56" w14:textId="77777777" w:rsidR="00FD1EEF" w:rsidRPr="00FD1EEF" w:rsidRDefault="00FD1EEF" w:rsidP="00FD1EEF">
            <w:pPr>
              <w:numPr>
                <w:ilvl w:val="0"/>
                <w:numId w:val="44"/>
              </w:numPr>
              <w:snapToGrid/>
              <w:spacing w:after="0" w:afterAutospacing="0"/>
              <w:contextualSpacing/>
              <w:jc w:val="left"/>
              <w:rPr>
                <w:rFonts w:eastAsia="Batang"/>
                <w:iCs/>
                <w:sz w:val="20"/>
                <w:lang w:eastAsia="x-none"/>
              </w:rPr>
            </w:pPr>
            <w:r w:rsidRPr="00FD1EEF">
              <w:rPr>
                <w:rFonts w:eastAsia="Batang"/>
                <w:iCs/>
                <w:sz w:val="20"/>
                <w:lang w:eastAsia="x-none"/>
              </w:rPr>
              <w:t xml:space="preserve">Reuse the principles used for 4T8R, i.e., </w:t>
            </w:r>
          </w:p>
          <w:p w14:paraId="2F950A2B" w14:textId="77777777" w:rsidR="00FD1EEF" w:rsidRPr="00FD1EEF" w:rsidRDefault="00FD1EEF" w:rsidP="00FD1EEF">
            <w:pPr>
              <w:numPr>
                <w:ilvl w:val="1"/>
                <w:numId w:val="44"/>
              </w:numPr>
              <w:snapToGrid/>
              <w:spacing w:after="0" w:afterAutospacing="0"/>
              <w:contextualSpacing/>
              <w:jc w:val="left"/>
              <w:rPr>
                <w:rFonts w:eastAsia="Batang"/>
                <w:iCs/>
                <w:sz w:val="20"/>
                <w:lang w:eastAsia="x-none"/>
              </w:rPr>
            </w:pPr>
            <w:r w:rsidRPr="00FD1EEF">
              <w:rPr>
                <w:rFonts w:eastAsia="Batang"/>
                <w:iCs/>
                <w:sz w:val="20"/>
                <w:lang w:eastAsia="x-none"/>
              </w:rPr>
              <w:t xml:space="preserve">For </w:t>
            </w:r>
            <w:r w:rsidRPr="00FD1EEF">
              <w:rPr>
                <w:rFonts w:eastAsia="Batang"/>
                <w:iCs/>
                <w:strike/>
                <w:sz w:val="20"/>
                <w:lang w:eastAsia="x-none"/>
              </w:rPr>
              <w:t>4T8R</w:t>
            </w:r>
            <w:r w:rsidRPr="00FD1EEF">
              <w:rPr>
                <w:rFonts w:eastAsia="Batang"/>
                <w:iCs/>
                <w:sz w:val="20"/>
                <w:lang w:eastAsia="x-none"/>
              </w:rPr>
              <w:t xml:space="preserve"> </w:t>
            </w:r>
            <w:r w:rsidRPr="00FD1EEF">
              <w:rPr>
                <w:rFonts w:eastAsia="Batang"/>
                <w:iCs/>
                <w:color w:val="FF0000"/>
                <w:sz w:val="20"/>
                <w:lang w:eastAsia="x-none"/>
              </w:rPr>
              <w:t>3T6R</w:t>
            </w:r>
            <w:r w:rsidRPr="00FD1EEF">
              <w:rPr>
                <w:rFonts w:eastAsia="Batang"/>
                <w:iCs/>
                <w:sz w:val="20"/>
                <w:lang w:eastAsia="x-none"/>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FD1EEF">
              <w:rPr>
                <w:rFonts w:eastAsia="Times New Roman"/>
                <w:iCs/>
                <w:color w:val="FF0000"/>
                <w:sz w:val="20"/>
                <w:lang w:eastAsia="x-none"/>
              </w:rPr>
              <w:t xml:space="preserve"> with port 1003 disabled</w:t>
            </w:r>
            <w:r w:rsidRPr="00FD1EEF">
              <w:rPr>
                <w:rFonts w:eastAsia="Batang"/>
                <w:iCs/>
                <w:sz w:val="20"/>
                <w:lang w:eastAsia="x-none"/>
              </w:rPr>
              <w:t>, and the SRS ports of the resource in the set are associated with a different UE antenna ports, or</w:t>
            </w:r>
          </w:p>
          <w:p w14:paraId="03B3CDB2" w14:textId="77777777" w:rsidR="00FD1EEF" w:rsidRPr="00FD1EEF" w:rsidRDefault="00FD1EEF" w:rsidP="00FD1EEF">
            <w:pPr>
              <w:numPr>
                <w:ilvl w:val="1"/>
                <w:numId w:val="44"/>
              </w:numPr>
              <w:snapToGrid/>
              <w:spacing w:after="0" w:afterAutospacing="0"/>
              <w:contextualSpacing/>
              <w:jc w:val="left"/>
              <w:rPr>
                <w:rFonts w:eastAsia="Batang"/>
                <w:iCs/>
                <w:sz w:val="20"/>
                <w:lang w:eastAsia="x-none"/>
              </w:rPr>
            </w:pPr>
            <w:r w:rsidRPr="00FD1EEF">
              <w:rPr>
                <w:rFonts w:eastAsia="Batang"/>
                <w:iCs/>
                <w:sz w:val="20"/>
                <w:lang w:eastAsia="x-none"/>
              </w:rPr>
              <w:t xml:space="preserve">For </w:t>
            </w:r>
            <w:r w:rsidRPr="00FD1EEF">
              <w:rPr>
                <w:rFonts w:eastAsia="Batang"/>
                <w:iCs/>
                <w:strike/>
                <w:sz w:val="20"/>
                <w:lang w:eastAsia="x-none"/>
              </w:rPr>
              <w:t xml:space="preserve">4T8R </w:t>
            </w:r>
            <w:r w:rsidRPr="00FD1EEF">
              <w:rPr>
                <w:rFonts w:eastAsia="Batang"/>
                <w:iCs/>
                <w:color w:val="FF0000"/>
                <w:sz w:val="20"/>
                <w:lang w:eastAsia="x-none"/>
              </w:rPr>
              <w:t>3T6R</w:t>
            </w:r>
            <w:r w:rsidRPr="00FD1EEF">
              <w:rPr>
                <w:rFonts w:eastAsia="Batang"/>
                <w:iCs/>
                <w:sz w:val="20"/>
                <w:lang w:eastAsia="x-none"/>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FD1EEF">
              <w:rPr>
                <w:rFonts w:eastAsia="Times New Roman"/>
                <w:iCs/>
                <w:color w:val="FF0000"/>
                <w:sz w:val="20"/>
                <w:lang w:eastAsia="x-none"/>
              </w:rPr>
              <w:t xml:space="preserve"> with port 1003 </w:t>
            </w:r>
            <w:r w:rsidRPr="00FD1EEF">
              <w:rPr>
                <w:rFonts w:eastAsia="Times New Roman"/>
                <w:iCs/>
                <w:color w:val="FF0000"/>
                <w:sz w:val="20"/>
                <w:lang w:eastAsia="x-none"/>
              </w:rPr>
              <w:lastRenderedPageBreak/>
              <w:t>disabled</w:t>
            </w:r>
            <w:r w:rsidRPr="00FD1EEF">
              <w:rPr>
                <w:rFonts w:eastAsia="Batang"/>
                <w:iCs/>
                <w:sz w:val="20"/>
                <w:lang w:eastAsia="x-none"/>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23E6D060" w14:textId="77777777" w:rsidR="00FD1EEF" w:rsidRPr="00FD1EEF" w:rsidRDefault="00FD1EEF" w:rsidP="00FD1EEF">
            <w:pPr>
              <w:snapToGrid/>
              <w:spacing w:after="0" w:afterAutospacing="0"/>
              <w:contextualSpacing/>
              <w:jc w:val="left"/>
              <w:rPr>
                <w:rFonts w:eastAsia="Batang"/>
                <w:iCs/>
                <w:sz w:val="20"/>
                <w:lang w:eastAsia="en-US"/>
              </w:rPr>
            </w:pPr>
            <w:r w:rsidRPr="00FD1EEF">
              <w:rPr>
                <w:rFonts w:eastAsia="Batang"/>
                <w:iCs/>
                <w:sz w:val="20"/>
                <w:lang w:eastAsia="en-US"/>
              </w:rPr>
              <w:t>Note: This is not meant to be a text proposal to be captured for the specifications.</w:t>
            </w:r>
          </w:p>
          <w:p w14:paraId="07CAADEC" w14:textId="77777777" w:rsidR="002A4EC4" w:rsidRDefault="002A4EC4" w:rsidP="002A4EC4"/>
          <w:p w14:paraId="2EA48F30" w14:textId="77777777" w:rsidR="00FD1EEF" w:rsidRPr="00FD1EEF" w:rsidRDefault="00FD1EEF" w:rsidP="00FD1EEF">
            <w:pPr>
              <w:spacing w:after="0" w:afterAutospacing="0"/>
              <w:rPr>
                <w:rFonts w:ascii="Times" w:eastAsia="Malgun Gothic" w:hAnsi="Times" w:cs="Times"/>
                <w:b/>
                <w:sz w:val="20"/>
                <w:lang w:eastAsia="ko-KR"/>
              </w:rPr>
            </w:pPr>
            <w:r w:rsidRPr="00FD1EEF">
              <w:rPr>
                <w:rFonts w:ascii="Times" w:eastAsia="Malgun Gothic" w:hAnsi="Times" w:cs="Times" w:hint="eastAsia"/>
                <w:b/>
                <w:sz w:val="20"/>
                <w:highlight w:val="green"/>
                <w:lang w:eastAsia="ko-KR"/>
              </w:rPr>
              <w:t>Agreement</w:t>
            </w:r>
          </w:p>
          <w:p w14:paraId="7A15F1FC" w14:textId="77777777" w:rsidR="00FD1EEF" w:rsidRPr="00FD1EEF" w:rsidRDefault="00FD1EEF" w:rsidP="00FD1EEF">
            <w:pPr>
              <w:snapToGrid/>
              <w:spacing w:after="0" w:afterAutospacing="0"/>
              <w:contextualSpacing/>
              <w:jc w:val="left"/>
              <w:rPr>
                <w:rFonts w:eastAsia="Batang"/>
                <w:iCs/>
                <w:sz w:val="20"/>
                <w:szCs w:val="24"/>
                <w:lang w:eastAsia="en-US"/>
              </w:rPr>
            </w:pPr>
            <w:r w:rsidRPr="00FD1EEF">
              <w:rPr>
                <w:rFonts w:eastAsia="Batang"/>
                <w:iCs/>
                <w:sz w:val="20"/>
                <w:szCs w:val="24"/>
                <w:lang w:eastAsia="en-US"/>
              </w:rPr>
              <w:t xml:space="preserve">To support non-codebook-based PUSCH transmission by a 3TX UE, </w:t>
            </w:r>
          </w:p>
          <w:p w14:paraId="36F150AD" w14:textId="77777777" w:rsidR="00FD1EEF" w:rsidRPr="00FD1EEF" w:rsidRDefault="00FD1EEF" w:rsidP="00FD1EEF">
            <w:pPr>
              <w:numPr>
                <w:ilvl w:val="0"/>
                <w:numId w:val="44"/>
              </w:numPr>
              <w:snapToGrid/>
              <w:spacing w:after="0" w:afterAutospacing="0" w:line="276" w:lineRule="auto"/>
              <w:contextualSpacing/>
              <w:jc w:val="left"/>
              <w:rPr>
                <w:rFonts w:eastAsia="Batang"/>
                <w:iCs/>
                <w:sz w:val="20"/>
                <w:szCs w:val="24"/>
                <w:lang w:eastAsia="en-US"/>
              </w:rPr>
            </w:pPr>
            <w:r w:rsidRPr="00FD1EEF">
              <w:rPr>
                <w:rFonts w:eastAsia="Batang"/>
                <w:iCs/>
                <w:sz w:val="20"/>
                <w:szCs w:val="24"/>
                <w:lang w:eastAsia="en-US"/>
              </w:rPr>
              <w:t>UE reports a capability of up to a maximum of 3 layers.</w:t>
            </w:r>
          </w:p>
          <w:p w14:paraId="62B0C7B3" w14:textId="77777777" w:rsidR="00FD1EEF" w:rsidRPr="00FD1EEF" w:rsidRDefault="00FD1EEF" w:rsidP="00FD1EEF">
            <w:pPr>
              <w:snapToGrid/>
              <w:spacing w:after="0" w:afterAutospacing="0"/>
              <w:jc w:val="left"/>
              <w:rPr>
                <w:rFonts w:ascii="Times" w:eastAsia="Batang" w:hAnsi="Times" w:cs="Times"/>
                <w:iCs/>
                <w:sz w:val="20"/>
                <w:szCs w:val="24"/>
                <w:lang w:eastAsia="ko-KR"/>
              </w:rPr>
            </w:pPr>
          </w:p>
          <w:p w14:paraId="32EA097A" w14:textId="77777777" w:rsidR="00FD1EEF" w:rsidRPr="00FD1EEF" w:rsidRDefault="00FD1EEF" w:rsidP="00FD1EEF">
            <w:pPr>
              <w:snapToGrid/>
              <w:spacing w:after="0" w:afterAutospacing="0"/>
              <w:contextualSpacing/>
              <w:jc w:val="left"/>
              <w:rPr>
                <w:rFonts w:ascii="Times" w:eastAsia="Batang" w:hAnsi="Times" w:cs="Times"/>
                <w:iCs/>
                <w:sz w:val="20"/>
                <w:szCs w:val="24"/>
                <w:lang w:eastAsia="en-US"/>
              </w:rPr>
            </w:pPr>
            <w:r w:rsidRPr="00FD1EEF">
              <w:rPr>
                <w:rFonts w:ascii="Times" w:eastAsia="Batang" w:hAnsi="Times" w:cs="Times"/>
                <w:b/>
                <w:iCs/>
                <w:sz w:val="20"/>
                <w:szCs w:val="24"/>
                <w:lang w:eastAsia="en-US"/>
              </w:rPr>
              <w:t>Conclusion</w:t>
            </w:r>
          </w:p>
          <w:p w14:paraId="577A52ED" w14:textId="77777777" w:rsidR="00FD1EEF" w:rsidRPr="00FD1EEF" w:rsidRDefault="00FD1EEF" w:rsidP="00FD1EEF">
            <w:pPr>
              <w:snapToGrid/>
              <w:spacing w:after="0" w:afterAutospacing="0"/>
              <w:contextualSpacing/>
              <w:jc w:val="left"/>
              <w:rPr>
                <w:rFonts w:ascii="Times" w:eastAsia="Batang" w:hAnsi="Times" w:cs="Times"/>
                <w:iCs/>
                <w:sz w:val="20"/>
                <w:szCs w:val="24"/>
                <w:lang w:eastAsia="en-US"/>
              </w:rPr>
            </w:pPr>
            <w:r w:rsidRPr="00FD1EEF">
              <w:rPr>
                <w:rFonts w:ascii="Times" w:eastAsia="Batang" w:hAnsi="Times" w:cs="Times"/>
                <w:iCs/>
                <w:sz w:val="20"/>
                <w:szCs w:val="24"/>
                <w:lang w:eastAsia="en-US"/>
              </w:rPr>
              <w:t>To support non-codebook-based precoding by a 3TX UE, for SRI indication, re-use the legacy-based solution according to N</w:t>
            </w:r>
            <w:r w:rsidRPr="00FD1EEF">
              <w:rPr>
                <w:rFonts w:ascii="Times" w:eastAsia="Batang" w:hAnsi="Times" w:cs="Times"/>
                <w:iCs/>
                <w:sz w:val="20"/>
                <w:szCs w:val="24"/>
                <w:vertAlign w:val="subscript"/>
                <w:lang w:eastAsia="en-US"/>
              </w:rPr>
              <w:t>SRS</w:t>
            </w:r>
            <w:r w:rsidRPr="00FD1EEF">
              <w:rPr>
                <w:rFonts w:ascii="Times" w:eastAsia="Batang" w:hAnsi="Times" w:cs="Times"/>
                <w:iCs/>
                <w:sz w:val="20"/>
                <w:szCs w:val="24"/>
                <w:lang w:eastAsia="en-US"/>
              </w:rPr>
              <w:t xml:space="preserve"> ≤ </w:t>
            </w:r>
            <w:r w:rsidRPr="00FD1EEF">
              <w:rPr>
                <w:rFonts w:ascii="Times" w:eastAsia="SimSun" w:hAnsi="Times" w:cs="Times"/>
                <w:iCs/>
                <w:sz w:val="20"/>
                <w:szCs w:val="24"/>
                <w:lang w:eastAsia="en-US"/>
              </w:rPr>
              <w:t>maxNumberSRS-ResourcePerSet</w:t>
            </w:r>
            <w:r w:rsidRPr="00FD1EEF">
              <w:rPr>
                <w:rFonts w:ascii="Times" w:eastAsia="Batang" w:hAnsi="Times" w:cs="Times"/>
                <w:iCs/>
                <w:sz w:val="20"/>
                <w:szCs w:val="24"/>
                <w:lang w:eastAsia="en-US"/>
              </w:rPr>
              <w:t>.</w:t>
            </w:r>
          </w:p>
          <w:p w14:paraId="0ACC447D" w14:textId="77777777" w:rsidR="00FD1EEF" w:rsidRPr="00FD1EEF" w:rsidRDefault="00FD1EEF" w:rsidP="00FD1EEF">
            <w:pPr>
              <w:snapToGrid/>
              <w:spacing w:after="0" w:afterAutospacing="0"/>
              <w:jc w:val="left"/>
              <w:rPr>
                <w:rFonts w:ascii="Times" w:eastAsia="Batang" w:hAnsi="Times" w:cs="Times"/>
                <w:sz w:val="20"/>
                <w:szCs w:val="24"/>
                <w:lang w:eastAsia="ko-KR"/>
              </w:rPr>
            </w:pPr>
          </w:p>
          <w:p w14:paraId="596C2296" w14:textId="77777777" w:rsidR="00FD1EEF" w:rsidRPr="00FD1EEF" w:rsidRDefault="00FD1EEF" w:rsidP="00FD1EEF">
            <w:pPr>
              <w:snapToGrid/>
              <w:spacing w:after="0" w:afterAutospacing="0"/>
              <w:contextualSpacing/>
              <w:jc w:val="left"/>
              <w:rPr>
                <w:rFonts w:ascii="Times" w:eastAsia="Batang" w:hAnsi="Times" w:cs="Times"/>
                <w:b/>
                <w:iCs/>
                <w:sz w:val="20"/>
                <w:szCs w:val="24"/>
                <w:lang w:eastAsia="en-US"/>
              </w:rPr>
            </w:pPr>
            <w:r w:rsidRPr="00FD1EEF">
              <w:rPr>
                <w:rFonts w:ascii="Times" w:eastAsia="Batang" w:hAnsi="Times" w:cs="Times"/>
                <w:b/>
                <w:iCs/>
                <w:sz w:val="20"/>
                <w:szCs w:val="24"/>
                <w:lang w:eastAsia="en-US"/>
              </w:rPr>
              <w:t>Conclusion</w:t>
            </w:r>
          </w:p>
          <w:p w14:paraId="2477B0A8" w14:textId="77777777" w:rsidR="00FD1EEF" w:rsidRPr="00FD1EEF" w:rsidRDefault="00FD1EEF" w:rsidP="00FD1EEF">
            <w:pPr>
              <w:snapToGrid/>
              <w:spacing w:after="0" w:afterAutospacing="0"/>
              <w:contextualSpacing/>
              <w:jc w:val="left"/>
              <w:rPr>
                <w:rFonts w:ascii="Times" w:eastAsia="Batang" w:hAnsi="Times" w:cs="Times"/>
                <w:iCs/>
                <w:sz w:val="20"/>
                <w:szCs w:val="24"/>
                <w:lang w:eastAsia="en-US"/>
              </w:rPr>
            </w:pPr>
            <w:r w:rsidRPr="00FD1EEF">
              <w:rPr>
                <w:rFonts w:ascii="Times" w:eastAsia="Batang" w:hAnsi="Times" w:cs="Times"/>
                <w:iCs/>
                <w:sz w:val="20"/>
                <w:szCs w:val="24"/>
                <w:lang w:eastAsia="en-US"/>
              </w:rPr>
              <w:t xml:space="preserve">To support non-codebook-based PUSCH transmission by a 3TX UE, </w:t>
            </w:r>
          </w:p>
          <w:p w14:paraId="1EC0E08B" w14:textId="77777777" w:rsidR="00FD1EEF" w:rsidRPr="00FD1EEF" w:rsidRDefault="00FD1EEF" w:rsidP="00FD1EEF">
            <w:pPr>
              <w:numPr>
                <w:ilvl w:val="0"/>
                <w:numId w:val="44"/>
              </w:numPr>
              <w:snapToGrid/>
              <w:spacing w:after="0" w:afterAutospacing="0"/>
              <w:contextualSpacing/>
              <w:jc w:val="left"/>
              <w:rPr>
                <w:rFonts w:ascii="Times" w:eastAsia="Batang" w:hAnsi="Times" w:cs="Times"/>
                <w:iCs/>
                <w:sz w:val="20"/>
                <w:szCs w:val="24"/>
                <w:lang w:eastAsia="en-US"/>
              </w:rPr>
            </w:pPr>
            <w:r w:rsidRPr="00FD1EEF">
              <w:rPr>
                <w:rFonts w:ascii="Times" w:eastAsia="Batang" w:hAnsi="Times" w:cs="Times"/>
                <w:iCs/>
                <w:sz w:val="20"/>
                <w:szCs w:val="24"/>
                <w:lang w:eastAsia="en-US"/>
              </w:rPr>
              <w:t>For sTRP, a single SRS resource set, with up to N</w:t>
            </w:r>
            <w:r w:rsidRPr="00FD1EEF">
              <w:rPr>
                <w:rFonts w:ascii="Times" w:eastAsia="Batang" w:hAnsi="Times" w:cs="Times"/>
                <w:iCs/>
                <w:sz w:val="20"/>
                <w:szCs w:val="24"/>
                <w:vertAlign w:val="subscript"/>
                <w:lang w:eastAsia="en-US"/>
              </w:rPr>
              <w:t xml:space="preserve">SRS </w:t>
            </w:r>
            <w:r w:rsidRPr="00FD1EEF">
              <w:rPr>
                <w:rFonts w:ascii="Times" w:eastAsia="Batang" w:hAnsi="Times" w:cs="Times"/>
                <w:iCs/>
                <w:sz w:val="20"/>
                <w:szCs w:val="24"/>
                <w:lang w:eastAsia="en-US"/>
              </w:rPr>
              <w:t xml:space="preserve">≤ </w:t>
            </w:r>
            <w:r w:rsidRPr="00FD1EEF">
              <w:rPr>
                <w:rFonts w:ascii="Times" w:eastAsia="SimSun" w:hAnsi="Times" w:cs="Times"/>
                <w:i/>
                <w:sz w:val="20"/>
                <w:szCs w:val="24"/>
                <w:lang w:eastAsia="en-US"/>
              </w:rPr>
              <w:t>maxNumberSRS-ResourcePerSet</w:t>
            </w:r>
            <w:r w:rsidRPr="00FD1EEF">
              <w:rPr>
                <w:rFonts w:ascii="Times" w:eastAsia="SimSun" w:hAnsi="Times" w:cs="Times"/>
                <w:iCs/>
                <w:sz w:val="20"/>
                <w:szCs w:val="24"/>
                <w:lang w:eastAsia="en-US"/>
              </w:rPr>
              <w:t xml:space="preserve"> </w:t>
            </w:r>
            <w:r w:rsidRPr="00FD1EEF">
              <w:rPr>
                <w:rFonts w:ascii="Times" w:eastAsia="Batang" w:hAnsi="Times" w:cs="Times"/>
                <w:iCs/>
                <w:sz w:val="20"/>
                <w:szCs w:val="24"/>
                <w:lang w:eastAsia="en-US"/>
              </w:rPr>
              <w:t>single-port SRS resources, can be configured,</w:t>
            </w:r>
          </w:p>
          <w:p w14:paraId="68730138" w14:textId="77777777" w:rsidR="00FD1EEF" w:rsidRPr="00FD1EEF" w:rsidRDefault="00FD1EEF" w:rsidP="00FD1EEF">
            <w:pPr>
              <w:numPr>
                <w:ilvl w:val="0"/>
                <w:numId w:val="44"/>
              </w:numPr>
              <w:snapToGrid/>
              <w:spacing w:after="0" w:afterAutospacing="0"/>
              <w:contextualSpacing/>
              <w:jc w:val="left"/>
              <w:rPr>
                <w:rFonts w:ascii="Times" w:eastAsia="Batang" w:hAnsi="Times" w:cs="Times"/>
                <w:iCs/>
                <w:sz w:val="20"/>
                <w:szCs w:val="24"/>
                <w:lang w:eastAsia="en-US"/>
              </w:rPr>
            </w:pPr>
            <w:r w:rsidRPr="00FD1EEF">
              <w:rPr>
                <w:rFonts w:ascii="Times" w:eastAsia="Batang" w:hAnsi="Times" w:cs="Times"/>
                <w:iCs/>
                <w:sz w:val="20"/>
                <w:szCs w:val="24"/>
                <w:lang w:eastAsia="en-US"/>
              </w:rPr>
              <w:t xml:space="preserve">For </w:t>
            </w:r>
            <w:r w:rsidRPr="00FD1EEF">
              <w:rPr>
                <w:rFonts w:ascii="Times" w:eastAsia="Times New Roman" w:hAnsi="Times" w:cs="Times"/>
                <w:iCs/>
                <w:sz w:val="20"/>
                <w:szCs w:val="24"/>
                <w:lang w:eastAsia="en-US"/>
              </w:rPr>
              <w:t>Rel-17 M-TRP PUSCH repetition</w:t>
            </w:r>
            <w:r w:rsidRPr="00FD1EEF">
              <w:rPr>
                <w:rFonts w:ascii="Times" w:eastAsia="Batang" w:hAnsi="Times" w:cs="Times"/>
                <w:iCs/>
                <w:sz w:val="20"/>
                <w:szCs w:val="24"/>
                <w:lang w:eastAsia="en-US"/>
              </w:rPr>
              <w:t>, two SRS resource sets, each with up to N</w:t>
            </w:r>
            <w:r w:rsidRPr="00FD1EEF">
              <w:rPr>
                <w:rFonts w:ascii="Times" w:eastAsia="Batang" w:hAnsi="Times" w:cs="Times"/>
                <w:iCs/>
                <w:sz w:val="20"/>
                <w:szCs w:val="24"/>
                <w:vertAlign w:val="subscript"/>
                <w:lang w:eastAsia="en-US"/>
              </w:rPr>
              <w:t xml:space="preserve">SRS </w:t>
            </w:r>
            <w:r w:rsidRPr="00FD1EEF">
              <w:rPr>
                <w:rFonts w:ascii="Times" w:eastAsia="Batang" w:hAnsi="Times" w:cs="Times"/>
                <w:iCs/>
                <w:sz w:val="20"/>
                <w:szCs w:val="24"/>
                <w:lang w:eastAsia="en-US"/>
              </w:rPr>
              <w:t xml:space="preserve">≤ </w:t>
            </w:r>
            <w:r w:rsidRPr="00FD1EEF">
              <w:rPr>
                <w:rFonts w:ascii="Times" w:eastAsia="SimSun" w:hAnsi="Times" w:cs="Times"/>
                <w:i/>
                <w:sz w:val="20"/>
                <w:szCs w:val="24"/>
                <w:lang w:eastAsia="en-US"/>
              </w:rPr>
              <w:t>maxNumberSRS-ResourcePerSet</w:t>
            </w:r>
            <w:r w:rsidRPr="00FD1EEF">
              <w:rPr>
                <w:rFonts w:ascii="Times" w:eastAsia="SimSun" w:hAnsi="Times" w:cs="Times"/>
                <w:iCs/>
                <w:sz w:val="20"/>
                <w:szCs w:val="24"/>
                <w:lang w:eastAsia="en-US"/>
              </w:rPr>
              <w:t xml:space="preserve"> </w:t>
            </w:r>
            <w:r w:rsidRPr="00FD1EEF">
              <w:rPr>
                <w:rFonts w:ascii="Times" w:eastAsia="Batang" w:hAnsi="Times" w:cs="Times"/>
                <w:iCs/>
                <w:sz w:val="20"/>
                <w:szCs w:val="24"/>
                <w:lang w:eastAsia="en-US"/>
              </w:rPr>
              <w:t>single-port SRS resources, can be configured.</w:t>
            </w:r>
          </w:p>
          <w:p w14:paraId="26F1C0F3" w14:textId="77777777" w:rsidR="00FD1EEF" w:rsidRPr="00FD1EEF" w:rsidRDefault="00FD1EEF" w:rsidP="002A4EC4"/>
        </w:tc>
      </w:tr>
    </w:tbl>
    <w:p w14:paraId="1C2E1F72" w14:textId="77777777" w:rsidR="002A4EC4" w:rsidRPr="002A4EC4" w:rsidRDefault="002A4EC4" w:rsidP="002A4EC4"/>
    <w:p w14:paraId="2E0E4B83" w14:textId="1FA3B827" w:rsidR="002A4EC4" w:rsidRDefault="002A4EC4" w:rsidP="002A4EC4">
      <w:pPr>
        <w:pStyle w:val="10"/>
        <w:numPr>
          <w:ilvl w:val="1"/>
          <w:numId w:val="1"/>
        </w:numPr>
        <w:spacing w:after="180"/>
      </w:pPr>
      <w:r>
        <w:rPr>
          <w:rFonts w:hint="eastAsia"/>
        </w:rPr>
        <w:t>3</w:t>
      </w:r>
      <w:r>
        <w:t>T</w:t>
      </w:r>
      <w:r w:rsidR="006351F9">
        <w:t>3</w:t>
      </w:r>
      <w:r>
        <w:t>R</w:t>
      </w:r>
      <w:r w:rsidR="006351F9">
        <w:t>/3T6R</w:t>
      </w:r>
      <w:r>
        <w:t xml:space="preserve"> antenna switching</w:t>
      </w:r>
    </w:p>
    <w:p w14:paraId="518E5A7A" w14:textId="5F2BABF6" w:rsidR="00FD1EEF" w:rsidRDefault="00FD1EEF" w:rsidP="002A4EC4">
      <w:r>
        <w:rPr>
          <w:rFonts w:hint="eastAsia"/>
        </w:rPr>
        <w:t>I</w:t>
      </w:r>
      <w:r>
        <w:t xml:space="preserve">n RAN1#118bis meeting, it was agreed to introduce 3T3R and 3T6R configuration. However, the legacy UE capability such srs-TxSwitch, srs-TxSwitch-v1610, and </w:t>
      </w:r>
      <w:r w:rsidRPr="00FD1EEF">
        <w:t>srs-AntennaSwitchingBeyond4RX-r17</w:t>
      </w:r>
      <w:r>
        <w:t xml:space="preserve"> cannot be report t3r3 and t3r6. Therefore, </w:t>
      </w:r>
      <w:r w:rsidR="00BE3942">
        <w:t>for 3T3R and 3T6R, the UE capability should be extended.</w:t>
      </w:r>
    </w:p>
    <w:p w14:paraId="68B9C238" w14:textId="2565BC41" w:rsidR="00BE3942" w:rsidRPr="00457C2C" w:rsidRDefault="00BE3942" w:rsidP="002A4EC4">
      <w:pPr>
        <w:rPr>
          <w:b/>
          <w:bCs/>
        </w:rPr>
      </w:pPr>
      <w:r w:rsidRPr="00457C2C">
        <w:rPr>
          <w:rFonts w:hint="eastAsia"/>
          <w:b/>
          <w:bCs/>
        </w:rPr>
        <w:t>P</w:t>
      </w:r>
      <w:r w:rsidRPr="00457C2C">
        <w:rPr>
          <w:b/>
          <w:bCs/>
        </w:rPr>
        <w:t>roposal 1: For 3T6R and 3T6R, the legacy UE capability of srs-TxSwitch and srs-AntennaSwitchingBeyond4RX should be extended.</w:t>
      </w:r>
    </w:p>
    <w:tbl>
      <w:tblPr>
        <w:tblStyle w:val="af0"/>
        <w:tblW w:w="0" w:type="auto"/>
        <w:tblLook w:val="04A0" w:firstRow="1" w:lastRow="0" w:firstColumn="1" w:lastColumn="0" w:noHBand="0" w:noVBand="1"/>
      </w:tblPr>
      <w:tblGrid>
        <w:gridCol w:w="9954"/>
      </w:tblGrid>
      <w:tr w:rsidR="00FD1EEF" w14:paraId="1B98A87F" w14:textId="77777777" w:rsidTr="00FD1EEF">
        <w:tc>
          <w:tcPr>
            <w:tcW w:w="9954" w:type="dxa"/>
          </w:tcPr>
          <w:p w14:paraId="57DD04C1" w14:textId="77777777" w:rsidR="00FD1EEF" w:rsidRPr="00FD1EEF" w:rsidRDefault="00FD1EEF" w:rsidP="00FD1EEF">
            <w:pPr>
              <w:keepNext/>
              <w:keepLines/>
              <w:overflowPunct w:val="0"/>
              <w:autoSpaceDE w:val="0"/>
              <w:autoSpaceDN w:val="0"/>
              <w:adjustRightInd w:val="0"/>
              <w:snapToGrid/>
              <w:spacing w:after="0" w:afterAutospacing="0"/>
              <w:jc w:val="left"/>
              <w:textAlignment w:val="baseline"/>
              <w:rPr>
                <w:rFonts w:ascii="Arial" w:eastAsia="Times New Roman" w:hAnsi="Arial"/>
                <w:b/>
                <w:i/>
                <w:sz w:val="18"/>
              </w:rPr>
            </w:pPr>
            <w:r w:rsidRPr="00FD1EEF">
              <w:rPr>
                <w:rFonts w:ascii="Arial" w:eastAsia="Times New Roman" w:hAnsi="Arial"/>
                <w:b/>
                <w:i/>
                <w:sz w:val="18"/>
              </w:rPr>
              <w:lastRenderedPageBreak/>
              <w:t>srs-TxSwitch, srs-TxSwitch-v1610</w:t>
            </w:r>
          </w:p>
          <w:p w14:paraId="550C4677" w14:textId="77777777" w:rsidR="00FD1EEF" w:rsidRPr="00FD1EEF" w:rsidRDefault="00FD1EEF" w:rsidP="00FD1EEF">
            <w:pPr>
              <w:keepNext/>
              <w:keepLines/>
              <w:overflowPunct w:val="0"/>
              <w:autoSpaceDE w:val="0"/>
              <w:autoSpaceDN w:val="0"/>
              <w:adjustRightInd w:val="0"/>
              <w:snapToGrid/>
              <w:spacing w:after="0" w:afterAutospacing="0"/>
              <w:jc w:val="left"/>
              <w:textAlignment w:val="baseline"/>
              <w:rPr>
                <w:rFonts w:ascii="Arial" w:eastAsia="Times New Roman" w:hAnsi="Arial"/>
                <w:sz w:val="18"/>
              </w:rPr>
            </w:pPr>
            <w:r w:rsidRPr="00FD1EEF">
              <w:rPr>
                <w:rFonts w:ascii="Arial" w:eastAsia="Times New Roman" w:hAnsi="Arial"/>
                <w:sz w:val="18"/>
              </w:rPr>
              <w:t>Defines whether UE supports SRS for DL CSI acquisition as defined in clause 6.2.1.2 of TS 38.214 [12]. The capability signalling comprises of the following parameters:</w:t>
            </w:r>
          </w:p>
          <w:p w14:paraId="52F821B7" w14:textId="77777777" w:rsidR="00FD1EEF" w:rsidRPr="00FD1EEF" w:rsidRDefault="00FD1EEF" w:rsidP="00FD1EEF">
            <w:pPr>
              <w:overflowPunct w:val="0"/>
              <w:autoSpaceDE w:val="0"/>
              <w:autoSpaceDN w:val="0"/>
              <w:adjustRightInd w:val="0"/>
              <w:snapToGrid/>
              <w:spacing w:after="180" w:afterAutospacing="0"/>
              <w:ind w:left="568" w:hanging="284"/>
              <w:jc w:val="left"/>
              <w:textAlignment w:val="baseline"/>
              <w:rPr>
                <w:rFonts w:ascii="Arial" w:eastAsia="Times New Roman" w:hAnsi="Arial" w:cs="Arial"/>
                <w:iCs/>
                <w:sz w:val="18"/>
                <w:szCs w:val="18"/>
              </w:rPr>
            </w:pPr>
            <w:r w:rsidRPr="00FD1EEF">
              <w:rPr>
                <w:rFonts w:ascii="Arial" w:eastAsia="Times New Roman" w:hAnsi="Arial" w:cs="Arial"/>
                <w:sz w:val="18"/>
                <w:szCs w:val="18"/>
              </w:rPr>
              <w:t>-</w:t>
            </w:r>
            <w:r w:rsidRPr="00FD1EEF">
              <w:rPr>
                <w:rFonts w:ascii="Arial" w:eastAsia="Times New Roman" w:hAnsi="Arial" w:cs="Arial"/>
                <w:sz w:val="18"/>
                <w:szCs w:val="18"/>
              </w:rPr>
              <w:tab/>
            </w:r>
            <w:r w:rsidRPr="00FD1EEF">
              <w:rPr>
                <w:rFonts w:ascii="Arial" w:eastAsia="Times New Roman" w:hAnsi="Arial" w:cs="Arial"/>
                <w:i/>
                <w:sz w:val="18"/>
                <w:szCs w:val="18"/>
              </w:rPr>
              <w:t>supportedSRS-TxPortSwitch</w:t>
            </w:r>
            <w:r w:rsidRPr="00FD1EEF">
              <w:rPr>
                <w:rFonts w:ascii="Arial" w:eastAsia="Times New Roman"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FD1EEF">
              <w:rPr>
                <w:rFonts w:ascii="Arial" w:eastAsia="Times New Roman" w:hAnsi="Arial" w:cs="Arial"/>
                <w:i/>
                <w:sz w:val="18"/>
                <w:szCs w:val="18"/>
              </w:rPr>
              <w:t>supportedSRS-TxPortSwitch-v1610</w:t>
            </w:r>
            <w:r w:rsidRPr="00FD1EEF">
              <w:rPr>
                <w:rFonts w:ascii="Arial" w:eastAsia="Times New Roman"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D1EEF">
              <w:rPr>
                <w:rFonts w:ascii="Arial" w:eastAsia="Times New Roman" w:hAnsi="Arial" w:cs="Arial"/>
                <w:i/>
                <w:sz w:val="18"/>
                <w:szCs w:val="18"/>
              </w:rPr>
              <w:t>supportedSRS-TxPortSwitch-v1610</w:t>
            </w:r>
            <w:r w:rsidRPr="00FD1EEF">
              <w:rPr>
                <w:rFonts w:ascii="Arial" w:eastAsia="Times New Roman" w:hAnsi="Arial" w:cs="Arial"/>
                <w:iCs/>
                <w:sz w:val="18"/>
                <w:szCs w:val="18"/>
              </w:rPr>
              <w:t xml:space="preserve">, the UE shall report the values for this as below, based on what is reported in </w:t>
            </w:r>
            <w:r w:rsidRPr="00FD1EEF">
              <w:rPr>
                <w:rFonts w:ascii="Arial" w:eastAsia="Times New Roman" w:hAnsi="Arial" w:cs="Arial"/>
                <w:i/>
                <w:sz w:val="18"/>
                <w:szCs w:val="18"/>
              </w:rPr>
              <w:t>supportedSRS-TxPortSwitch</w:t>
            </w:r>
            <w:r w:rsidRPr="00FD1EEF">
              <w:rPr>
                <w:rFonts w:ascii="Arial" w:eastAsia="Times New Roman" w:hAnsi="Arial" w:cs="Arial"/>
                <w:iCs/>
                <w:sz w:val="18"/>
                <w:szCs w:val="18"/>
              </w:rPr>
              <w:t>.</w:t>
            </w:r>
          </w:p>
          <w:tbl>
            <w:tblPr>
              <w:tblW w:w="4343" w:type="pct"/>
              <w:tblInd w:w="596" w:type="dxa"/>
              <w:tblLook w:val="04A0" w:firstRow="1" w:lastRow="0" w:firstColumn="1" w:lastColumn="0" w:noHBand="0" w:noVBand="1"/>
            </w:tblPr>
            <w:tblGrid>
              <w:gridCol w:w="4001"/>
              <w:gridCol w:w="4457"/>
            </w:tblGrid>
            <w:tr w:rsidR="00FD1EEF" w:rsidRPr="00FD1EEF" w14:paraId="660D4985" w14:textId="77777777" w:rsidTr="0080262A">
              <w:tc>
                <w:tcPr>
                  <w:tcW w:w="2365" w:type="pct"/>
                </w:tcPr>
                <w:p w14:paraId="14324532"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b/>
                      <w:i/>
                      <w:iCs/>
                      <w:sz w:val="18"/>
                    </w:rPr>
                  </w:pPr>
                  <w:r w:rsidRPr="00FD1EEF">
                    <w:rPr>
                      <w:rFonts w:ascii="Arial" w:eastAsia="Times New Roman" w:hAnsi="Arial"/>
                      <w:b/>
                      <w:i/>
                      <w:iCs/>
                      <w:sz w:val="18"/>
                    </w:rPr>
                    <w:t>supportedSRS-TxPortSwitch</w:t>
                  </w:r>
                </w:p>
              </w:tc>
              <w:tc>
                <w:tcPr>
                  <w:tcW w:w="2635" w:type="pct"/>
                </w:tcPr>
                <w:p w14:paraId="67954F3A"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b/>
                      <w:i/>
                      <w:iCs/>
                      <w:sz w:val="18"/>
                    </w:rPr>
                  </w:pPr>
                  <w:r w:rsidRPr="00FD1EEF">
                    <w:rPr>
                      <w:rFonts w:ascii="Arial" w:eastAsia="Times New Roman" w:hAnsi="Arial"/>
                      <w:b/>
                      <w:i/>
                      <w:iCs/>
                      <w:sz w:val="18"/>
                    </w:rPr>
                    <w:t>supportedSRS-TxPortSwitch-v1610</w:t>
                  </w:r>
                </w:p>
              </w:tc>
            </w:tr>
            <w:tr w:rsidR="00FD1EEF" w:rsidRPr="00FD1EEF" w14:paraId="1F0D0895" w14:textId="77777777" w:rsidTr="0080262A">
              <w:tc>
                <w:tcPr>
                  <w:tcW w:w="2365" w:type="pct"/>
                </w:tcPr>
                <w:p w14:paraId="26CA7146"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t1r2</w:t>
                  </w:r>
                </w:p>
              </w:tc>
              <w:tc>
                <w:tcPr>
                  <w:tcW w:w="2635" w:type="pct"/>
                </w:tcPr>
                <w:p w14:paraId="3F684ADE"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t1r1-t1r2</w:t>
                  </w:r>
                </w:p>
              </w:tc>
            </w:tr>
            <w:tr w:rsidR="00FD1EEF" w:rsidRPr="00FD1EEF" w14:paraId="4108BBF1" w14:textId="77777777" w:rsidTr="0080262A">
              <w:tc>
                <w:tcPr>
                  <w:tcW w:w="2365" w:type="pct"/>
                </w:tcPr>
                <w:p w14:paraId="520EFF1D"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t1r4</w:t>
                  </w:r>
                </w:p>
              </w:tc>
              <w:tc>
                <w:tcPr>
                  <w:tcW w:w="2635" w:type="pct"/>
                </w:tcPr>
                <w:p w14:paraId="245DE436"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t1r1-t1r2-t1r4</w:t>
                  </w:r>
                </w:p>
              </w:tc>
            </w:tr>
            <w:tr w:rsidR="00FD1EEF" w:rsidRPr="00FD1EEF" w14:paraId="0E2FB523" w14:textId="77777777" w:rsidTr="0080262A">
              <w:tc>
                <w:tcPr>
                  <w:tcW w:w="2365" w:type="pct"/>
                </w:tcPr>
                <w:p w14:paraId="071EDB9B"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t2r4</w:t>
                  </w:r>
                </w:p>
              </w:tc>
              <w:tc>
                <w:tcPr>
                  <w:tcW w:w="2635" w:type="pct"/>
                </w:tcPr>
                <w:p w14:paraId="45DB6E9F"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t1r1-t1r2-t2r2-t2r4</w:t>
                  </w:r>
                </w:p>
              </w:tc>
            </w:tr>
            <w:tr w:rsidR="00FD1EEF" w:rsidRPr="00FD1EEF" w14:paraId="689B0D0E" w14:textId="77777777" w:rsidTr="0080262A">
              <w:tc>
                <w:tcPr>
                  <w:tcW w:w="2365" w:type="pct"/>
                </w:tcPr>
                <w:p w14:paraId="5744BE5B"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t2r2</w:t>
                  </w:r>
                </w:p>
              </w:tc>
              <w:tc>
                <w:tcPr>
                  <w:tcW w:w="2635" w:type="pct"/>
                </w:tcPr>
                <w:p w14:paraId="03477D35"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t1r1-t2r2</w:t>
                  </w:r>
                </w:p>
              </w:tc>
            </w:tr>
            <w:tr w:rsidR="00FD1EEF" w:rsidRPr="00FD1EEF" w14:paraId="7ED33EB9" w14:textId="77777777" w:rsidTr="0080262A">
              <w:tc>
                <w:tcPr>
                  <w:tcW w:w="2365" w:type="pct"/>
                </w:tcPr>
                <w:p w14:paraId="1F50B1C6"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t4r4</w:t>
                  </w:r>
                </w:p>
              </w:tc>
              <w:tc>
                <w:tcPr>
                  <w:tcW w:w="2635" w:type="pct"/>
                </w:tcPr>
                <w:p w14:paraId="75C0C1AF"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t1r1-t2r2-t4r4</w:t>
                  </w:r>
                </w:p>
              </w:tc>
            </w:tr>
            <w:tr w:rsidR="00FD1EEF" w:rsidRPr="00FD1EEF" w14:paraId="7FFD880C" w14:textId="77777777" w:rsidTr="0080262A">
              <w:tc>
                <w:tcPr>
                  <w:tcW w:w="2365" w:type="pct"/>
                </w:tcPr>
                <w:p w14:paraId="091A2BA2"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rPr>
                  </w:pPr>
                  <w:r w:rsidRPr="00FD1EEF">
                    <w:rPr>
                      <w:rFonts w:ascii="Arial" w:eastAsia="Times New Roman" w:hAnsi="Arial"/>
                      <w:i/>
                      <w:iCs/>
                      <w:sz w:val="18"/>
                    </w:rPr>
                    <w:t>t1r4-t2r4</w:t>
                  </w:r>
                </w:p>
              </w:tc>
              <w:tc>
                <w:tcPr>
                  <w:tcW w:w="2635" w:type="pct"/>
                </w:tcPr>
                <w:p w14:paraId="4C089308" w14:textId="77777777" w:rsidR="00FD1EEF" w:rsidRPr="00FD1EEF" w:rsidRDefault="00FD1EEF" w:rsidP="00FD1EEF">
                  <w:pPr>
                    <w:keepNext/>
                    <w:keepLines/>
                    <w:overflowPunct w:val="0"/>
                    <w:autoSpaceDE w:val="0"/>
                    <w:autoSpaceDN w:val="0"/>
                    <w:adjustRightInd w:val="0"/>
                    <w:snapToGrid/>
                    <w:spacing w:after="0" w:afterAutospacing="0"/>
                    <w:jc w:val="center"/>
                    <w:textAlignment w:val="baseline"/>
                    <w:rPr>
                      <w:rFonts w:ascii="Arial" w:eastAsia="Times New Roman" w:hAnsi="Arial"/>
                      <w:i/>
                      <w:iCs/>
                      <w:sz w:val="18"/>
                      <w:lang w:val="fr-FR"/>
                    </w:rPr>
                  </w:pPr>
                  <w:r w:rsidRPr="00FD1EEF">
                    <w:rPr>
                      <w:rFonts w:ascii="Arial" w:eastAsia="Times New Roman" w:hAnsi="Arial"/>
                      <w:i/>
                      <w:iCs/>
                      <w:sz w:val="18"/>
                      <w:lang w:val="fr-FR"/>
                    </w:rPr>
                    <w:t>t1r1-t1r2-t2r2-t1r4-t2r4</w:t>
                  </w:r>
                </w:p>
              </w:tc>
            </w:tr>
          </w:tbl>
          <w:p w14:paraId="3C593503" w14:textId="77777777" w:rsidR="00FD1EEF" w:rsidRPr="00FD1EEF" w:rsidRDefault="00FD1EEF" w:rsidP="00FD1EEF">
            <w:pPr>
              <w:overflowPunct w:val="0"/>
              <w:autoSpaceDE w:val="0"/>
              <w:autoSpaceDN w:val="0"/>
              <w:adjustRightInd w:val="0"/>
              <w:snapToGrid/>
              <w:spacing w:after="180" w:afterAutospacing="0"/>
              <w:ind w:left="568" w:hanging="284"/>
              <w:jc w:val="left"/>
              <w:textAlignment w:val="baseline"/>
              <w:rPr>
                <w:rFonts w:ascii="Arial" w:eastAsia="Times New Roman" w:hAnsi="Arial" w:cs="Arial"/>
                <w:sz w:val="18"/>
                <w:szCs w:val="18"/>
                <w:lang w:val="fr-FR"/>
              </w:rPr>
            </w:pPr>
          </w:p>
          <w:p w14:paraId="45538949" w14:textId="77777777" w:rsidR="00FD1EEF" w:rsidRPr="00FD1EEF" w:rsidRDefault="00FD1EEF" w:rsidP="00FD1EEF">
            <w:pPr>
              <w:overflowPunct w:val="0"/>
              <w:autoSpaceDE w:val="0"/>
              <w:autoSpaceDN w:val="0"/>
              <w:adjustRightInd w:val="0"/>
              <w:snapToGrid/>
              <w:spacing w:after="180" w:afterAutospacing="0"/>
              <w:ind w:left="568" w:hanging="284"/>
              <w:jc w:val="left"/>
              <w:textAlignment w:val="baseline"/>
              <w:rPr>
                <w:rFonts w:ascii="Arial" w:eastAsia="Times New Roman" w:hAnsi="Arial" w:cs="Arial"/>
                <w:sz w:val="18"/>
                <w:szCs w:val="18"/>
              </w:rPr>
            </w:pPr>
            <w:r w:rsidRPr="00FD1EEF">
              <w:rPr>
                <w:rFonts w:ascii="Arial" w:eastAsia="Times New Roman" w:hAnsi="Arial" w:cs="Arial"/>
                <w:sz w:val="18"/>
                <w:szCs w:val="18"/>
              </w:rPr>
              <w:t>-</w:t>
            </w:r>
            <w:r w:rsidRPr="00FD1EEF">
              <w:rPr>
                <w:rFonts w:ascii="Arial" w:eastAsia="Times New Roman" w:hAnsi="Arial" w:cs="Arial"/>
                <w:sz w:val="18"/>
                <w:szCs w:val="18"/>
              </w:rPr>
              <w:tab/>
            </w:r>
            <w:r w:rsidRPr="00FD1EEF">
              <w:rPr>
                <w:rFonts w:ascii="Arial" w:eastAsia="Times New Roman" w:hAnsi="Arial" w:cs="Arial"/>
                <w:i/>
                <w:sz w:val="18"/>
                <w:szCs w:val="18"/>
              </w:rPr>
              <w:t>txSwitchImpactToRx</w:t>
            </w:r>
            <w:r w:rsidRPr="00FD1EEF">
              <w:rPr>
                <w:rFonts w:ascii="Arial" w:eastAsia="Times New Roman" w:hAnsi="Arial" w:cs="Arial"/>
                <w:sz w:val="18"/>
                <w:szCs w:val="18"/>
              </w:rPr>
              <w:t xml:space="preserve"> indicates the lowest band entry number of the UL group (see </w:t>
            </w:r>
            <w:r w:rsidRPr="00FD1EEF">
              <w:rPr>
                <w:rFonts w:ascii="Arial" w:eastAsia="Times New Roman" w:hAnsi="Arial" w:cs="Arial"/>
                <w:i/>
                <w:sz w:val="18"/>
                <w:szCs w:val="18"/>
              </w:rPr>
              <w:t>txSwitchWithAnotherBand</w:t>
            </w:r>
            <w:r w:rsidRPr="00FD1EEF">
              <w:rPr>
                <w:rFonts w:ascii="Arial" w:eastAsia="Times New Roman" w:hAnsi="Arial" w:cs="Arial"/>
                <w:sz w:val="18"/>
                <w:szCs w:val="18"/>
              </w:rPr>
              <w:t>) that impacts the DL of this band entry;</w:t>
            </w:r>
          </w:p>
          <w:p w14:paraId="30C67D27" w14:textId="77777777" w:rsidR="00FD1EEF" w:rsidRPr="00FD1EEF" w:rsidRDefault="00FD1EEF" w:rsidP="00FD1EEF">
            <w:pPr>
              <w:overflowPunct w:val="0"/>
              <w:autoSpaceDE w:val="0"/>
              <w:autoSpaceDN w:val="0"/>
              <w:adjustRightInd w:val="0"/>
              <w:snapToGrid/>
              <w:spacing w:after="180" w:afterAutospacing="0"/>
              <w:ind w:left="568" w:hanging="284"/>
              <w:jc w:val="left"/>
              <w:textAlignment w:val="baseline"/>
              <w:rPr>
                <w:rFonts w:ascii="Arial" w:eastAsia="Times New Roman" w:hAnsi="Arial" w:cs="Arial"/>
                <w:sz w:val="18"/>
                <w:szCs w:val="18"/>
              </w:rPr>
            </w:pPr>
            <w:r w:rsidRPr="00FD1EEF">
              <w:rPr>
                <w:rFonts w:ascii="Arial" w:eastAsia="Times New Roman" w:hAnsi="Arial" w:cs="Arial"/>
                <w:sz w:val="18"/>
                <w:szCs w:val="18"/>
              </w:rPr>
              <w:t>-</w:t>
            </w:r>
            <w:r w:rsidRPr="00FD1EEF">
              <w:rPr>
                <w:rFonts w:ascii="Arial" w:eastAsia="Times New Roman" w:hAnsi="Arial" w:cs="Arial"/>
                <w:sz w:val="18"/>
                <w:szCs w:val="18"/>
              </w:rPr>
              <w:tab/>
            </w:r>
            <w:r w:rsidRPr="00FD1EEF">
              <w:rPr>
                <w:rFonts w:ascii="Arial" w:eastAsia="Times New Roman" w:hAnsi="Arial" w:cs="Arial"/>
                <w:i/>
                <w:sz w:val="18"/>
                <w:szCs w:val="18"/>
              </w:rPr>
              <w:t>txSwitchWithAnotherBand</w:t>
            </w:r>
            <w:r w:rsidRPr="00FD1EEF">
              <w:rPr>
                <w:rFonts w:ascii="Arial" w:eastAsia="Times New Roman"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9BC0D85" w14:textId="77777777" w:rsidR="00FD1EEF" w:rsidRPr="00FD1EEF" w:rsidRDefault="00FD1EEF" w:rsidP="00FD1EEF">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zh-CN"/>
              </w:rPr>
            </w:pPr>
            <w:r w:rsidRPr="00FD1EEF">
              <w:rPr>
                <w:rFonts w:ascii="Arial" w:eastAsia="Times New Roman" w:hAnsi="Arial"/>
                <w:sz w:val="18"/>
              </w:rPr>
              <w:t xml:space="preserve">For </w:t>
            </w:r>
            <w:r w:rsidRPr="00FD1EEF">
              <w:rPr>
                <w:rFonts w:ascii="Arial" w:eastAsia="Times New Roman" w:hAnsi="Arial"/>
                <w:i/>
                <w:sz w:val="18"/>
              </w:rPr>
              <w:t>txSwitchImpactToRx</w:t>
            </w:r>
            <w:r w:rsidRPr="00FD1EEF">
              <w:rPr>
                <w:rFonts w:ascii="Arial" w:eastAsia="Times New Roman" w:hAnsi="Arial"/>
                <w:sz w:val="18"/>
              </w:rPr>
              <w:t xml:space="preserve"> and </w:t>
            </w:r>
            <w:r w:rsidRPr="00FD1EEF">
              <w:rPr>
                <w:rFonts w:ascii="Arial" w:eastAsia="Times New Roman" w:hAnsi="Arial"/>
                <w:i/>
                <w:sz w:val="18"/>
              </w:rPr>
              <w:t>txSwitchWithAnotherBand</w:t>
            </w:r>
            <w:r w:rsidRPr="00FD1EEF">
              <w:rPr>
                <w:rFonts w:ascii="Arial" w:eastAsia="Times New Roman" w:hAnsi="Arial"/>
                <w:sz w:val="18"/>
              </w:rPr>
              <w:t xml:space="preserve">, value 1 means first entry, value 2 means second entry and so on. The UE may include </w:t>
            </w:r>
            <w:r w:rsidRPr="00FD1EEF">
              <w:rPr>
                <w:rFonts w:ascii="Arial" w:eastAsia="Times New Roman" w:hAnsi="Arial"/>
                <w:i/>
                <w:iCs/>
                <w:sz w:val="18"/>
              </w:rPr>
              <w:t>txSwitchImpactToRx</w:t>
            </w:r>
            <w:r w:rsidRPr="00FD1EEF">
              <w:rPr>
                <w:rFonts w:ascii="Arial" w:eastAsia="Times New Roman" w:hAnsi="Arial"/>
                <w:sz w:val="18"/>
              </w:rPr>
              <w:t xml:space="preserve"> and </w:t>
            </w:r>
            <w:r w:rsidRPr="00FD1EEF">
              <w:rPr>
                <w:rFonts w:ascii="Arial" w:eastAsia="Times New Roman" w:hAnsi="Arial"/>
                <w:i/>
                <w:iCs/>
                <w:sz w:val="18"/>
              </w:rPr>
              <w:t>txSwitchWithAnotherBand</w:t>
            </w:r>
            <w:r w:rsidRPr="00FD1EEF">
              <w:rPr>
                <w:rFonts w:ascii="Arial" w:eastAsia="Times New Roman" w:hAnsi="Arial"/>
                <w:sz w:val="18"/>
              </w:rPr>
              <w:t xml:space="preserve"> for a band entry even if </w:t>
            </w:r>
            <w:r w:rsidRPr="00FD1EEF">
              <w:rPr>
                <w:rFonts w:ascii="Arial" w:eastAsia="Times New Roman" w:hAnsi="Arial"/>
                <w:i/>
                <w:iCs/>
                <w:sz w:val="18"/>
              </w:rPr>
              <w:t>supportedSRS-TxPortSwitch</w:t>
            </w:r>
            <w:r w:rsidRPr="00FD1EEF">
              <w:rPr>
                <w:rFonts w:ascii="Arial" w:eastAsia="Times New Roman" w:hAnsi="Arial"/>
                <w:sz w:val="18"/>
              </w:rPr>
              <w:t xml:space="preserve"> is set to 'notSupported' for that band entry. All DL and UL that switch together indicate the same entry number.</w:t>
            </w:r>
          </w:p>
          <w:p w14:paraId="4E5F84AD" w14:textId="77777777" w:rsidR="00FD1EEF" w:rsidRPr="00FD1EEF" w:rsidRDefault="00FD1EEF" w:rsidP="00FD1EEF">
            <w:pPr>
              <w:keepNext/>
              <w:keepLines/>
              <w:overflowPunct w:val="0"/>
              <w:autoSpaceDE w:val="0"/>
              <w:autoSpaceDN w:val="0"/>
              <w:adjustRightInd w:val="0"/>
              <w:snapToGrid/>
              <w:spacing w:after="0" w:afterAutospacing="0"/>
              <w:jc w:val="left"/>
              <w:textAlignment w:val="baseline"/>
              <w:rPr>
                <w:rFonts w:ascii="Arial" w:eastAsia="Times New Roman" w:hAnsi="Arial"/>
                <w:sz w:val="18"/>
              </w:rPr>
            </w:pPr>
            <w:r w:rsidRPr="00FD1EEF">
              <w:rPr>
                <w:rFonts w:ascii="Arial" w:eastAsia="Times New Roman" w:hAnsi="Arial"/>
                <w:sz w:val="18"/>
              </w:rPr>
              <w:t>The entry number is the band entry number in a band combination. The UE is restricted not to include fallback band combinations for the purpose of indicating different SRS antenna switching capabilities.</w:t>
            </w:r>
          </w:p>
          <w:p w14:paraId="4171C720" w14:textId="77777777" w:rsidR="00FD1EEF" w:rsidRPr="00FD1EEF" w:rsidRDefault="00FD1EEF" w:rsidP="00FD1EEF">
            <w:pPr>
              <w:keepNext/>
              <w:keepLines/>
              <w:overflowPunct w:val="0"/>
              <w:autoSpaceDE w:val="0"/>
              <w:autoSpaceDN w:val="0"/>
              <w:adjustRightInd w:val="0"/>
              <w:snapToGrid/>
              <w:spacing w:after="0" w:afterAutospacing="0"/>
              <w:jc w:val="left"/>
              <w:textAlignment w:val="baseline"/>
              <w:rPr>
                <w:rFonts w:ascii="Arial" w:eastAsia="Times New Roman" w:hAnsi="Arial"/>
                <w:sz w:val="18"/>
              </w:rPr>
            </w:pPr>
          </w:p>
          <w:p w14:paraId="49E61AA2" w14:textId="44F0EE24" w:rsidR="00FD1EEF" w:rsidRDefault="00FD1EEF" w:rsidP="00FD1EEF">
            <w:r w:rsidRPr="00FD1EEF">
              <w:rPr>
                <w:rFonts w:eastAsia="DengXian" w:cs="Arial"/>
                <w:sz w:val="20"/>
                <w:szCs w:val="18"/>
              </w:rPr>
              <w:t>NOTE:</w:t>
            </w:r>
            <w:r w:rsidRPr="00FD1EEF">
              <w:rPr>
                <w:rFonts w:eastAsia="Times New Roman" w:cs="Arial"/>
                <w:sz w:val="20"/>
                <w:szCs w:val="18"/>
              </w:rPr>
              <w:tab/>
            </w:r>
            <w:r w:rsidRPr="00FD1EEF">
              <w:rPr>
                <w:rFonts w:eastAsia="Times New Roman"/>
                <w:sz w:val="20"/>
              </w:rPr>
              <w:t xml:space="preserve">The band with UL includes a band associated with </w:t>
            </w:r>
            <w:r w:rsidRPr="00FD1EEF">
              <w:rPr>
                <w:rFonts w:eastAsia="Times New Roman"/>
                <w:i/>
                <w:sz w:val="20"/>
              </w:rPr>
              <w:t>FeatureSetUplinkId</w:t>
            </w:r>
            <w:r w:rsidRPr="00FD1EEF">
              <w:rPr>
                <w:rFonts w:eastAsia="Times New Roman"/>
                <w:sz w:val="20"/>
              </w:rPr>
              <w:t xml:space="preserve"> set to 0</w:t>
            </w:r>
            <w:r w:rsidRPr="00FD1EEF">
              <w:rPr>
                <w:rFonts w:eastAsia="Times New Roman"/>
                <w:sz w:val="20"/>
                <w:lang w:eastAsia="zh-CN"/>
              </w:rPr>
              <w:t xml:space="preserve"> corresponding to the support of SRS-SwitchingTimeNR</w:t>
            </w:r>
            <w:r w:rsidRPr="00FD1EEF">
              <w:rPr>
                <w:rFonts w:eastAsia="Times New Roman"/>
                <w:sz w:val="20"/>
              </w:rPr>
              <w:t>.</w:t>
            </w:r>
          </w:p>
        </w:tc>
      </w:tr>
    </w:tbl>
    <w:p w14:paraId="1871AE88" w14:textId="77777777" w:rsidR="00D85AB3" w:rsidRDefault="00D85AB3" w:rsidP="004948F4"/>
    <w:p w14:paraId="5B3AB26F" w14:textId="45F8E634" w:rsidR="00810DBA" w:rsidRDefault="00810DBA" w:rsidP="004948F4">
      <w:r>
        <w:rPr>
          <w:rFonts w:hint="eastAsia"/>
        </w:rPr>
        <w:lastRenderedPageBreak/>
        <w:t>F</w:t>
      </w:r>
      <w:r>
        <w:t>or srs-TxSwitch, the capability comprises of supportedSRS-TxPortSwitch, which indicates ‘txry’. In this case, the UE transmits SRS on ‘x’ antenna ports over total of ‘y’ antennas. Namely, for 3T3R, srs-TxSwitch needs to indicate ‘t3r3’.</w:t>
      </w:r>
    </w:p>
    <w:p w14:paraId="3BC8C7C9" w14:textId="7BEF31D0" w:rsidR="00810DBA" w:rsidRPr="00C07A90" w:rsidRDefault="00810DBA" w:rsidP="004948F4">
      <w:pPr>
        <w:rPr>
          <w:b/>
          <w:bCs/>
        </w:rPr>
      </w:pPr>
      <w:r w:rsidRPr="00C07A90">
        <w:rPr>
          <w:rFonts w:hint="eastAsia"/>
          <w:b/>
          <w:bCs/>
        </w:rPr>
        <w:t>P</w:t>
      </w:r>
      <w:r w:rsidRPr="00C07A90">
        <w:rPr>
          <w:b/>
          <w:bCs/>
        </w:rPr>
        <w:t>roposal 2: For 3T3R, the legacy UE capability supportedSRS-TxPortSwitch in srs-TxSwitch should include ‘t3r3’.</w:t>
      </w:r>
    </w:p>
    <w:p w14:paraId="2591DE11" w14:textId="0701331F" w:rsidR="00810DBA" w:rsidRDefault="00810DBA" w:rsidP="004948F4">
      <w:r>
        <w:t>Furthermore, if the UE indicates the support of downgrading configuration, supportedSRS-TxPortSwitch indicates multiple ‘txry’ values, and one of some antenna switching configuration can be selected. In our view, if the UE is capable of ‘t3r3’, it can also support ‘t1r1’ and ‘t2r2’ according to the legacy regularity.</w:t>
      </w:r>
    </w:p>
    <w:p w14:paraId="72EA69A8" w14:textId="7BC45575" w:rsidR="00E308EE" w:rsidRPr="00C07A90" w:rsidRDefault="00E308EE" w:rsidP="004948F4">
      <w:pPr>
        <w:rPr>
          <w:b/>
          <w:bCs/>
        </w:rPr>
      </w:pPr>
      <w:r w:rsidRPr="00C07A90">
        <w:rPr>
          <w:rFonts w:hint="eastAsia"/>
          <w:b/>
          <w:bCs/>
        </w:rPr>
        <w:t>P</w:t>
      </w:r>
      <w:r w:rsidRPr="00C07A90">
        <w:rPr>
          <w:b/>
          <w:bCs/>
        </w:rPr>
        <w:t>roposal 3: For 3T</w:t>
      </w:r>
      <w:r w:rsidR="00E02F79">
        <w:rPr>
          <w:b/>
          <w:bCs/>
        </w:rPr>
        <w:t>3</w:t>
      </w:r>
      <w:r w:rsidRPr="00C07A90">
        <w:rPr>
          <w:b/>
          <w:bCs/>
        </w:rPr>
        <w:t>R, the legacy UE capability supportedSRS-TxPortSwitch-v1610 in srs-TxSwitch-v1610 should include ‘t3r3-t2r2-t1r1’</w:t>
      </w:r>
      <w:r w:rsidR="00E02F79">
        <w:rPr>
          <w:b/>
          <w:bCs/>
        </w:rPr>
        <w:t xml:space="preserve"> as downgrading configuration</w:t>
      </w:r>
      <w:r w:rsidRPr="00C07A90">
        <w:rPr>
          <w:b/>
          <w:bCs/>
        </w:rPr>
        <w:t>.</w:t>
      </w:r>
    </w:p>
    <w:p w14:paraId="5BD76378" w14:textId="77777777" w:rsidR="00E02F79" w:rsidRDefault="00E02F79" w:rsidP="00E02F79"/>
    <w:tbl>
      <w:tblPr>
        <w:tblStyle w:val="af0"/>
        <w:tblW w:w="0" w:type="auto"/>
        <w:tblLook w:val="04A0" w:firstRow="1" w:lastRow="0" w:firstColumn="1" w:lastColumn="0" w:noHBand="0" w:noVBand="1"/>
      </w:tblPr>
      <w:tblGrid>
        <w:gridCol w:w="9954"/>
      </w:tblGrid>
      <w:tr w:rsidR="00E02F79" w14:paraId="4FC0292E" w14:textId="77777777" w:rsidTr="0080262A">
        <w:tc>
          <w:tcPr>
            <w:tcW w:w="9954" w:type="dxa"/>
          </w:tcPr>
          <w:p w14:paraId="710FDB57" w14:textId="77777777" w:rsidR="00E02F79" w:rsidRPr="00D85AB3" w:rsidRDefault="00E02F79" w:rsidP="0080262A">
            <w:pPr>
              <w:keepNext/>
              <w:keepLines/>
              <w:overflowPunct w:val="0"/>
              <w:autoSpaceDE w:val="0"/>
              <w:autoSpaceDN w:val="0"/>
              <w:adjustRightInd w:val="0"/>
              <w:snapToGrid/>
              <w:spacing w:after="0" w:afterAutospacing="0"/>
              <w:jc w:val="left"/>
              <w:textAlignment w:val="baseline"/>
              <w:rPr>
                <w:rFonts w:ascii="Arial" w:eastAsia="Times New Roman" w:hAnsi="Arial"/>
                <w:b/>
                <w:bCs/>
                <w:i/>
                <w:sz w:val="18"/>
              </w:rPr>
            </w:pPr>
            <w:r w:rsidRPr="00D85AB3">
              <w:rPr>
                <w:rFonts w:ascii="Arial" w:eastAsia="Times New Roman" w:hAnsi="Arial"/>
                <w:b/>
                <w:bCs/>
                <w:i/>
                <w:sz w:val="18"/>
              </w:rPr>
              <w:lastRenderedPageBreak/>
              <w:t>srs-AntennaSwitchingBeyond4RX-r17</w:t>
            </w:r>
          </w:p>
          <w:p w14:paraId="085E9644" w14:textId="77777777" w:rsidR="00E02F79" w:rsidRPr="00D85AB3" w:rsidRDefault="00E02F79" w:rsidP="0080262A">
            <w:pPr>
              <w:keepNext/>
              <w:keepLines/>
              <w:overflowPunct w:val="0"/>
              <w:autoSpaceDE w:val="0"/>
              <w:autoSpaceDN w:val="0"/>
              <w:adjustRightInd w:val="0"/>
              <w:snapToGrid/>
              <w:spacing w:after="0" w:afterAutospacing="0"/>
              <w:jc w:val="left"/>
              <w:textAlignment w:val="baseline"/>
              <w:rPr>
                <w:rFonts w:ascii="Arial" w:eastAsia="Times New Roman" w:hAnsi="Arial"/>
                <w:sz w:val="18"/>
              </w:rPr>
            </w:pPr>
            <w:r w:rsidRPr="00D85AB3">
              <w:rPr>
                <w:rFonts w:ascii="Arial" w:eastAsia="Times New Roman" w:hAnsi="Arial"/>
                <w:sz w:val="18"/>
              </w:rPr>
              <w:t xml:space="preserve">Indicates whether the UE supports SRS Antenna switching for more than 4 Rx. </w:t>
            </w:r>
            <w:r w:rsidRPr="00D85AB3">
              <w:rPr>
                <w:rFonts w:ascii="Arial" w:eastAsia="SimSun" w:hAnsi="Arial"/>
                <w:bCs/>
                <w:iCs/>
                <w:sz w:val="18"/>
                <w:lang w:eastAsia="zh-CN"/>
              </w:rPr>
              <w:t>The capability signalling comprises the following parameters:</w:t>
            </w:r>
          </w:p>
          <w:p w14:paraId="2FB75358" w14:textId="77777777" w:rsidR="00E02F79" w:rsidRPr="00D85AB3" w:rsidRDefault="00E02F79" w:rsidP="0080262A">
            <w:pPr>
              <w:overflowPunct w:val="0"/>
              <w:autoSpaceDE w:val="0"/>
              <w:autoSpaceDN w:val="0"/>
              <w:adjustRightInd w:val="0"/>
              <w:snapToGrid/>
              <w:spacing w:after="0" w:afterAutospacing="0"/>
              <w:ind w:left="568" w:hanging="284"/>
              <w:jc w:val="left"/>
              <w:textAlignment w:val="baseline"/>
              <w:rPr>
                <w:rFonts w:ascii="Arial" w:eastAsia="Times New Roman" w:hAnsi="Arial" w:cs="Arial"/>
                <w:sz w:val="18"/>
                <w:szCs w:val="18"/>
              </w:rPr>
            </w:pPr>
            <w:r w:rsidRPr="00D85AB3">
              <w:rPr>
                <w:rFonts w:ascii="Arial" w:eastAsia="Times New Roman" w:hAnsi="Arial" w:cs="Arial"/>
                <w:i/>
                <w:iCs/>
                <w:sz w:val="18"/>
                <w:szCs w:val="18"/>
              </w:rPr>
              <w:t>-</w:t>
            </w:r>
            <w:r w:rsidRPr="00D85AB3">
              <w:rPr>
                <w:rFonts w:ascii="Arial" w:eastAsia="Times New Roman" w:hAnsi="Arial" w:cs="Arial"/>
                <w:sz w:val="18"/>
                <w:szCs w:val="18"/>
              </w:rPr>
              <w:tab/>
            </w:r>
            <w:r w:rsidRPr="00D85AB3">
              <w:rPr>
                <w:rFonts w:ascii="Arial" w:eastAsia="Times New Roman" w:hAnsi="Arial" w:cs="Arial"/>
                <w:i/>
                <w:iCs/>
                <w:sz w:val="18"/>
                <w:szCs w:val="18"/>
              </w:rPr>
              <w:t>supportedSRS-TxPortSwitchBeyond4Rx-r17</w:t>
            </w:r>
            <w:r w:rsidRPr="00D85AB3">
              <w:rPr>
                <w:rFonts w:ascii="Arial" w:eastAsia="Times New Roman"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70529FE" w14:textId="77777777" w:rsidR="00E02F79" w:rsidRPr="00D85AB3" w:rsidRDefault="00E02F79" w:rsidP="0080262A">
            <w:pPr>
              <w:overflowPunct w:val="0"/>
              <w:autoSpaceDE w:val="0"/>
              <w:autoSpaceDN w:val="0"/>
              <w:adjustRightInd w:val="0"/>
              <w:snapToGrid/>
              <w:spacing w:after="0" w:afterAutospacing="0"/>
              <w:ind w:left="568" w:hanging="284"/>
              <w:jc w:val="left"/>
              <w:textAlignment w:val="baseline"/>
              <w:rPr>
                <w:rFonts w:ascii="Arial" w:eastAsia="Times New Roman" w:hAnsi="Arial" w:cs="Arial"/>
                <w:sz w:val="18"/>
                <w:szCs w:val="18"/>
              </w:rPr>
            </w:pPr>
            <w:r w:rsidRPr="00D85AB3">
              <w:rPr>
                <w:rFonts w:ascii="Arial" w:eastAsia="Times New Roman" w:hAnsi="Arial" w:cs="Arial"/>
                <w:i/>
                <w:iCs/>
                <w:sz w:val="18"/>
                <w:szCs w:val="18"/>
              </w:rPr>
              <w:t>-</w:t>
            </w:r>
            <w:r w:rsidRPr="00D85AB3">
              <w:rPr>
                <w:rFonts w:ascii="Arial" w:eastAsia="Times New Roman" w:hAnsi="Arial" w:cs="Arial"/>
                <w:sz w:val="18"/>
                <w:szCs w:val="18"/>
              </w:rPr>
              <w:tab/>
            </w:r>
            <w:r w:rsidRPr="00D85AB3">
              <w:rPr>
                <w:rFonts w:ascii="Arial" w:eastAsia="Times New Roman" w:hAnsi="Arial" w:cs="Arial"/>
                <w:i/>
                <w:iCs/>
                <w:sz w:val="18"/>
                <w:szCs w:val="18"/>
              </w:rPr>
              <w:t>entryNumberAffectBeyond4Rx-r17</w:t>
            </w:r>
            <w:r w:rsidRPr="00D85AB3">
              <w:rPr>
                <w:rFonts w:ascii="Arial" w:eastAsia="Times New Roman" w:hAnsi="Arial" w:cs="Arial"/>
                <w:sz w:val="18"/>
                <w:szCs w:val="18"/>
              </w:rPr>
              <w:t xml:space="preserve"> indicates the lowest band entry number of the UL group (see</w:t>
            </w:r>
            <w:r w:rsidRPr="00D85AB3">
              <w:rPr>
                <w:rFonts w:ascii="Arial" w:eastAsia="Times New Roman" w:hAnsi="Arial" w:cs="Arial"/>
                <w:i/>
                <w:iCs/>
                <w:sz w:val="18"/>
                <w:szCs w:val="18"/>
              </w:rPr>
              <w:t xml:space="preserve"> entryNumberSwitchBeyond4Rx-r17</w:t>
            </w:r>
            <w:r w:rsidRPr="00D85AB3">
              <w:rPr>
                <w:rFonts w:ascii="Arial" w:eastAsia="Times New Roman" w:hAnsi="Arial" w:cs="Arial"/>
                <w:sz w:val="18"/>
                <w:szCs w:val="18"/>
              </w:rPr>
              <w:t>) that impacts the DL of this band entry;</w:t>
            </w:r>
          </w:p>
          <w:p w14:paraId="0C28B2A5" w14:textId="77777777" w:rsidR="00E02F79" w:rsidRPr="00D85AB3" w:rsidRDefault="00E02F79" w:rsidP="0080262A">
            <w:pPr>
              <w:overflowPunct w:val="0"/>
              <w:autoSpaceDE w:val="0"/>
              <w:autoSpaceDN w:val="0"/>
              <w:adjustRightInd w:val="0"/>
              <w:snapToGrid/>
              <w:spacing w:after="180" w:afterAutospacing="0"/>
              <w:ind w:left="568" w:hanging="284"/>
              <w:jc w:val="left"/>
              <w:textAlignment w:val="baseline"/>
              <w:rPr>
                <w:rFonts w:ascii="Arial" w:eastAsia="Times New Roman" w:hAnsi="Arial" w:cs="Arial"/>
                <w:sz w:val="18"/>
                <w:szCs w:val="18"/>
              </w:rPr>
            </w:pPr>
            <w:r w:rsidRPr="00D85AB3">
              <w:rPr>
                <w:rFonts w:ascii="Arial" w:eastAsia="Times New Roman" w:hAnsi="Arial" w:cs="Arial"/>
                <w:i/>
                <w:iCs/>
                <w:sz w:val="18"/>
                <w:szCs w:val="18"/>
              </w:rPr>
              <w:t>-</w:t>
            </w:r>
            <w:r w:rsidRPr="00D85AB3">
              <w:rPr>
                <w:rFonts w:ascii="Arial" w:eastAsia="Times New Roman" w:hAnsi="Arial" w:cs="Arial"/>
                <w:sz w:val="18"/>
                <w:szCs w:val="18"/>
              </w:rPr>
              <w:tab/>
            </w:r>
            <w:r w:rsidRPr="00D85AB3">
              <w:rPr>
                <w:rFonts w:ascii="Arial" w:eastAsia="Times New Roman" w:hAnsi="Arial" w:cs="Arial"/>
                <w:i/>
                <w:iCs/>
                <w:sz w:val="18"/>
                <w:szCs w:val="18"/>
              </w:rPr>
              <w:t>entryNumberSwitchBeyond4Rx-r17</w:t>
            </w:r>
            <w:r w:rsidRPr="00D85AB3">
              <w:rPr>
                <w:rFonts w:ascii="Arial" w:eastAsia="Times New Roman"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05A0E5B" w14:textId="77777777" w:rsidR="00E02F79" w:rsidRPr="00D85AB3" w:rsidRDefault="00E02F79" w:rsidP="0080262A">
            <w:pPr>
              <w:keepNext/>
              <w:keepLines/>
              <w:overflowPunct w:val="0"/>
              <w:autoSpaceDE w:val="0"/>
              <w:autoSpaceDN w:val="0"/>
              <w:adjustRightInd w:val="0"/>
              <w:snapToGrid/>
              <w:spacing w:after="0" w:afterAutospacing="0"/>
              <w:jc w:val="left"/>
              <w:textAlignment w:val="baseline"/>
              <w:rPr>
                <w:rFonts w:ascii="Arial" w:eastAsia="Times New Roman" w:hAnsi="Arial"/>
                <w:i/>
                <w:sz w:val="18"/>
              </w:rPr>
            </w:pPr>
            <w:r w:rsidRPr="00D85AB3">
              <w:rPr>
                <w:rFonts w:ascii="Arial" w:eastAsia="Times New Roman" w:hAnsi="Arial"/>
                <w:sz w:val="18"/>
              </w:rPr>
              <w:t xml:space="preserve">The UE indicating support of this shall indicate support of </w:t>
            </w:r>
            <w:r w:rsidRPr="00D85AB3">
              <w:rPr>
                <w:rFonts w:ascii="Arial" w:eastAsia="Times New Roman" w:hAnsi="Arial"/>
                <w:i/>
                <w:sz w:val="18"/>
              </w:rPr>
              <w:t>srs-TxSwitch.</w:t>
            </w:r>
          </w:p>
          <w:p w14:paraId="69E56530" w14:textId="77777777" w:rsidR="00E02F79" w:rsidRPr="00D85AB3" w:rsidRDefault="00E02F79" w:rsidP="0080262A">
            <w:pPr>
              <w:keepNext/>
              <w:keepLines/>
              <w:overflowPunct w:val="0"/>
              <w:autoSpaceDE w:val="0"/>
              <w:autoSpaceDN w:val="0"/>
              <w:adjustRightInd w:val="0"/>
              <w:snapToGrid/>
              <w:spacing w:after="0" w:afterAutospacing="0"/>
              <w:textAlignment w:val="baseline"/>
              <w:rPr>
                <w:rFonts w:ascii="Arial" w:eastAsia="Times New Roman" w:hAnsi="Arial"/>
                <w:i/>
                <w:sz w:val="18"/>
              </w:rPr>
            </w:pPr>
          </w:p>
          <w:p w14:paraId="2067E21E" w14:textId="77777777" w:rsidR="00E02F79" w:rsidRPr="00D85AB3" w:rsidRDefault="00E02F79" w:rsidP="0080262A">
            <w:pPr>
              <w:keepNext/>
              <w:keepLines/>
              <w:overflowPunct w:val="0"/>
              <w:autoSpaceDE w:val="0"/>
              <w:autoSpaceDN w:val="0"/>
              <w:adjustRightInd w:val="0"/>
              <w:snapToGrid/>
              <w:spacing w:after="0" w:afterAutospacing="0"/>
              <w:jc w:val="left"/>
              <w:textAlignment w:val="baseline"/>
              <w:rPr>
                <w:rFonts w:ascii="Arial" w:eastAsia="Times New Roman" w:hAnsi="Arial"/>
                <w:sz w:val="18"/>
              </w:rPr>
            </w:pPr>
            <w:r w:rsidRPr="00D85AB3">
              <w:rPr>
                <w:rFonts w:ascii="Arial" w:eastAsia="Times New Roman" w:hAnsi="Arial"/>
                <w:sz w:val="18"/>
              </w:rPr>
              <w:t xml:space="preserve">For </w:t>
            </w:r>
            <w:r w:rsidRPr="00D85AB3">
              <w:rPr>
                <w:rFonts w:ascii="Arial" w:eastAsia="Times New Roman" w:hAnsi="Arial" w:cs="Arial"/>
                <w:i/>
                <w:iCs/>
                <w:sz w:val="18"/>
                <w:szCs w:val="18"/>
              </w:rPr>
              <w:t>entryNumberAffectBeyond4Rx-r17</w:t>
            </w:r>
            <w:r w:rsidRPr="00D85AB3">
              <w:rPr>
                <w:rFonts w:ascii="Arial" w:eastAsia="Times New Roman" w:hAnsi="Arial" w:cs="Arial"/>
                <w:sz w:val="18"/>
                <w:szCs w:val="18"/>
              </w:rPr>
              <w:t xml:space="preserve"> </w:t>
            </w:r>
            <w:r w:rsidRPr="00D85AB3">
              <w:rPr>
                <w:rFonts w:ascii="Arial" w:eastAsia="Times New Roman" w:hAnsi="Arial"/>
                <w:sz w:val="18"/>
              </w:rPr>
              <w:t xml:space="preserve">and </w:t>
            </w:r>
            <w:r w:rsidRPr="00D85AB3">
              <w:rPr>
                <w:rFonts w:ascii="Arial" w:eastAsia="Times New Roman" w:hAnsi="Arial" w:cs="Arial"/>
                <w:i/>
                <w:iCs/>
                <w:sz w:val="18"/>
                <w:szCs w:val="18"/>
              </w:rPr>
              <w:t>entryNumberSwitchBeyond4Rx-r17</w:t>
            </w:r>
            <w:r w:rsidRPr="00D85AB3">
              <w:rPr>
                <w:rFonts w:ascii="Arial" w:eastAsia="Times New Roman" w:hAnsi="Arial"/>
                <w:sz w:val="18"/>
              </w:rPr>
              <w:t xml:space="preserve">, value 1 means first entry, value 2 means second entry and so on. The UE may include </w:t>
            </w:r>
            <w:r w:rsidRPr="00D85AB3">
              <w:rPr>
                <w:rFonts w:ascii="Arial" w:eastAsia="Times New Roman" w:hAnsi="Arial" w:cs="Arial"/>
                <w:i/>
                <w:iCs/>
                <w:sz w:val="18"/>
                <w:szCs w:val="18"/>
              </w:rPr>
              <w:t xml:space="preserve">entryNumberAffectBeyond4Rx-r17/entryNumberSwitchBeyond4Rx-r17 </w:t>
            </w:r>
            <w:r w:rsidRPr="00D85AB3">
              <w:rPr>
                <w:rFonts w:ascii="Arial" w:eastAsia="Times New Roman" w:hAnsi="Arial"/>
                <w:sz w:val="18"/>
              </w:rPr>
              <w:t xml:space="preserve">for a band entry even if </w:t>
            </w:r>
            <w:r w:rsidRPr="00D85AB3">
              <w:rPr>
                <w:rFonts w:ascii="Arial" w:eastAsia="Times New Roman" w:hAnsi="Arial"/>
                <w:iCs/>
                <w:sz w:val="18"/>
              </w:rPr>
              <w:t xml:space="preserve">all of the bits in the </w:t>
            </w:r>
            <w:r w:rsidRPr="00D85AB3">
              <w:rPr>
                <w:rFonts w:ascii="Arial" w:eastAsia="Times New Roman" w:hAnsi="Arial" w:cs="Arial"/>
                <w:i/>
                <w:iCs/>
                <w:sz w:val="18"/>
                <w:szCs w:val="18"/>
              </w:rPr>
              <w:t>supportedSRS-TxPortSwitchBeyond4Rx-r17</w:t>
            </w:r>
            <w:r w:rsidRPr="00D85AB3">
              <w:rPr>
                <w:rFonts w:ascii="Arial" w:eastAsia="Times New Roman" w:hAnsi="Arial"/>
                <w:i/>
                <w:iCs/>
                <w:sz w:val="18"/>
              </w:rPr>
              <w:t xml:space="preserve"> </w:t>
            </w:r>
            <w:r w:rsidRPr="00D85AB3">
              <w:rPr>
                <w:rFonts w:ascii="Arial" w:eastAsia="Times New Roman" w:hAnsi="Arial"/>
                <w:sz w:val="18"/>
              </w:rPr>
              <w:t>are set to 0 for that band entry. All DL and UL that switch together indicate the same entry number.</w:t>
            </w:r>
          </w:p>
          <w:p w14:paraId="4C5A6028" w14:textId="77777777" w:rsidR="00E02F79" w:rsidRPr="00D85AB3" w:rsidRDefault="00E02F79" w:rsidP="0080262A">
            <w:pPr>
              <w:keepNext/>
              <w:keepLines/>
              <w:overflowPunct w:val="0"/>
              <w:autoSpaceDE w:val="0"/>
              <w:autoSpaceDN w:val="0"/>
              <w:adjustRightInd w:val="0"/>
              <w:snapToGrid/>
              <w:spacing w:after="0" w:afterAutospacing="0"/>
              <w:textAlignment w:val="baseline"/>
              <w:rPr>
                <w:rFonts w:ascii="Arial" w:eastAsia="Times New Roman" w:hAnsi="Arial"/>
                <w:sz w:val="18"/>
                <w:lang w:eastAsia="zh-CN"/>
              </w:rPr>
            </w:pPr>
          </w:p>
          <w:p w14:paraId="4227AE68" w14:textId="77777777" w:rsidR="00E02F79" w:rsidRPr="00D85AB3" w:rsidRDefault="00E02F79" w:rsidP="0080262A">
            <w:pPr>
              <w:keepNext/>
              <w:keepLines/>
              <w:overflowPunct w:val="0"/>
              <w:autoSpaceDE w:val="0"/>
              <w:autoSpaceDN w:val="0"/>
              <w:adjustRightInd w:val="0"/>
              <w:snapToGrid/>
              <w:spacing w:after="0" w:afterAutospacing="0"/>
              <w:textAlignment w:val="baseline"/>
              <w:rPr>
                <w:rFonts w:ascii="Arial" w:eastAsia="Times New Roman" w:hAnsi="Arial"/>
                <w:sz w:val="18"/>
              </w:rPr>
            </w:pPr>
            <w:r w:rsidRPr="00D85AB3">
              <w:rPr>
                <w:rFonts w:ascii="Arial" w:eastAsia="Times New Roman" w:hAnsi="Arial"/>
                <w:sz w:val="18"/>
              </w:rPr>
              <w:t>The entry number is the band entry number in a band combination. The UE is restricted not to include fallback band combinations for the purpose of indicating different SRS antenna switching capabilities.</w:t>
            </w:r>
          </w:p>
          <w:p w14:paraId="075A9763" w14:textId="77777777" w:rsidR="00E02F79" w:rsidRPr="00D85AB3" w:rsidRDefault="00E02F79" w:rsidP="0080262A">
            <w:pPr>
              <w:keepNext/>
              <w:keepLines/>
              <w:overflowPunct w:val="0"/>
              <w:autoSpaceDE w:val="0"/>
              <w:autoSpaceDN w:val="0"/>
              <w:adjustRightInd w:val="0"/>
              <w:snapToGrid/>
              <w:spacing w:after="0" w:afterAutospacing="0"/>
              <w:jc w:val="left"/>
              <w:textAlignment w:val="baseline"/>
              <w:rPr>
                <w:rFonts w:ascii="Arial" w:eastAsia="Times New Roman" w:hAnsi="Arial"/>
                <w:sz w:val="18"/>
              </w:rPr>
            </w:pPr>
          </w:p>
          <w:p w14:paraId="396E6F02" w14:textId="77777777" w:rsidR="00E02F79" w:rsidRPr="00D85AB3" w:rsidRDefault="00E02F79" w:rsidP="0080262A">
            <w:pPr>
              <w:keepNext/>
              <w:keepLines/>
              <w:numPr>
                <w:ilvl w:val="0"/>
                <w:numId w:val="4"/>
              </w:numPr>
              <w:overflowPunct w:val="0"/>
              <w:autoSpaceDE w:val="0"/>
              <w:autoSpaceDN w:val="0"/>
              <w:adjustRightInd w:val="0"/>
              <w:snapToGrid/>
              <w:spacing w:after="0" w:afterAutospacing="0"/>
              <w:ind w:left="851" w:hanging="851"/>
              <w:jc w:val="left"/>
              <w:textAlignment w:val="baseline"/>
              <w:rPr>
                <w:rFonts w:ascii="Arial" w:eastAsia="Times New Roman" w:hAnsi="Arial"/>
                <w:i/>
                <w:sz w:val="18"/>
              </w:rPr>
            </w:pPr>
            <w:r w:rsidRPr="00D85AB3">
              <w:rPr>
                <w:rFonts w:ascii="Arial" w:eastAsia="DengXian" w:hAnsi="Arial" w:cs="Arial"/>
                <w:sz w:val="18"/>
                <w:szCs w:val="18"/>
              </w:rPr>
              <w:t>NOTE 1:</w:t>
            </w:r>
            <w:r w:rsidRPr="00D85AB3">
              <w:rPr>
                <w:rFonts w:ascii="Arial" w:eastAsia="Times New Roman" w:hAnsi="Arial" w:cs="Arial"/>
                <w:sz w:val="18"/>
                <w:szCs w:val="18"/>
              </w:rPr>
              <w:tab/>
            </w:r>
            <w:r w:rsidRPr="00D85AB3">
              <w:rPr>
                <w:rFonts w:ascii="Arial" w:eastAsia="Times New Roman" w:hAnsi="Arial"/>
                <w:sz w:val="18"/>
              </w:rPr>
              <w:t xml:space="preserve">The band with UL includes a band associated with </w:t>
            </w:r>
            <w:r w:rsidRPr="00D85AB3">
              <w:rPr>
                <w:rFonts w:ascii="Arial" w:eastAsia="Times New Roman" w:hAnsi="Arial"/>
                <w:i/>
                <w:sz w:val="18"/>
              </w:rPr>
              <w:t>FeatureSetUplinkId</w:t>
            </w:r>
            <w:r w:rsidRPr="00D85AB3">
              <w:rPr>
                <w:rFonts w:ascii="Arial" w:eastAsia="Times New Roman" w:hAnsi="Arial"/>
                <w:sz w:val="18"/>
              </w:rPr>
              <w:t xml:space="preserve"> set to 0</w:t>
            </w:r>
            <w:r w:rsidRPr="00D85AB3">
              <w:rPr>
                <w:rFonts w:ascii="Arial" w:eastAsia="Times New Roman" w:hAnsi="Arial"/>
                <w:sz w:val="18"/>
                <w:lang w:eastAsia="zh-CN"/>
              </w:rPr>
              <w:t xml:space="preserve"> corresponding to the support of </w:t>
            </w:r>
            <w:r w:rsidRPr="00D85AB3">
              <w:rPr>
                <w:rFonts w:ascii="Arial" w:eastAsia="Times New Roman" w:hAnsi="Arial"/>
                <w:i/>
                <w:iCs/>
                <w:sz w:val="18"/>
                <w:lang w:eastAsia="zh-CN"/>
              </w:rPr>
              <w:t>SRS-SwitchingTimeNR</w:t>
            </w:r>
            <w:r w:rsidRPr="00D85AB3">
              <w:rPr>
                <w:rFonts w:ascii="Arial" w:eastAsia="Times New Roman" w:hAnsi="Arial"/>
                <w:sz w:val="18"/>
              </w:rPr>
              <w:t>.</w:t>
            </w:r>
          </w:p>
          <w:p w14:paraId="5CA5627C" w14:textId="77777777" w:rsidR="00E02F79" w:rsidRDefault="00E02F79" w:rsidP="0080262A">
            <w:r w:rsidRPr="00D85AB3">
              <w:rPr>
                <w:rFonts w:eastAsia="Times New Roman"/>
                <w:sz w:val="20"/>
              </w:rPr>
              <w:t>NOTE 2:</w:t>
            </w:r>
            <w:r w:rsidRPr="00D85AB3">
              <w:rPr>
                <w:rFonts w:eastAsia="Times New Roman" w:cs="Arial"/>
                <w:sz w:val="20"/>
                <w:szCs w:val="18"/>
              </w:rPr>
              <w:tab/>
            </w:r>
            <w:r w:rsidRPr="00D85AB3">
              <w:rPr>
                <w:rFonts w:eastAsia="Times New Roman"/>
                <w:sz w:val="20"/>
              </w:rPr>
              <w:t xml:space="preserve">If reported for the same values of xTyR in </w:t>
            </w:r>
            <w:r w:rsidRPr="00D85AB3">
              <w:rPr>
                <w:rFonts w:eastAsia="Times New Roman"/>
                <w:i/>
                <w:iCs/>
                <w:sz w:val="20"/>
              </w:rPr>
              <w:t>supportedSRS-TxPortSwitchBeyond4Rx-r17</w:t>
            </w:r>
            <w:r w:rsidRPr="00D85AB3">
              <w:rPr>
                <w:rFonts w:eastAsia="Times New Roman"/>
                <w:iCs/>
                <w:sz w:val="20"/>
              </w:rPr>
              <w:t xml:space="preserve"> as </w:t>
            </w:r>
            <w:r w:rsidRPr="00D85AB3">
              <w:rPr>
                <w:rFonts w:eastAsia="Times New Roman"/>
                <w:sz w:val="20"/>
              </w:rPr>
              <w:t xml:space="preserve">reported with </w:t>
            </w:r>
            <w:r w:rsidRPr="00D85AB3">
              <w:rPr>
                <w:rFonts w:eastAsia="Times New Roman"/>
                <w:i/>
                <w:sz w:val="20"/>
              </w:rPr>
              <w:t>supportedSRS-TxPortSwitch</w:t>
            </w:r>
            <w:r w:rsidRPr="00D85AB3">
              <w:rPr>
                <w:rFonts w:eastAsia="Times New Roman"/>
                <w:iCs/>
                <w:sz w:val="20"/>
              </w:rPr>
              <w:t>/</w:t>
            </w:r>
            <w:r w:rsidRPr="00D85AB3">
              <w:rPr>
                <w:rFonts w:eastAsia="Times New Roman"/>
                <w:i/>
                <w:sz w:val="20"/>
              </w:rPr>
              <w:t>supportedSRS-TxPortSwitch-v1610</w:t>
            </w:r>
            <w:r w:rsidRPr="00D85AB3">
              <w:rPr>
                <w:rFonts w:eastAsia="Times New Roman"/>
                <w:sz w:val="20"/>
              </w:rPr>
              <w:t xml:space="preserve">, the reported values for </w:t>
            </w:r>
            <w:r w:rsidRPr="00D85AB3">
              <w:rPr>
                <w:rFonts w:eastAsia="Times New Roman"/>
                <w:i/>
                <w:iCs/>
                <w:sz w:val="20"/>
              </w:rPr>
              <w:t>entryNumberAffectBeyond4Rx-r17</w:t>
            </w:r>
            <w:r w:rsidRPr="00D85AB3">
              <w:rPr>
                <w:rFonts w:eastAsia="Times New Roman"/>
                <w:sz w:val="20"/>
              </w:rPr>
              <w:t xml:space="preserve"> and </w:t>
            </w:r>
            <w:r w:rsidRPr="00D85AB3">
              <w:rPr>
                <w:rFonts w:eastAsia="Times New Roman"/>
                <w:i/>
                <w:iCs/>
                <w:sz w:val="20"/>
              </w:rPr>
              <w:t>entryNumberSwitchBeyond4Rx-r17</w:t>
            </w:r>
            <w:r w:rsidRPr="00D85AB3">
              <w:rPr>
                <w:rFonts w:eastAsia="Times New Roman"/>
                <w:sz w:val="20"/>
              </w:rPr>
              <w:t xml:space="preserve"> are not valid.</w:t>
            </w:r>
          </w:p>
        </w:tc>
      </w:tr>
    </w:tbl>
    <w:p w14:paraId="0F64A696" w14:textId="77777777" w:rsidR="004948F4" w:rsidRDefault="004948F4" w:rsidP="002A4EC4"/>
    <w:p w14:paraId="731464FA" w14:textId="03341237" w:rsidR="00E02F79" w:rsidRDefault="00E02F79" w:rsidP="002A4EC4">
      <w:r>
        <w:t xml:space="preserve">Furthermore, if the number of Rx antennas is larger than 4, the UE can indicate the capability of antenna switching by srs-AntennaSwitchingBeyond4RX. This capability indicates a combination of ‘txry’ by using 11-bit bitmap, and it needs to be extended to indicate the support of 3T6R. As the simplest way, we support to </w:t>
      </w:r>
      <w:r w:rsidR="00265145">
        <w:t>add</w:t>
      </w:r>
      <w:r>
        <w:t xml:space="preserve"> ‘t3r6’ </w:t>
      </w:r>
      <w:r w:rsidR="00265145">
        <w:t>to</w:t>
      </w:r>
      <w:r>
        <w:t xml:space="preserve"> the legacy bitmap.</w:t>
      </w:r>
      <w:r w:rsidR="00265145">
        <w:t xml:space="preserve"> Additionally, the bitmap include the downgrading configuration. For this reason, we think it is reasonable that ‘t3r3’ is also added to the legacy bitmap.</w:t>
      </w:r>
      <w:r w:rsidR="00265145">
        <w:rPr>
          <w:rFonts w:hint="eastAsia"/>
        </w:rPr>
        <w:t xml:space="preserve"> </w:t>
      </w:r>
      <w:r w:rsidR="00265145">
        <w:t xml:space="preserve">That is, </w:t>
      </w:r>
      <w:r w:rsidR="00265145" w:rsidRPr="00265145">
        <w:t>supportedSRS-TxPortSwitchBeyond4Rx-r17</w:t>
      </w:r>
      <w:r w:rsidR="00265145">
        <w:t xml:space="preserve"> includes the 13-bit bitmap of </w:t>
      </w:r>
      <w:r w:rsidR="00265145" w:rsidRPr="00265145">
        <w:t>{t1r1, t2r2, t1r2,</w:t>
      </w:r>
      <w:r w:rsidR="00265145" w:rsidRPr="00265145">
        <w:rPr>
          <w:color w:val="FF0000"/>
        </w:rPr>
        <w:t xml:space="preserve"> t3r3</w:t>
      </w:r>
      <w:r w:rsidR="00265145">
        <w:t>,</w:t>
      </w:r>
      <w:r w:rsidR="00265145" w:rsidRPr="00265145">
        <w:t xml:space="preserve"> t4r4, t2r4, t1r4, </w:t>
      </w:r>
      <w:r w:rsidR="00265145" w:rsidRPr="00265145">
        <w:rPr>
          <w:color w:val="FF0000"/>
        </w:rPr>
        <w:t>t3r6</w:t>
      </w:r>
      <w:r w:rsidR="00265145">
        <w:t xml:space="preserve">, </w:t>
      </w:r>
      <w:r w:rsidR="00265145" w:rsidRPr="00265145">
        <w:t>t2r6, t1r6, t4r8, t2r8, t1r8}</w:t>
      </w:r>
    </w:p>
    <w:p w14:paraId="7430490A" w14:textId="2AD029F3" w:rsidR="00E02F79" w:rsidRPr="00265145" w:rsidRDefault="00E02F79" w:rsidP="002A4EC4">
      <w:pPr>
        <w:rPr>
          <w:b/>
          <w:bCs/>
        </w:rPr>
      </w:pPr>
      <w:r w:rsidRPr="00265145">
        <w:rPr>
          <w:rFonts w:hint="eastAsia"/>
          <w:b/>
          <w:bCs/>
        </w:rPr>
        <w:t>P</w:t>
      </w:r>
      <w:r w:rsidRPr="00265145">
        <w:rPr>
          <w:b/>
          <w:bCs/>
        </w:rPr>
        <w:t xml:space="preserve">roposal 4: For 3T6R, the legacy UE capability supportedSRS-TxPortSwitchBeyond4RX in srs-AntennaSwitchingBeyond4RX should include </w:t>
      </w:r>
      <w:r w:rsidR="00E46079">
        <w:rPr>
          <w:b/>
          <w:bCs/>
        </w:rPr>
        <w:t xml:space="preserve">‘t3r3’ and </w:t>
      </w:r>
      <w:r w:rsidRPr="00265145">
        <w:rPr>
          <w:b/>
          <w:bCs/>
        </w:rPr>
        <w:t>‘t3r6’ (i.e., 1</w:t>
      </w:r>
      <w:r w:rsidR="00E46079">
        <w:rPr>
          <w:b/>
          <w:bCs/>
        </w:rPr>
        <w:t>3</w:t>
      </w:r>
      <w:r w:rsidRPr="00265145">
        <w:rPr>
          <w:b/>
          <w:bCs/>
        </w:rPr>
        <w:t>-bit bitmap).</w:t>
      </w:r>
    </w:p>
    <w:p w14:paraId="7DBE0D90" w14:textId="77777777" w:rsidR="00E02F79" w:rsidRDefault="00E02F79" w:rsidP="002A4EC4"/>
    <w:p w14:paraId="1140492E" w14:textId="6E24C0DA" w:rsidR="00D87118" w:rsidRDefault="00D87118" w:rsidP="00D87118">
      <w:pPr>
        <w:pStyle w:val="10"/>
        <w:numPr>
          <w:ilvl w:val="1"/>
          <w:numId w:val="1"/>
        </w:numPr>
        <w:spacing w:after="180"/>
      </w:pPr>
      <w:r>
        <w:rPr>
          <w:rFonts w:hint="eastAsia"/>
        </w:rPr>
        <w:t>RRC</w:t>
      </w:r>
      <w:r>
        <w:t xml:space="preserve"> parameter</w:t>
      </w:r>
    </w:p>
    <w:p w14:paraId="499ACED7" w14:textId="19A5C8ED" w:rsidR="006709C1" w:rsidRDefault="006709C1" w:rsidP="00B74904">
      <w:r>
        <w:t>In RAN1#118 meeting, it was agreed to configure a new RRC parameter to enable/disable 1003 port for a given SRS resource, and how to configure the RRC parameter is not defined.</w:t>
      </w:r>
    </w:p>
    <w:p w14:paraId="6831E791" w14:textId="1B2864A7" w:rsidR="006709C1" w:rsidRDefault="006709C1" w:rsidP="00B74904">
      <w:r>
        <w:t>In our view, the RRC parameter should be configured in SRS-Config. If the RRC parameter is configured per SRS resource, there is possibility that 4Tx SRS resource and 3Tx SRS resource are dynamically switched by SRI, and that should be avoided. Although the RRC parameter can be configured in a SRS resource set, two SRS resource sets need to have the same number of SRS ports for multi-TRP operation. Hence, some restriction between two SRS resource sets is needed. If the RRC parameter is configured in SRS-Config, that restriction is not needed, and this RRC parameter can apply to not only the codebook-related SRS resource set, but also the antenna switching’s one</w:t>
      </w:r>
      <w:r w:rsidR="00B10C97">
        <w:t>. Therefore, we support to configure the new RRC parameter to enable/disable 1003 port via SRS-Config.</w:t>
      </w:r>
    </w:p>
    <w:p w14:paraId="54269981" w14:textId="2B259F55" w:rsidR="00B10C97" w:rsidRPr="00EC36D3" w:rsidRDefault="00B10C97" w:rsidP="00B74904">
      <w:pPr>
        <w:rPr>
          <w:b/>
          <w:bCs/>
        </w:rPr>
      </w:pPr>
      <w:r w:rsidRPr="00EC36D3">
        <w:rPr>
          <w:rFonts w:hint="eastAsia"/>
          <w:b/>
          <w:bCs/>
        </w:rPr>
        <w:t>P</w:t>
      </w:r>
      <w:r w:rsidRPr="00EC36D3">
        <w:rPr>
          <w:b/>
          <w:bCs/>
        </w:rPr>
        <w:t>roposal 5: The new RRC parameter, which enables/disables 1003 port, should be configured in SRS-Config.</w:t>
      </w:r>
    </w:p>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22413BA2" w14:textId="77777777" w:rsidR="00666500" w:rsidRPr="00457C2C" w:rsidRDefault="00666500" w:rsidP="00666500">
      <w:pPr>
        <w:rPr>
          <w:b/>
          <w:bCs/>
        </w:rPr>
      </w:pPr>
      <w:r w:rsidRPr="00457C2C">
        <w:rPr>
          <w:rFonts w:hint="eastAsia"/>
          <w:b/>
          <w:bCs/>
        </w:rPr>
        <w:t>P</w:t>
      </w:r>
      <w:r w:rsidRPr="00457C2C">
        <w:rPr>
          <w:b/>
          <w:bCs/>
        </w:rPr>
        <w:t>roposal 1: For 3T6R and 3T6R, the legacy UE capability of srs-TxSwitch and srs-AntennaSwitchingBeyond4RX should be extended.</w:t>
      </w:r>
    </w:p>
    <w:p w14:paraId="0B69DF27" w14:textId="77777777" w:rsidR="00666500" w:rsidRPr="00C07A90" w:rsidRDefault="00666500" w:rsidP="00666500">
      <w:pPr>
        <w:rPr>
          <w:b/>
          <w:bCs/>
        </w:rPr>
      </w:pPr>
      <w:r w:rsidRPr="00C07A90">
        <w:rPr>
          <w:rFonts w:hint="eastAsia"/>
          <w:b/>
          <w:bCs/>
        </w:rPr>
        <w:t>P</w:t>
      </w:r>
      <w:r w:rsidRPr="00C07A90">
        <w:rPr>
          <w:b/>
          <w:bCs/>
        </w:rPr>
        <w:t>roposal 2: For 3T3R, the legacy UE capability supportedSRS-TxPortSwitch in srs-TxSwitch should include ‘t3r3’.</w:t>
      </w:r>
    </w:p>
    <w:p w14:paraId="30D1726D" w14:textId="77777777" w:rsidR="00666500" w:rsidRPr="00C07A90" w:rsidRDefault="00666500" w:rsidP="00666500">
      <w:pPr>
        <w:rPr>
          <w:b/>
          <w:bCs/>
        </w:rPr>
      </w:pPr>
      <w:r w:rsidRPr="00C07A90">
        <w:rPr>
          <w:rFonts w:hint="eastAsia"/>
          <w:b/>
          <w:bCs/>
        </w:rPr>
        <w:t>P</w:t>
      </w:r>
      <w:r w:rsidRPr="00C07A90">
        <w:rPr>
          <w:b/>
          <w:bCs/>
        </w:rPr>
        <w:t>roposal 3: For 3T</w:t>
      </w:r>
      <w:r>
        <w:rPr>
          <w:b/>
          <w:bCs/>
        </w:rPr>
        <w:t>3</w:t>
      </w:r>
      <w:r w:rsidRPr="00C07A90">
        <w:rPr>
          <w:b/>
          <w:bCs/>
        </w:rPr>
        <w:t>R, the legacy UE capability supportedSRS-TxPortSwitch-v1610 in srs-TxSwitch-v1610 should include ‘t3r3-t2r2-t1r1’</w:t>
      </w:r>
      <w:r>
        <w:rPr>
          <w:b/>
          <w:bCs/>
        </w:rPr>
        <w:t xml:space="preserve"> as downgrading configuration</w:t>
      </w:r>
      <w:r w:rsidRPr="00C07A90">
        <w:rPr>
          <w:b/>
          <w:bCs/>
        </w:rPr>
        <w:t>.</w:t>
      </w:r>
    </w:p>
    <w:p w14:paraId="4D093276" w14:textId="77777777" w:rsidR="00666500" w:rsidRPr="00265145" w:rsidRDefault="00666500" w:rsidP="00666500">
      <w:pPr>
        <w:rPr>
          <w:b/>
          <w:bCs/>
        </w:rPr>
      </w:pPr>
      <w:r w:rsidRPr="00265145">
        <w:rPr>
          <w:rFonts w:hint="eastAsia"/>
          <w:b/>
          <w:bCs/>
        </w:rPr>
        <w:t>P</w:t>
      </w:r>
      <w:r w:rsidRPr="00265145">
        <w:rPr>
          <w:b/>
          <w:bCs/>
        </w:rPr>
        <w:t xml:space="preserve">roposal 4: For 3T6R, the legacy UE capability supportedSRS-TxPortSwitchBeyond4RX in srs-AntennaSwitchingBeyond4RX should include </w:t>
      </w:r>
      <w:r>
        <w:rPr>
          <w:b/>
          <w:bCs/>
        </w:rPr>
        <w:t xml:space="preserve">‘t3r3’ and </w:t>
      </w:r>
      <w:r w:rsidRPr="00265145">
        <w:rPr>
          <w:b/>
          <w:bCs/>
        </w:rPr>
        <w:t>‘t3r6’ (i.e., 1</w:t>
      </w:r>
      <w:r>
        <w:rPr>
          <w:b/>
          <w:bCs/>
        </w:rPr>
        <w:t>3</w:t>
      </w:r>
      <w:r w:rsidRPr="00265145">
        <w:rPr>
          <w:b/>
          <w:bCs/>
        </w:rPr>
        <w:t>-bit bitmap).</w:t>
      </w:r>
    </w:p>
    <w:p w14:paraId="14D8F5AA" w14:textId="77777777" w:rsidR="00666500" w:rsidRPr="00EC36D3" w:rsidRDefault="00666500" w:rsidP="00666500">
      <w:pPr>
        <w:rPr>
          <w:b/>
          <w:bCs/>
        </w:rPr>
      </w:pPr>
      <w:r w:rsidRPr="00EC36D3">
        <w:rPr>
          <w:rFonts w:hint="eastAsia"/>
          <w:b/>
          <w:bCs/>
        </w:rPr>
        <w:t>P</w:t>
      </w:r>
      <w:r w:rsidRPr="00EC36D3">
        <w:rPr>
          <w:b/>
          <w:bCs/>
        </w:rPr>
        <w:t>roposal 5: The new RRC parameter, which enables/disables 1003 port, should be configured in SRS-Config.</w:t>
      </w:r>
    </w:p>
    <w:p w14:paraId="42C97057" w14:textId="0186556D" w:rsidR="007F0ABA" w:rsidRPr="00666500" w:rsidRDefault="007F0ABA" w:rsidP="007F0ABA">
      <w:pPr>
        <w:rPr>
          <w:b/>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BD09FD5" w14:textId="77777777" w:rsidR="002A4EC4"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RP-234007, New WID: NR MIMO Phase 5, Dec., 2023.</w:t>
      </w:r>
    </w:p>
    <w:p w14:paraId="6D909AF3" w14:textId="77777777" w:rsidR="002A4EC4" w:rsidRPr="00555770"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RP-242394, WID revision: NR MIMO Phase 5, Sep., 2024.</w:t>
      </w:r>
    </w:p>
    <w:p w14:paraId="7296211F" w14:textId="2B57A138" w:rsidR="00EB005B" w:rsidRPr="002A4EC4" w:rsidRDefault="00EB005B" w:rsidP="002A4EC4">
      <w:pPr>
        <w:pStyle w:val="textintend2"/>
        <w:widowControl w:val="0"/>
        <w:numPr>
          <w:ilvl w:val="0"/>
          <w:numId w:val="0"/>
        </w:numPr>
        <w:spacing w:after="0"/>
        <w:ind w:left="420" w:hanging="420"/>
        <w:rPr>
          <w:szCs w:val="24"/>
          <w:lang w:eastAsia="ja-JP"/>
        </w:rPr>
      </w:pPr>
    </w:p>
    <w:sectPr w:rsidR="00EB005B" w:rsidRPr="002A4EC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395D9" w14:textId="77777777" w:rsidR="00F02F79" w:rsidRDefault="00F02F79">
      <w:r>
        <w:separator/>
      </w:r>
    </w:p>
  </w:endnote>
  <w:endnote w:type="continuationSeparator" w:id="0">
    <w:p w14:paraId="30ECF747" w14:textId="77777777" w:rsidR="00F02F79" w:rsidRDefault="00F02F79">
      <w:r>
        <w:continuationSeparator/>
      </w:r>
    </w:p>
  </w:endnote>
  <w:endnote w:type="continuationNotice" w:id="1">
    <w:p w14:paraId="134B800C" w14:textId="77777777" w:rsidR="00F02F79" w:rsidRDefault="00F02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E7F6" w14:textId="77777777" w:rsidR="00F02F79" w:rsidRDefault="00F02F79">
      <w:r>
        <w:separator/>
      </w:r>
    </w:p>
  </w:footnote>
  <w:footnote w:type="continuationSeparator" w:id="0">
    <w:p w14:paraId="6C271A2B" w14:textId="77777777" w:rsidR="00F02F79" w:rsidRDefault="00F02F79">
      <w:r>
        <w:continuationSeparator/>
      </w:r>
    </w:p>
  </w:footnote>
  <w:footnote w:type="continuationNotice" w:id="1">
    <w:p w14:paraId="016C7879" w14:textId="77777777" w:rsidR="00F02F79" w:rsidRDefault="00F02F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multilevel"/>
    <w:tmpl w:val="468519EC"/>
    <w:lvl w:ilvl="0">
      <w:numFmt w:val="bullet"/>
      <w:lvlText w:val="-"/>
      <w:lvlJc w:val="left"/>
      <w:pPr>
        <w:ind w:left="2344"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0"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1041702">
    <w:abstractNumId w:val="34"/>
  </w:num>
  <w:num w:numId="2" w16cid:durableId="875967151">
    <w:abstractNumId w:val="7"/>
  </w:num>
  <w:num w:numId="3" w16cid:durableId="2017920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632100">
    <w:abstractNumId w:val="36"/>
  </w:num>
  <w:num w:numId="5" w16cid:durableId="1412576990">
    <w:abstractNumId w:val="22"/>
  </w:num>
  <w:num w:numId="6" w16cid:durableId="2008051329">
    <w:abstractNumId w:val="23"/>
  </w:num>
  <w:num w:numId="7" w16cid:durableId="448858778">
    <w:abstractNumId w:val="20"/>
  </w:num>
  <w:num w:numId="8" w16cid:durableId="2086026849">
    <w:abstractNumId w:val="5"/>
  </w:num>
  <w:num w:numId="9" w16cid:durableId="2042898334">
    <w:abstractNumId w:val="40"/>
  </w:num>
  <w:num w:numId="10" w16cid:durableId="395012961">
    <w:abstractNumId w:val="18"/>
  </w:num>
  <w:num w:numId="11" w16cid:durableId="37094377">
    <w:abstractNumId w:val="2"/>
  </w:num>
  <w:num w:numId="12" w16cid:durableId="593560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7865918">
    <w:abstractNumId w:val="35"/>
  </w:num>
  <w:num w:numId="14" w16cid:durableId="627858674">
    <w:abstractNumId w:val="11"/>
  </w:num>
  <w:num w:numId="15" w16cid:durableId="1799716853">
    <w:abstractNumId w:val="4"/>
  </w:num>
  <w:num w:numId="16" w16cid:durableId="641160289">
    <w:abstractNumId w:val="8"/>
  </w:num>
  <w:num w:numId="17" w16cid:durableId="742802627">
    <w:abstractNumId w:val="39"/>
  </w:num>
  <w:num w:numId="18" w16cid:durableId="251815206">
    <w:abstractNumId w:val="30"/>
  </w:num>
  <w:num w:numId="19" w16cid:durableId="1867911798">
    <w:abstractNumId w:val="26"/>
  </w:num>
  <w:num w:numId="20" w16cid:durableId="923419212">
    <w:abstractNumId w:val="28"/>
  </w:num>
  <w:num w:numId="21" w16cid:durableId="1952129020">
    <w:abstractNumId w:val="10"/>
  </w:num>
  <w:num w:numId="22" w16cid:durableId="20672932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4017209">
    <w:abstractNumId w:val="12"/>
  </w:num>
  <w:num w:numId="24" w16cid:durableId="1065372729">
    <w:abstractNumId w:val="32"/>
  </w:num>
  <w:num w:numId="25" w16cid:durableId="680280131">
    <w:abstractNumId w:val="31"/>
  </w:num>
  <w:num w:numId="26" w16cid:durableId="29956608">
    <w:abstractNumId w:val="6"/>
  </w:num>
  <w:num w:numId="27" w16cid:durableId="490365108">
    <w:abstractNumId w:val="14"/>
  </w:num>
  <w:num w:numId="28" w16cid:durableId="1705205316">
    <w:abstractNumId w:val="33"/>
  </w:num>
  <w:num w:numId="29" w16cid:durableId="1874876852">
    <w:abstractNumId w:val="29"/>
  </w:num>
  <w:num w:numId="30" w16cid:durableId="1526864558">
    <w:abstractNumId w:val="1"/>
  </w:num>
  <w:num w:numId="31" w16cid:durableId="2072999212">
    <w:abstractNumId w:val="27"/>
  </w:num>
  <w:num w:numId="32" w16cid:durableId="1731076836">
    <w:abstractNumId w:val="25"/>
  </w:num>
  <w:num w:numId="33" w16cid:durableId="461192707">
    <w:abstractNumId w:val="15"/>
  </w:num>
  <w:num w:numId="34" w16cid:durableId="2021856400">
    <w:abstractNumId w:val="24"/>
  </w:num>
  <w:num w:numId="35" w16cid:durableId="196242156">
    <w:abstractNumId w:val="21"/>
  </w:num>
  <w:num w:numId="36" w16cid:durableId="1479611994">
    <w:abstractNumId w:val="16"/>
  </w:num>
  <w:num w:numId="37" w16cid:durableId="1827816924">
    <w:abstractNumId w:val="17"/>
  </w:num>
  <w:num w:numId="38" w16cid:durableId="642858453">
    <w:abstractNumId w:val="9"/>
  </w:num>
  <w:num w:numId="39" w16cid:durableId="2037343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2121994810">
    <w:abstractNumId w:val="41"/>
  </w:num>
  <w:num w:numId="41" w16cid:durableId="1024212934">
    <w:abstractNumId w:val="3"/>
  </w:num>
  <w:num w:numId="42" w16cid:durableId="1614708402">
    <w:abstractNumId w:val="37"/>
  </w:num>
  <w:num w:numId="43" w16cid:durableId="1798527709">
    <w:abstractNumId w:val="38"/>
  </w:num>
  <w:num w:numId="44" w16cid:durableId="43151629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21A"/>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40"/>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41"/>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190B5-7312-4C0F-A962-4CBD256D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Pages>
  <Words>1758</Words>
  <Characters>10023</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56</cp:revision>
  <cp:lastPrinted>2019-03-18T06:48:00Z</cp:lastPrinted>
  <dcterms:created xsi:type="dcterms:W3CDTF">2024-08-09T03:06:00Z</dcterms:created>
  <dcterms:modified xsi:type="dcterms:W3CDTF">2024-11-08T09:56:00Z</dcterms:modified>
</cp:coreProperties>
</file>