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181CD" w14:textId="5D4B0010" w:rsidR="00A17086" w:rsidRPr="009502EC" w:rsidRDefault="00A17086" w:rsidP="00A17086">
      <w:pPr>
        <w:spacing w:line="240" w:lineRule="atLeast"/>
        <w:rPr>
          <w:rFonts w:ascii="Arial" w:hAnsi="Arial" w:cs="Arial"/>
          <w:b/>
          <w:bCs/>
          <w:snapToGrid w:val="0"/>
          <w:sz w:val="24"/>
          <w:lang w:val="en-GB"/>
        </w:rPr>
      </w:pPr>
      <w:r w:rsidRPr="004B0983">
        <w:rPr>
          <w:rFonts w:ascii="Arial" w:hAnsi="Arial" w:cs="Arial"/>
          <w:b/>
          <w:bCs/>
          <w:snapToGrid w:val="0"/>
          <w:sz w:val="24"/>
          <w:lang w:val="en-GB"/>
        </w:rPr>
        <w:t>3GPP TSG RAN WG1 #11</w:t>
      </w:r>
      <w:r w:rsidR="009502EC">
        <w:rPr>
          <w:rFonts w:ascii="Arial" w:hAnsi="Arial" w:cs="Arial"/>
          <w:b/>
          <w:bCs/>
          <w:snapToGrid w:val="0"/>
          <w:sz w:val="24"/>
          <w:lang w:val="en-GB"/>
        </w:rPr>
        <w:t>9</w:t>
      </w:r>
      <w:r w:rsidRPr="004B0983">
        <w:rPr>
          <w:rFonts w:ascii="Arial" w:hAnsi="Arial" w:cs="Arial"/>
          <w:b/>
          <w:bCs/>
          <w:snapToGrid w:val="0"/>
          <w:sz w:val="24"/>
          <w:lang w:val="en-GB"/>
        </w:rPr>
        <w:t xml:space="preserve">   </w:t>
      </w:r>
      <w:r w:rsidRPr="004B0983">
        <w:rPr>
          <w:rFonts w:ascii="Arial" w:hAnsi="Arial" w:cs="Arial"/>
          <w:b/>
          <w:bCs/>
          <w:snapToGrid w:val="0"/>
          <w:sz w:val="24"/>
          <w:lang w:val="en-GB"/>
        </w:rPr>
        <w:tab/>
        <w:t xml:space="preserve"> </w:t>
      </w:r>
      <w:r w:rsidRPr="004B0983">
        <w:rPr>
          <w:rFonts w:ascii="Arial" w:hAnsi="Arial" w:cs="Arial"/>
          <w:b/>
          <w:bCs/>
          <w:snapToGrid w:val="0"/>
          <w:sz w:val="24"/>
          <w:lang w:val="en-GB"/>
        </w:rPr>
        <w:tab/>
        <w:t xml:space="preserve">  </w:t>
      </w:r>
      <w:r w:rsidRPr="004B0983">
        <w:rPr>
          <w:rFonts w:ascii="Arial" w:hAnsi="Arial" w:cs="Arial"/>
          <w:b/>
          <w:bCs/>
          <w:snapToGrid w:val="0"/>
          <w:sz w:val="24"/>
          <w:lang w:val="en-GB"/>
        </w:rPr>
        <w:tab/>
        <w:t xml:space="preserve">                 R1-</w:t>
      </w:r>
      <w:r w:rsidR="006E0332" w:rsidRPr="004B0983">
        <w:rPr>
          <w:rFonts w:ascii="Arial" w:hAnsi="Arial" w:cs="Arial"/>
          <w:b/>
          <w:bCs/>
          <w:snapToGrid w:val="0"/>
          <w:sz w:val="24"/>
          <w:lang w:val="en-GB"/>
        </w:rPr>
        <w:t>24</w:t>
      </w:r>
      <w:r w:rsidR="00E13D93" w:rsidRPr="00E13D93">
        <w:rPr>
          <w:rFonts w:ascii="Arial" w:hAnsi="Arial" w:cs="Arial"/>
          <w:b/>
          <w:bCs/>
          <w:snapToGrid w:val="0"/>
          <w:sz w:val="24"/>
          <w:lang w:val="en-GB"/>
        </w:rPr>
        <w:t>10196</w:t>
      </w:r>
    </w:p>
    <w:p w14:paraId="2C8700F2" w14:textId="6C079611" w:rsidR="0092511A" w:rsidRPr="009502EC" w:rsidRDefault="009502EC" w:rsidP="0092511A">
      <w:pPr>
        <w:pBdr>
          <w:bottom w:val="single" w:sz="12" w:space="1" w:color="auto"/>
        </w:pBdr>
        <w:wordWrap/>
        <w:spacing w:before="100" w:beforeAutospacing="1" w:after="100" w:afterAutospacing="1" w:line="360" w:lineRule="auto"/>
        <w:contextualSpacing/>
        <w:rPr>
          <w:rFonts w:ascii="Arial" w:hAnsi="Arial" w:cs="Arial"/>
          <w:b/>
          <w:bCs/>
          <w:snapToGrid w:val="0"/>
        </w:rPr>
      </w:pPr>
      <w:r w:rsidRPr="009502EC">
        <w:rPr>
          <w:rFonts w:ascii="Arial" w:eastAsia="MS Mincho" w:hAnsi="Arial" w:cs="Arial"/>
          <w:b/>
          <w:bCs/>
          <w:sz w:val="24"/>
          <w:lang w:eastAsia="ja-JP"/>
        </w:rPr>
        <w:t>Orlando, US, November 18</w:t>
      </w:r>
      <w:r w:rsidRPr="009502EC">
        <w:rPr>
          <w:rFonts w:ascii="Arial" w:eastAsia="MS Mincho" w:hAnsi="Arial" w:cs="Arial"/>
          <w:b/>
          <w:bCs/>
          <w:sz w:val="24"/>
          <w:vertAlign w:val="superscript"/>
          <w:lang w:eastAsia="ja-JP"/>
        </w:rPr>
        <w:t>th</w:t>
      </w:r>
      <w:r w:rsidRPr="009502EC">
        <w:rPr>
          <w:rFonts w:ascii="Arial" w:eastAsia="MS Mincho" w:hAnsi="Arial" w:cs="Arial"/>
          <w:b/>
          <w:bCs/>
          <w:sz w:val="24"/>
          <w:lang w:eastAsia="ja-JP"/>
        </w:rPr>
        <w:t xml:space="preserve"> – 22</w:t>
      </w:r>
      <w:r w:rsidRPr="009502EC">
        <w:rPr>
          <w:rFonts w:ascii="Arial" w:eastAsia="MS Mincho" w:hAnsi="Arial" w:cs="Arial"/>
          <w:b/>
          <w:bCs/>
          <w:sz w:val="24"/>
          <w:vertAlign w:val="superscript"/>
          <w:lang w:eastAsia="ja-JP"/>
        </w:rPr>
        <w:t>nd</w:t>
      </w:r>
      <w:r w:rsidRPr="009502EC">
        <w:rPr>
          <w:rFonts w:ascii="Arial" w:eastAsia="MS Mincho" w:hAnsi="Arial" w:cs="Arial"/>
          <w:b/>
          <w:bCs/>
          <w:sz w:val="24"/>
          <w:lang w:eastAsia="ja-JP"/>
        </w:rPr>
        <w:t>, 2024</w:t>
      </w:r>
    </w:p>
    <w:p w14:paraId="6D879566" w14:textId="1CBA2AAD" w:rsidR="00F06030" w:rsidRPr="004B0983" w:rsidRDefault="00F06030" w:rsidP="002E0A64">
      <w:pPr>
        <w:rPr>
          <w:rFonts w:ascii="Arial" w:hAnsi="Arial" w:cs="Arial"/>
          <w:sz w:val="24"/>
        </w:rPr>
      </w:pPr>
      <w:r w:rsidRPr="004B0983">
        <w:rPr>
          <w:rFonts w:ascii="Arial" w:hAnsi="Arial" w:cs="Arial"/>
          <w:b/>
          <w:sz w:val="24"/>
        </w:rPr>
        <w:t>Agenda item:</w:t>
      </w:r>
      <w:r w:rsidRPr="004B0983">
        <w:rPr>
          <w:rFonts w:ascii="Arial" w:hAnsi="Arial" w:cs="Arial"/>
          <w:b/>
          <w:sz w:val="24"/>
        </w:rPr>
        <w:tab/>
      </w:r>
      <w:r w:rsidRPr="004B0983">
        <w:rPr>
          <w:rFonts w:ascii="Arial" w:hAnsi="Arial" w:cs="Arial"/>
          <w:b/>
          <w:sz w:val="24"/>
        </w:rPr>
        <w:tab/>
      </w:r>
      <w:r w:rsidR="00AB585F" w:rsidRPr="004B0983">
        <w:rPr>
          <w:rFonts w:ascii="Arial" w:hAnsi="Arial" w:cs="Arial"/>
          <w:sz w:val="24"/>
        </w:rPr>
        <w:t>9.</w:t>
      </w:r>
      <w:r w:rsidR="005E1811" w:rsidRPr="004B0983">
        <w:rPr>
          <w:rFonts w:ascii="Arial" w:hAnsi="Arial" w:cs="Arial"/>
          <w:sz w:val="24"/>
        </w:rPr>
        <w:t>1</w:t>
      </w:r>
      <w:r w:rsidR="00483C18" w:rsidRPr="004B0983">
        <w:rPr>
          <w:rFonts w:ascii="Arial" w:hAnsi="Arial" w:cs="Arial"/>
          <w:sz w:val="24"/>
        </w:rPr>
        <w:t>.</w:t>
      </w:r>
      <w:r w:rsidR="0092511A">
        <w:rPr>
          <w:rFonts w:ascii="Arial" w:hAnsi="Arial" w:cs="Arial"/>
          <w:sz w:val="24"/>
        </w:rPr>
        <w:t>4</w:t>
      </w:r>
      <w:r w:rsidR="005E1811" w:rsidRPr="004B0983">
        <w:rPr>
          <w:rFonts w:ascii="Arial" w:hAnsi="Arial" w:cs="Arial"/>
          <w:sz w:val="24"/>
        </w:rPr>
        <w:t>.</w:t>
      </w:r>
      <w:r w:rsidR="0092511A">
        <w:rPr>
          <w:rFonts w:ascii="Arial" w:hAnsi="Arial" w:cs="Arial"/>
          <w:sz w:val="24"/>
        </w:rPr>
        <w:t>2</w:t>
      </w:r>
    </w:p>
    <w:p w14:paraId="057B5BBA" w14:textId="77777777" w:rsidR="00F06030" w:rsidRPr="004B0983" w:rsidRDefault="00F06030" w:rsidP="002E0A64">
      <w:pPr>
        <w:rPr>
          <w:rFonts w:ascii="Arial" w:hAnsi="Arial" w:cs="Arial"/>
          <w:sz w:val="24"/>
        </w:rPr>
      </w:pPr>
      <w:r w:rsidRPr="004B0983">
        <w:rPr>
          <w:rFonts w:ascii="Arial" w:hAnsi="Arial" w:cs="Arial"/>
          <w:b/>
          <w:sz w:val="24"/>
        </w:rPr>
        <w:t>Source:</w:t>
      </w:r>
      <w:r w:rsidRPr="004B0983">
        <w:rPr>
          <w:rFonts w:ascii="Arial" w:hAnsi="Arial" w:cs="Arial"/>
          <w:b/>
          <w:sz w:val="24"/>
        </w:rPr>
        <w:tab/>
      </w:r>
      <w:r w:rsidRPr="004B0983">
        <w:rPr>
          <w:rFonts w:ascii="Arial" w:hAnsi="Arial" w:cs="Arial"/>
          <w:b/>
          <w:sz w:val="24"/>
        </w:rPr>
        <w:tab/>
      </w:r>
      <w:r w:rsidRPr="004B0983">
        <w:rPr>
          <w:rFonts w:ascii="Arial" w:hAnsi="Arial" w:cs="Arial"/>
          <w:sz w:val="24"/>
        </w:rPr>
        <w:t>LG Electronics</w:t>
      </w:r>
    </w:p>
    <w:p w14:paraId="687A90CF" w14:textId="4E682C27" w:rsidR="00F06030" w:rsidRPr="004B0983" w:rsidRDefault="00F06030" w:rsidP="002E0A64">
      <w:pPr>
        <w:rPr>
          <w:rFonts w:ascii="Arial" w:hAnsi="Arial" w:cs="Arial"/>
          <w:sz w:val="24"/>
        </w:rPr>
      </w:pPr>
      <w:r w:rsidRPr="004B0983">
        <w:rPr>
          <w:rFonts w:ascii="Arial" w:hAnsi="Arial" w:cs="Arial"/>
          <w:b/>
          <w:sz w:val="24"/>
        </w:rPr>
        <w:t>Title:</w:t>
      </w:r>
      <w:r w:rsidRPr="004B0983">
        <w:rPr>
          <w:rFonts w:ascii="Arial" w:hAnsi="Arial" w:cs="Arial"/>
          <w:b/>
          <w:sz w:val="24"/>
        </w:rPr>
        <w:tab/>
      </w:r>
      <w:r w:rsidRPr="004B0983">
        <w:rPr>
          <w:rFonts w:ascii="Arial" w:hAnsi="Arial" w:cs="Arial"/>
          <w:b/>
          <w:sz w:val="24"/>
        </w:rPr>
        <w:tab/>
      </w:r>
      <w:r w:rsidRPr="004B0983">
        <w:rPr>
          <w:rFonts w:ascii="Arial" w:hAnsi="Arial" w:cs="Arial"/>
          <w:b/>
          <w:sz w:val="24"/>
        </w:rPr>
        <w:tab/>
      </w:r>
      <w:r w:rsidR="00AE14C1" w:rsidRPr="004B0983">
        <w:rPr>
          <w:rFonts w:ascii="Arial" w:hAnsi="Arial" w:cs="Arial"/>
          <w:sz w:val="24"/>
        </w:rPr>
        <w:t>Discussion</w:t>
      </w:r>
      <w:r w:rsidR="005E1811" w:rsidRPr="004B0983">
        <w:rPr>
          <w:rFonts w:ascii="Arial" w:hAnsi="Arial" w:cs="Arial"/>
          <w:sz w:val="24"/>
        </w:rPr>
        <w:t xml:space="preserve"> on </w:t>
      </w:r>
      <w:r w:rsidR="00AE14C1" w:rsidRPr="004B0983">
        <w:rPr>
          <w:rFonts w:ascii="Arial" w:hAnsi="Arial" w:cs="Arial"/>
          <w:sz w:val="24"/>
        </w:rPr>
        <w:t>other aspects of AI/ML model and data</w:t>
      </w:r>
    </w:p>
    <w:p w14:paraId="411255C7" w14:textId="77777777" w:rsidR="00F06030" w:rsidRPr="00596295" w:rsidRDefault="00F06030" w:rsidP="002E0A64">
      <w:pPr>
        <w:pBdr>
          <w:bottom w:val="single" w:sz="12" w:space="1" w:color="auto"/>
        </w:pBdr>
        <w:rPr>
          <w:rFonts w:ascii="Arial" w:hAnsi="Arial" w:cs="Arial"/>
          <w:sz w:val="24"/>
        </w:rPr>
      </w:pPr>
      <w:r w:rsidRPr="004B0983">
        <w:rPr>
          <w:rFonts w:ascii="Arial" w:hAnsi="Arial" w:cs="Arial"/>
          <w:b/>
          <w:sz w:val="24"/>
        </w:rPr>
        <w:t>Document for:</w:t>
      </w:r>
      <w:r w:rsidRPr="004B0983">
        <w:rPr>
          <w:rFonts w:ascii="Arial" w:hAnsi="Arial" w:cs="Arial"/>
          <w:b/>
          <w:sz w:val="24"/>
        </w:rPr>
        <w:tab/>
      </w:r>
      <w:r w:rsidRPr="004B0983">
        <w:rPr>
          <w:rFonts w:ascii="Arial" w:hAnsi="Arial" w:cs="Arial"/>
          <w:sz w:val="24"/>
        </w:rPr>
        <w:t>Discussion and Decision</w:t>
      </w:r>
    </w:p>
    <w:p w14:paraId="77718171" w14:textId="77777777" w:rsidR="00F06030" w:rsidRPr="00596295" w:rsidRDefault="00F06030" w:rsidP="00F06030">
      <w:pPr>
        <w:pStyle w:val="1"/>
      </w:pPr>
      <w:r w:rsidRPr="00596295">
        <w:t>Introduction</w:t>
      </w:r>
    </w:p>
    <w:p w14:paraId="587FB732" w14:textId="2EC17802" w:rsidR="000B45E0" w:rsidRPr="00596295" w:rsidRDefault="00AB585F" w:rsidP="00F06030">
      <w:r w:rsidRPr="00596295">
        <w:t xml:space="preserve">In this contribution, we discuss </w:t>
      </w:r>
      <w:r w:rsidR="005E1811">
        <w:t xml:space="preserve">on the following study objectives described in the </w:t>
      </w:r>
      <w:r w:rsidR="0092511A">
        <w:t xml:space="preserve">revised </w:t>
      </w:r>
      <w:r w:rsidR="005E1811">
        <w:t>WID</w:t>
      </w:r>
      <w:r w:rsidR="00B84F26">
        <w:t xml:space="preserve"> </w:t>
      </w:r>
      <w:r w:rsidRPr="00596295">
        <w:t>[1].</w:t>
      </w:r>
    </w:p>
    <w:tbl>
      <w:tblPr>
        <w:tblStyle w:val="a6"/>
        <w:tblW w:w="0" w:type="auto"/>
        <w:tblLook w:val="04A0" w:firstRow="1" w:lastRow="0" w:firstColumn="1" w:lastColumn="0" w:noHBand="0" w:noVBand="1"/>
      </w:tblPr>
      <w:tblGrid>
        <w:gridCol w:w="9016"/>
      </w:tblGrid>
      <w:tr w:rsidR="000B45E0" w:rsidRPr="00596295" w14:paraId="39AD4F67" w14:textId="77777777" w:rsidTr="000B45E0">
        <w:tc>
          <w:tcPr>
            <w:tcW w:w="9016" w:type="dxa"/>
          </w:tcPr>
          <w:p w14:paraId="728FE59B" w14:textId="63ED5CE2" w:rsidR="005E1811" w:rsidRDefault="005E1811" w:rsidP="005E1811">
            <w:pPr>
              <w:rPr>
                <w:bCs/>
              </w:rPr>
            </w:pPr>
            <w:r>
              <w:rPr>
                <w:bCs/>
              </w:rPr>
              <w:t>Study objectives:</w:t>
            </w:r>
          </w:p>
          <w:p w14:paraId="65F3B6A2" w14:textId="18CE097E" w:rsidR="005E1811" w:rsidRPr="005E1811" w:rsidRDefault="005E1811" w:rsidP="005E1811">
            <w:pPr>
              <w:widowControl/>
              <w:wordWrap/>
              <w:overflowPunct w:val="0"/>
              <w:adjustRightInd w:val="0"/>
              <w:jc w:val="center"/>
              <w:textAlignment w:val="baseline"/>
              <w:rPr>
                <w:bCs/>
                <w:color w:val="FF0000"/>
              </w:rPr>
            </w:pPr>
            <w:r w:rsidRPr="005E1811">
              <w:rPr>
                <w:bCs/>
                <w:color w:val="FF0000"/>
              </w:rPr>
              <w:t>(omitted)</w:t>
            </w:r>
          </w:p>
          <w:p w14:paraId="75DB7DD7" w14:textId="77777777" w:rsidR="0092511A" w:rsidRDefault="0092511A" w:rsidP="0092511A">
            <w:pPr>
              <w:widowControl/>
              <w:numPr>
                <w:ilvl w:val="0"/>
                <w:numId w:val="38"/>
              </w:numPr>
              <w:wordWrap/>
              <w:overflowPunct w:val="0"/>
              <w:adjustRightInd w:val="0"/>
              <w:jc w:val="left"/>
              <w:textAlignment w:val="baseline"/>
              <w:rPr>
                <w:bCs/>
              </w:rPr>
            </w:pPr>
            <w:r>
              <w:rPr>
                <w:bCs/>
              </w:rPr>
              <w:t>N</w:t>
            </w:r>
            <w:r w:rsidRPr="0045271D">
              <w:rPr>
                <w:bCs/>
              </w:rPr>
              <w:t>ecessity and details of model Identification concept and procedure in the context of LCM</w:t>
            </w:r>
            <w:r>
              <w:rPr>
                <w:bCs/>
              </w:rPr>
              <w:t xml:space="preserve"> </w:t>
            </w:r>
            <w:r w:rsidRPr="0092511A">
              <w:rPr>
                <w:bCs/>
                <w:color w:val="FF0000"/>
              </w:rPr>
              <w:t xml:space="preserve">for two-sided models </w:t>
            </w:r>
            <w:r w:rsidRPr="0045271D">
              <w:rPr>
                <w:bCs/>
              </w:rPr>
              <w:t xml:space="preserve">[RAN2/RAN1] </w:t>
            </w:r>
          </w:p>
          <w:p w14:paraId="00779D0B" w14:textId="77777777" w:rsidR="0092511A" w:rsidRPr="00134864" w:rsidRDefault="0092511A" w:rsidP="0092511A">
            <w:pPr>
              <w:widowControl/>
              <w:numPr>
                <w:ilvl w:val="0"/>
                <w:numId w:val="38"/>
              </w:numPr>
              <w:wordWrap/>
              <w:overflowPunct w:val="0"/>
              <w:adjustRightInd w:val="0"/>
              <w:jc w:val="left"/>
              <w:textAlignment w:val="baseline"/>
              <w:rPr>
                <w:bCs/>
              </w:rPr>
            </w:pPr>
            <w:r>
              <w:rPr>
                <w:bCs/>
              </w:rPr>
              <w:t>CN</w:t>
            </w:r>
            <w:r w:rsidRPr="00134864">
              <w:rPr>
                <w:bCs/>
              </w:rPr>
              <w:t xml:space="preserve">/OAM/OTT collection of UE-sided model training data [RAN2/RAN1]: </w:t>
            </w:r>
          </w:p>
          <w:p w14:paraId="07D04CE5" w14:textId="77777777" w:rsidR="0092511A" w:rsidRPr="0045271D" w:rsidRDefault="0092511A" w:rsidP="0092511A">
            <w:pPr>
              <w:widowControl/>
              <w:numPr>
                <w:ilvl w:val="1"/>
                <w:numId w:val="38"/>
              </w:numPr>
              <w:wordWrap/>
              <w:overflowPunct w:val="0"/>
              <w:adjustRightInd w:val="0"/>
              <w:jc w:val="left"/>
              <w:textAlignment w:val="baseline"/>
              <w:rPr>
                <w:bCs/>
              </w:rPr>
            </w:pPr>
            <w:bookmarkStart w:id="0" w:name="_Hlk152950182"/>
            <w:r w:rsidRPr="0045271D">
              <w:rPr>
                <w:bCs/>
              </w:rPr>
              <w:t>For the FS_NR_AIML_Air study use cases, identify the corresponding contents of UE data collection</w:t>
            </w:r>
          </w:p>
          <w:p w14:paraId="5D22B2E0" w14:textId="77777777" w:rsidR="0092511A" w:rsidRPr="00250569" w:rsidRDefault="0092511A" w:rsidP="0092511A">
            <w:pPr>
              <w:widowControl/>
              <w:numPr>
                <w:ilvl w:val="1"/>
                <w:numId w:val="38"/>
              </w:numPr>
              <w:wordWrap/>
              <w:overflowPunct w:val="0"/>
              <w:adjustRightInd w:val="0"/>
              <w:jc w:val="left"/>
              <w:textAlignment w:val="baseline"/>
              <w:rPr>
                <w:bCs/>
              </w:rPr>
            </w:pPr>
            <w:r w:rsidRPr="0045271D">
              <w:rPr>
                <w:bCs/>
              </w:rPr>
              <w:t>Analyse the UE data collection mechanisms identified during the FS_NR_AIML_Air (TR 38.843 section 7.2.1.3.2) study along with the implications and limitations of each of the methods</w:t>
            </w:r>
            <w:bookmarkEnd w:id="0"/>
            <w:r w:rsidRPr="0045271D">
              <w:rPr>
                <w:bCs/>
              </w:rPr>
              <w:t xml:space="preserve"> </w:t>
            </w:r>
          </w:p>
          <w:p w14:paraId="17351DDF" w14:textId="77777777" w:rsidR="0092511A" w:rsidRDefault="0092511A" w:rsidP="0092511A">
            <w:pPr>
              <w:widowControl/>
              <w:numPr>
                <w:ilvl w:val="0"/>
                <w:numId w:val="38"/>
              </w:numPr>
              <w:wordWrap/>
              <w:overflowPunct w:val="0"/>
              <w:adjustRightInd w:val="0"/>
              <w:jc w:val="left"/>
              <w:textAlignment w:val="baseline"/>
              <w:rPr>
                <w:bCs/>
              </w:rPr>
            </w:pPr>
            <w:r>
              <w:rPr>
                <w:bCs/>
              </w:rPr>
              <w:t xml:space="preserve">Model transfer/delivery [RAN2/RAN1]: </w:t>
            </w:r>
          </w:p>
          <w:p w14:paraId="13BC4B9C" w14:textId="52E7FC4A" w:rsidR="000B45E0" w:rsidRPr="0092511A" w:rsidRDefault="0092511A" w:rsidP="0092511A">
            <w:pPr>
              <w:widowControl/>
              <w:numPr>
                <w:ilvl w:val="1"/>
                <w:numId w:val="38"/>
              </w:numPr>
              <w:wordWrap/>
              <w:overflowPunct w:val="0"/>
              <w:adjustRightInd w:val="0"/>
              <w:jc w:val="left"/>
              <w:textAlignment w:val="baseline"/>
              <w:rPr>
                <w:bCs/>
              </w:rPr>
            </w:pPr>
            <w:bookmarkStart w:id="1"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1"/>
            <w:r>
              <w:rPr>
                <w:bCs/>
              </w:rPr>
              <w:t xml:space="preserve">FS_NR_AIML_Air study </w:t>
            </w:r>
          </w:p>
        </w:tc>
      </w:tr>
    </w:tbl>
    <w:p w14:paraId="3F8DABE5" w14:textId="77777777" w:rsidR="00783BAE" w:rsidRPr="00596295" w:rsidRDefault="00783BAE" w:rsidP="00F06030"/>
    <w:p w14:paraId="0AEFE135" w14:textId="77777777" w:rsidR="00F06030" w:rsidRPr="00596295" w:rsidRDefault="00F06030" w:rsidP="00F06030">
      <w:pPr>
        <w:pStyle w:val="1"/>
      </w:pPr>
      <w:r w:rsidRPr="00596295">
        <w:t>Discussion</w:t>
      </w:r>
    </w:p>
    <w:p w14:paraId="3AB23457" w14:textId="7A0EF1F2" w:rsidR="00337F4F" w:rsidRPr="00596295" w:rsidRDefault="001C02F3" w:rsidP="007C6EFC">
      <w:pPr>
        <w:pStyle w:val="2"/>
        <w:rPr>
          <w:rFonts w:eastAsia="맑은 고딕"/>
        </w:rPr>
      </w:pPr>
      <w:r>
        <w:rPr>
          <w:rFonts w:eastAsia="맑은 고딕"/>
        </w:rPr>
        <w:t>Model</w:t>
      </w:r>
      <w:r w:rsidR="00392975">
        <w:rPr>
          <w:rFonts w:eastAsia="맑은 고딕"/>
        </w:rPr>
        <w:t>/functionality</w:t>
      </w:r>
      <w:r>
        <w:rPr>
          <w:rFonts w:eastAsia="맑은 고딕"/>
        </w:rPr>
        <w:t xml:space="preserve"> identification</w:t>
      </w:r>
      <w:r w:rsidR="00527D65">
        <w:rPr>
          <w:rFonts w:eastAsia="맑은 고딕"/>
        </w:rPr>
        <w:t xml:space="preserve"> and LCM</w:t>
      </w:r>
    </w:p>
    <w:p w14:paraId="50A920CA" w14:textId="47790E76" w:rsidR="009D7932" w:rsidRDefault="00AE37A9" w:rsidP="007C6EFC">
      <w:r>
        <w:rPr>
          <w:rFonts w:hint="eastAsia"/>
        </w:rPr>
        <w:t>On this topic, RAN2</w:t>
      </w:r>
      <w:r>
        <w:t>,</w:t>
      </w:r>
      <w:r>
        <w:rPr>
          <w:rFonts w:hint="eastAsia"/>
        </w:rPr>
        <w:t xml:space="preserve"> a leading WG on this topic, m</w:t>
      </w:r>
      <w:r>
        <w:t xml:space="preserve">ade a quite good progress on functionality-based LCM aspects for BM and Positioning. </w:t>
      </w:r>
      <w:r w:rsidR="009D7932">
        <w:t xml:space="preserve">As UE reports supported functionalities via UE capability report and applicable functionality via UAI mechanism, a functionality should be a unit that affects NW-side and/or UE-side </w:t>
      </w:r>
      <w:r w:rsidR="00B42E68">
        <w:t>operation/</w:t>
      </w:r>
      <w:r w:rsidR="009D7932">
        <w:t xml:space="preserve">performance. Therefore, a functionality </w:t>
      </w:r>
      <w:r w:rsidR="00B42E68">
        <w:t>can be</w:t>
      </w:r>
      <w:r w:rsidR="009D7932">
        <w:t xml:space="preserve"> a finer unit than a sub-use-case, and could be </w:t>
      </w:r>
      <w:r w:rsidR="00B42E68">
        <w:t>same/</w:t>
      </w:r>
      <w:r w:rsidR="009D7932">
        <w:t xml:space="preserve">similar unit </w:t>
      </w:r>
      <w:r w:rsidR="00B42E68">
        <w:t>with</w:t>
      </w:r>
      <w:r w:rsidR="009D7932">
        <w:t xml:space="preserve"> an FG.</w:t>
      </w:r>
      <w:r w:rsidR="00B42E68">
        <w:t xml:space="preserve"> For example, in BM-Case1, if supported size of Set A and/or Set B is changed via model switch or update, this should be reported to NW as ‘applicable functionality update’.</w:t>
      </w:r>
    </w:p>
    <w:p w14:paraId="792DCDF2" w14:textId="3FA55C01" w:rsidR="009D7932" w:rsidRPr="00527D65" w:rsidRDefault="009D7932" w:rsidP="009D7932">
      <w:pPr>
        <w:rPr>
          <w:b/>
        </w:rPr>
      </w:pPr>
      <w:r w:rsidRPr="00527D65">
        <w:rPr>
          <w:b/>
        </w:rPr>
        <w:t>Proposal#</w:t>
      </w:r>
      <w:r>
        <w:rPr>
          <w:b/>
        </w:rPr>
        <w:t>1</w:t>
      </w:r>
      <w:r w:rsidRPr="00527D65">
        <w:rPr>
          <w:b/>
        </w:rPr>
        <w:t xml:space="preserve">. </w:t>
      </w:r>
      <w:r w:rsidR="00E13D93">
        <w:rPr>
          <w:rFonts w:hint="eastAsia"/>
          <w:b/>
        </w:rPr>
        <w:t xml:space="preserve">Clarify that </w:t>
      </w:r>
      <w:r w:rsidR="00E13D93">
        <w:rPr>
          <w:b/>
        </w:rPr>
        <w:t>a</w:t>
      </w:r>
      <w:r w:rsidR="00B42E68">
        <w:rPr>
          <w:b/>
        </w:rPr>
        <w:t xml:space="preserve"> functionality is a unit that affects NW-side and/or UE-side operation/performance. </w:t>
      </w:r>
      <w:r w:rsidR="00392975">
        <w:rPr>
          <w:b/>
        </w:rPr>
        <w:t>The granularity of a</w:t>
      </w:r>
      <w:r>
        <w:rPr>
          <w:b/>
        </w:rPr>
        <w:t xml:space="preserve"> functionality is </w:t>
      </w:r>
      <w:r w:rsidR="00EA27F0">
        <w:rPr>
          <w:b/>
        </w:rPr>
        <w:t>same/</w:t>
      </w:r>
      <w:r>
        <w:rPr>
          <w:b/>
        </w:rPr>
        <w:t>similar to an FG</w:t>
      </w:r>
      <w:r w:rsidR="00392975">
        <w:rPr>
          <w:b/>
        </w:rPr>
        <w:t xml:space="preserve">, and can be a </w:t>
      </w:r>
      <w:r>
        <w:rPr>
          <w:b/>
        </w:rPr>
        <w:t xml:space="preserve">smaller unit </w:t>
      </w:r>
      <w:r w:rsidR="00392975">
        <w:rPr>
          <w:b/>
        </w:rPr>
        <w:t>than</w:t>
      </w:r>
      <w:r>
        <w:rPr>
          <w:b/>
        </w:rPr>
        <w:t xml:space="preserve"> a sub-use-case.</w:t>
      </w:r>
    </w:p>
    <w:p w14:paraId="2745EE5E" w14:textId="212EEA63" w:rsidR="009D7932" w:rsidRPr="00392975" w:rsidRDefault="00392975" w:rsidP="007C6EFC">
      <w:r>
        <w:rPr>
          <w:rFonts w:hint="eastAsia"/>
        </w:rPr>
        <w:t xml:space="preserve">To determine applicable functionality among </w:t>
      </w:r>
      <w:r w:rsidR="00B42E68">
        <w:t xml:space="preserve">the </w:t>
      </w:r>
      <w:r>
        <w:rPr>
          <w:rFonts w:hint="eastAsia"/>
        </w:rPr>
        <w:t xml:space="preserve">supported functionalities by UE, </w:t>
      </w:r>
      <w:r>
        <w:t xml:space="preserve">NW may provide NW-side additional condition to UE. The additional condition may or may not be configured with an ID, i.e. associated ID in previous RAN1 agreements. </w:t>
      </w:r>
      <w:r w:rsidR="00B42E68">
        <w:t xml:space="preserve">In other words, the exact form of the additional condition configuration, e.g. whether or not to define an associated ID, is up to sub-use-case </w:t>
      </w:r>
      <w:r w:rsidR="00796C8F">
        <w:t xml:space="preserve">signaling </w:t>
      </w:r>
      <w:r w:rsidR="00B42E68">
        <w:t xml:space="preserve">design. </w:t>
      </w:r>
    </w:p>
    <w:p w14:paraId="70736E82" w14:textId="17CB8749" w:rsidR="009D7932" w:rsidRPr="006E0332" w:rsidRDefault="00392975" w:rsidP="007C6EFC">
      <w:pPr>
        <w:rPr>
          <w:b/>
        </w:rPr>
      </w:pPr>
      <w:r w:rsidRPr="006E0332">
        <w:rPr>
          <w:b/>
        </w:rPr>
        <w:t xml:space="preserve">Proposal#2. Clarify that </w:t>
      </w:r>
      <w:r w:rsidR="00B42E68">
        <w:rPr>
          <w:b/>
        </w:rPr>
        <w:t>NW can c</w:t>
      </w:r>
      <w:r w:rsidRPr="006E0332">
        <w:rPr>
          <w:b/>
        </w:rPr>
        <w:t>onfigure NW-side additional condition to UE</w:t>
      </w:r>
      <w:r>
        <w:rPr>
          <w:b/>
        </w:rPr>
        <w:t xml:space="preserve"> for</w:t>
      </w:r>
      <w:r w:rsidR="00B42E68">
        <w:rPr>
          <w:b/>
        </w:rPr>
        <w:t xml:space="preserve"> helping UE </w:t>
      </w:r>
      <w:r w:rsidR="00B42E68">
        <w:rPr>
          <w:b/>
        </w:rPr>
        <w:lastRenderedPageBreak/>
        <w:t>to</w:t>
      </w:r>
      <w:r>
        <w:rPr>
          <w:b/>
        </w:rPr>
        <w:t xml:space="preserve"> select applicable functionality among supported functionalities</w:t>
      </w:r>
      <w:r w:rsidR="00B42E68">
        <w:rPr>
          <w:b/>
        </w:rPr>
        <w:t xml:space="preserve">, and the exact configuration </w:t>
      </w:r>
      <w:r w:rsidR="00796C8F">
        <w:rPr>
          <w:b/>
        </w:rPr>
        <w:t>method</w:t>
      </w:r>
      <w:r w:rsidR="00B42E68">
        <w:rPr>
          <w:b/>
        </w:rPr>
        <w:t xml:space="preserve"> including whether or not to use the associated ID is up to sub-use-case</w:t>
      </w:r>
      <w:r w:rsidR="00796C8F">
        <w:rPr>
          <w:b/>
        </w:rPr>
        <w:t xml:space="preserve"> signaling</w:t>
      </w:r>
      <w:r w:rsidR="00B42E68">
        <w:rPr>
          <w:b/>
        </w:rPr>
        <w:t xml:space="preserve"> design.  </w:t>
      </w:r>
    </w:p>
    <w:p w14:paraId="7DABADC1" w14:textId="1FE2A119" w:rsidR="009977F3" w:rsidRDefault="00EA27F0" w:rsidP="009977F3">
      <w:r>
        <w:t>T</w:t>
      </w:r>
      <w:r w:rsidR="009977F3">
        <w:t xml:space="preserve">he </w:t>
      </w:r>
      <w:r w:rsidR="00373C53">
        <w:t xml:space="preserve">NW-side </w:t>
      </w:r>
      <w:r w:rsidR="009977F3">
        <w:t xml:space="preserve">information </w:t>
      </w:r>
      <w:r w:rsidR="00373C53">
        <w:t>in relation to</w:t>
      </w:r>
      <w:r w:rsidR="009977F3">
        <w:t xml:space="preserve"> the additional condition is highly dependent on the usage/structure of an AI/ML model, e.g. input/output, sub-use-case, etc. Therefore</w:t>
      </w:r>
      <w:r>
        <w:t>,</w:t>
      </w:r>
      <w:r w:rsidR="009977F3" w:rsidRPr="009977F3">
        <w:t xml:space="preserve"> </w:t>
      </w:r>
      <w:r w:rsidR="009977F3">
        <w:t>d</w:t>
      </w:r>
      <w:r w:rsidR="009977F3" w:rsidRPr="009977F3">
        <w:t>etails of associated ID, including whether it is needed, the name of the ID, the information inferred from the ID,</w:t>
      </w:r>
      <w:r w:rsidR="00E13D93">
        <w:t xml:space="preserve"> and</w:t>
      </w:r>
      <w:r w:rsidR="009977F3" w:rsidRPr="009977F3">
        <w:t xml:space="preserve"> how the ID is assigned/used, should be </w:t>
      </w:r>
      <w:r>
        <w:t xml:space="preserve">discussed and </w:t>
      </w:r>
      <w:r w:rsidR="009977F3" w:rsidRPr="009977F3">
        <w:t>decided per sub-use-case.</w:t>
      </w:r>
    </w:p>
    <w:p w14:paraId="2DF8C6D7" w14:textId="567E2904" w:rsidR="009977F3" w:rsidRPr="00D47697" w:rsidRDefault="009977F3" w:rsidP="009977F3">
      <w:pPr>
        <w:rPr>
          <w:b/>
        </w:rPr>
      </w:pPr>
      <w:r w:rsidRPr="00D47697">
        <w:rPr>
          <w:rFonts w:hint="eastAsia"/>
          <w:b/>
        </w:rPr>
        <w:t>Proposal#</w:t>
      </w:r>
      <w:r>
        <w:rPr>
          <w:b/>
        </w:rPr>
        <w:t>3</w:t>
      </w:r>
      <w:r w:rsidRPr="00D47697">
        <w:rPr>
          <w:rFonts w:hint="eastAsia"/>
          <w:b/>
        </w:rPr>
        <w:t xml:space="preserve">. </w:t>
      </w:r>
      <w:r>
        <w:rPr>
          <w:b/>
        </w:rPr>
        <w:t xml:space="preserve">Details of associated ID, including whether it is needed, the name of the ID, the information inferred from the ID, how the ID is assigned/used, should be </w:t>
      </w:r>
      <w:r w:rsidR="00EA27F0">
        <w:rPr>
          <w:b/>
        </w:rPr>
        <w:t xml:space="preserve">discussed and </w:t>
      </w:r>
      <w:r>
        <w:rPr>
          <w:b/>
        </w:rPr>
        <w:t>decided per sub-use-case.</w:t>
      </w:r>
    </w:p>
    <w:p w14:paraId="190B3608" w14:textId="73BD9094" w:rsidR="00973AA8" w:rsidRDefault="00973AA8" w:rsidP="007C6EFC">
      <w:r>
        <w:t>During</w:t>
      </w:r>
      <w:r w:rsidR="0032148C">
        <w:t xml:space="preserve"> Rel-19 study</w:t>
      </w:r>
      <w:r>
        <w:t xml:space="preserve">, </w:t>
      </w:r>
      <w:r w:rsidR="0032148C">
        <w:t xml:space="preserve">5 options </w:t>
      </w:r>
      <w:r>
        <w:t xml:space="preserve">regarding model identification were </w:t>
      </w:r>
      <w:r w:rsidR="0032148C">
        <w:t>listed</w:t>
      </w:r>
      <w:r w:rsidR="00DD2515">
        <w:t xml:space="preserve"> as captured below</w:t>
      </w:r>
      <w:r w:rsidR="00E13D93">
        <w:t>.</w:t>
      </w:r>
      <w:r w:rsidR="0032148C">
        <w:t xml:space="preserve"> </w:t>
      </w:r>
      <w:r w:rsidR="00E13D93">
        <w:t>H</w:t>
      </w:r>
      <w:r w:rsidR="0032148C">
        <w:t>owever</w:t>
      </w:r>
      <w:r w:rsidR="00E13D93">
        <w:t>,</w:t>
      </w:r>
      <w:r w:rsidR="0032148C">
        <w:t xml:space="preserve"> due to lack of discussion time, some option</w:t>
      </w:r>
      <w:r w:rsidR="00DD2515">
        <w:t>s</w:t>
      </w:r>
      <w:r w:rsidR="0032148C">
        <w:t xml:space="preserve"> such as MI-option </w:t>
      </w:r>
      <w:r w:rsidR="00DD2515">
        <w:t xml:space="preserve">3 or </w:t>
      </w:r>
      <w:r w:rsidR="0032148C">
        <w:t xml:space="preserve">4 was </w:t>
      </w:r>
      <w:r w:rsidR="00DD2515">
        <w:t xml:space="preserve">not </w:t>
      </w:r>
      <w:r w:rsidR="0032148C">
        <w:t xml:space="preserve">sufficiently discussed compared to other options. </w:t>
      </w:r>
    </w:p>
    <w:tbl>
      <w:tblPr>
        <w:tblStyle w:val="a6"/>
        <w:tblW w:w="0" w:type="auto"/>
        <w:tblLook w:val="04A0" w:firstRow="1" w:lastRow="0" w:firstColumn="1" w:lastColumn="0" w:noHBand="0" w:noVBand="1"/>
      </w:tblPr>
      <w:tblGrid>
        <w:gridCol w:w="9016"/>
      </w:tblGrid>
      <w:tr w:rsidR="00973AA8" w14:paraId="6CBC3D9B" w14:textId="77777777" w:rsidTr="00973AA8">
        <w:tc>
          <w:tcPr>
            <w:tcW w:w="9016" w:type="dxa"/>
          </w:tcPr>
          <w:p w14:paraId="3C359087" w14:textId="77777777" w:rsidR="00973AA8" w:rsidRPr="00E213DA" w:rsidRDefault="00973AA8" w:rsidP="00973AA8">
            <w:pPr>
              <w:rPr>
                <w:rFonts w:ascii="Times" w:eastAsia="DengXian" w:hAnsi="Times" w:cs="Times"/>
                <w:highlight w:val="green"/>
                <w:lang w:eastAsia="zh-CN"/>
              </w:rPr>
            </w:pPr>
            <w:r w:rsidRPr="00E213DA">
              <w:rPr>
                <w:rFonts w:ascii="Times" w:eastAsia="DengXian" w:hAnsi="Times" w:cs="Times"/>
                <w:highlight w:val="green"/>
                <w:lang w:eastAsia="zh-CN"/>
              </w:rPr>
              <w:t>Agreement</w:t>
            </w:r>
          </w:p>
          <w:p w14:paraId="6DF65ECF" w14:textId="77777777" w:rsidR="00973AA8" w:rsidRPr="00E213DA" w:rsidRDefault="00973AA8" w:rsidP="00973AA8">
            <w:pPr>
              <w:widowControl/>
              <w:numPr>
                <w:ilvl w:val="0"/>
                <w:numId w:val="41"/>
              </w:numPr>
              <w:wordWrap/>
              <w:autoSpaceDE/>
              <w:autoSpaceDN/>
              <w:jc w:val="left"/>
              <w:rPr>
                <w:rFonts w:ascii="Times" w:hAnsi="Times" w:cs="Times"/>
              </w:rPr>
            </w:pPr>
            <w:r w:rsidRPr="00E213DA">
              <w:rPr>
                <w:rFonts w:ascii="Times" w:hAnsi="Times" w:cs="Times"/>
              </w:rPr>
              <w:t>To facilitate the discussion, RAN1 studies the model identification type A with more details related to use cases.</w:t>
            </w:r>
          </w:p>
          <w:p w14:paraId="1FA02E40" w14:textId="77777777" w:rsidR="00973AA8" w:rsidRPr="00E213DA" w:rsidRDefault="00973AA8" w:rsidP="00973AA8">
            <w:pPr>
              <w:widowControl/>
              <w:numPr>
                <w:ilvl w:val="0"/>
                <w:numId w:val="41"/>
              </w:numPr>
              <w:wordWrap/>
              <w:autoSpaceDE/>
              <w:autoSpaceDN/>
              <w:jc w:val="left"/>
              <w:rPr>
                <w:rFonts w:ascii="Times" w:hAnsi="Times" w:cs="Times"/>
              </w:rPr>
            </w:pPr>
            <w:r w:rsidRPr="00E213DA">
              <w:rPr>
                <w:rFonts w:ascii="Times" w:hAnsi="Times" w:cs="Times"/>
              </w:rPr>
              <w:t xml:space="preserve">To facilitate the discussion, RAN1 studies the following options as starting point for model identification type B with more details related to all use cases </w:t>
            </w:r>
          </w:p>
          <w:p w14:paraId="5F1B1B40" w14:textId="77777777" w:rsidR="00973AA8" w:rsidRPr="00E213DA" w:rsidRDefault="00973AA8" w:rsidP="00973AA8">
            <w:pPr>
              <w:pStyle w:val="a7"/>
              <w:widowControl/>
              <w:numPr>
                <w:ilvl w:val="0"/>
                <w:numId w:val="39"/>
              </w:numPr>
              <w:wordWrap/>
              <w:autoSpaceDE/>
              <w:autoSpaceDN/>
              <w:spacing w:before="60" w:after="120" w:line="276" w:lineRule="auto"/>
              <w:ind w:leftChars="0"/>
              <w:contextualSpacing/>
              <w:rPr>
                <w:rFonts w:ascii="Times" w:hAnsi="Times" w:cs="Times"/>
                <w:sz w:val="20"/>
                <w:szCs w:val="20"/>
              </w:rPr>
            </w:pPr>
            <w:r w:rsidRPr="00E213DA">
              <w:rPr>
                <w:rFonts w:ascii="Times" w:hAnsi="Times" w:cs="Times"/>
                <w:sz w:val="20"/>
                <w:szCs w:val="20"/>
              </w:rPr>
              <w:t>MI-Option 1: Model identification with data collection related configuration(s) and/or indication(s)</w:t>
            </w:r>
          </w:p>
          <w:p w14:paraId="2DF14376" w14:textId="77777777" w:rsidR="00973AA8" w:rsidRPr="00E213DA" w:rsidRDefault="00973AA8" w:rsidP="00973AA8">
            <w:pPr>
              <w:pStyle w:val="a7"/>
              <w:widowControl/>
              <w:numPr>
                <w:ilvl w:val="0"/>
                <w:numId w:val="39"/>
              </w:numPr>
              <w:wordWrap/>
              <w:autoSpaceDE/>
              <w:autoSpaceDN/>
              <w:spacing w:before="60" w:after="120" w:line="276" w:lineRule="auto"/>
              <w:ind w:leftChars="0"/>
              <w:contextualSpacing/>
              <w:rPr>
                <w:rFonts w:ascii="Times" w:hAnsi="Times" w:cs="Times"/>
                <w:sz w:val="20"/>
                <w:szCs w:val="20"/>
              </w:rPr>
            </w:pPr>
            <w:r w:rsidRPr="00E213DA">
              <w:rPr>
                <w:rFonts w:ascii="Times" w:hAnsi="Times" w:cs="Times"/>
                <w:sz w:val="20"/>
                <w:szCs w:val="20"/>
              </w:rPr>
              <w:t>MI-Option 2: Model identification with dataset transfer</w:t>
            </w:r>
          </w:p>
          <w:p w14:paraId="1BB5DE36" w14:textId="77777777" w:rsidR="00973AA8" w:rsidRPr="00E213DA" w:rsidRDefault="00973AA8" w:rsidP="00973AA8">
            <w:pPr>
              <w:pStyle w:val="a7"/>
              <w:widowControl/>
              <w:numPr>
                <w:ilvl w:val="0"/>
                <w:numId w:val="39"/>
              </w:numPr>
              <w:wordWrap/>
              <w:autoSpaceDE/>
              <w:autoSpaceDN/>
              <w:spacing w:before="60" w:after="120" w:line="276" w:lineRule="auto"/>
              <w:ind w:leftChars="0"/>
              <w:contextualSpacing/>
              <w:rPr>
                <w:rFonts w:ascii="Times" w:hAnsi="Times" w:cs="Times"/>
                <w:sz w:val="20"/>
                <w:szCs w:val="20"/>
              </w:rPr>
            </w:pPr>
            <w:r w:rsidRPr="00E213DA">
              <w:rPr>
                <w:rFonts w:ascii="Times" w:hAnsi="Times" w:cs="Times"/>
                <w:sz w:val="20"/>
                <w:szCs w:val="20"/>
              </w:rPr>
              <w:t>MI-Option 3: Model identification in model transfer from NW to UE</w:t>
            </w:r>
          </w:p>
          <w:p w14:paraId="2B1A7704" w14:textId="77777777" w:rsidR="00973AA8" w:rsidRPr="00E213DA" w:rsidRDefault="00973AA8" w:rsidP="00973AA8">
            <w:pPr>
              <w:pStyle w:val="a7"/>
              <w:widowControl/>
              <w:numPr>
                <w:ilvl w:val="0"/>
                <w:numId w:val="39"/>
              </w:numPr>
              <w:wordWrap/>
              <w:autoSpaceDE/>
              <w:autoSpaceDN/>
              <w:spacing w:before="60" w:after="120" w:line="276" w:lineRule="auto"/>
              <w:ind w:leftChars="0"/>
              <w:contextualSpacing/>
              <w:rPr>
                <w:rFonts w:ascii="Times" w:hAnsi="Times" w:cs="Times"/>
                <w:sz w:val="20"/>
                <w:szCs w:val="20"/>
              </w:rPr>
            </w:pPr>
            <w:r w:rsidRPr="00E213DA">
              <w:rPr>
                <w:rFonts w:ascii="Times" w:hAnsi="Times" w:cs="Times"/>
                <w:sz w:val="20"/>
                <w:szCs w:val="20"/>
              </w:rPr>
              <w:t>FFS: The boundary of the options</w:t>
            </w:r>
          </w:p>
          <w:p w14:paraId="31548D2D" w14:textId="77777777" w:rsidR="00973AA8" w:rsidRPr="00E213DA" w:rsidRDefault="00973AA8" w:rsidP="00973AA8">
            <w:pPr>
              <w:pStyle w:val="a7"/>
              <w:widowControl/>
              <w:numPr>
                <w:ilvl w:val="0"/>
                <w:numId w:val="39"/>
              </w:numPr>
              <w:wordWrap/>
              <w:autoSpaceDE/>
              <w:autoSpaceDN/>
              <w:spacing w:before="60" w:after="120" w:line="276" w:lineRule="auto"/>
              <w:ind w:leftChars="0"/>
              <w:contextualSpacing/>
              <w:rPr>
                <w:rFonts w:ascii="Times" w:hAnsi="Times" w:cs="Times"/>
                <w:sz w:val="20"/>
                <w:szCs w:val="20"/>
              </w:rPr>
            </w:pPr>
            <w:r w:rsidRPr="00E213DA">
              <w:rPr>
                <w:rFonts w:ascii="Times" w:hAnsi="Times" w:cs="Times"/>
                <w:sz w:val="20"/>
                <w:szCs w:val="20"/>
              </w:rPr>
              <w:t>Note: the names (MI-Opton1, MI-Option 2, MI-Option 3) are used only for discussion purpose</w:t>
            </w:r>
          </w:p>
          <w:p w14:paraId="13B8BE15" w14:textId="77777777" w:rsidR="00973AA8" w:rsidRPr="00E213DA" w:rsidRDefault="00973AA8" w:rsidP="00973AA8">
            <w:pPr>
              <w:pStyle w:val="a7"/>
              <w:widowControl/>
              <w:numPr>
                <w:ilvl w:val="0"/>
                <w:numId w:val="39"/>
              </w:numPr>
              <w:wordWrap/>
              <w:autoSpaceDE/>
              <w:autoSpaceDN/>
              <w:spacing w:before="60" w:after="120" w:line="276" w:lineRule="auto"/>
              <w:ind w:leftChars="0"/>
              <w:contextualSpacing/>
              <w:rPr>
                <w:rFonts w:ascii="Times" w:hAnsi="Times" w:cs="Times"/>
                <w:sz w:val="20"/>
                <w:szCs w:val="20"/>
              </w:rPr>
            </w:pPr>
            <w:r w:rsidRPr="00E213DA">
              <w:rPr>
                <w:rFonts w:ascii="Times" w:hAnsi="Times" w:cs="Times"/>
                <w:sz w:val="20"/>
                <w:szCs w:val="20"/>
              </w:rPr>
              <w:t>Note: other options are not precluded</w:t>
            </w:r>
          </w:p>
          <w:p w14:paraId="2CEB02B0" w14:textId="77777777" w:rsidR="00973AA8" w:rsidRPr="00973AA8" w:rsidRDefault="00973AA8" w:rsidP="007C6EFC"/>
          <w:p w14:paraId="1B7741F7" w14:textId="77777777" w:rsidR="00973AA8" w:rsidRPr="00E213DA" w:rsidRDefault="00973AA8" w:rsidP="00973AA8">
            <w:pPr>
              <w:rPr>
                <w:rFonts w:ascii="Times" w:hAnsi="Times" w:cs="Times"/>
              </w:rPr>
            </w:pPr>
            <w:r w:rsidRPr="00E213DA">
              <w:rPr>
                <w:rFonts w:ascii="Times" w:hAnsi="Times" w:cs="Times"/>
              </w:rPr>
              <w:t>Observation</w:t>
            </w:r>
          </w:p>
          <w:p w14:paraId="492A6464" w14:textId="77777777" w:rsidR="00973AA8" w:rsidRPr="00E213DA" w:rsidRDefault="00973AA8" w:rsidP="00973AA8">
            <w:pPr>
              <w:rPr>
                <w:rFonts w:ascii="Times" w:hAnsi="Times" w:cs="Times"/>
              </w:rPr>
            </w:pPr>
            <w:r w:rsidRPr="00E213DA">
              <w:rPr>
                <w:rFonts w:ascii="Times" w:hAnsi="Times" w:cs="Times"/>
              </w:rPr>
              <w:t>The other options are proposed for model identification type B by companies during the discussion:</w:t>
            </w:r>
          </w:p>
          <w:p w14:paraId="7A5A2AFD" w14:textId="77777777" w:rsidR="00973AA8" w:rsidRPr="00E213DA" w:rsidRDefault="00973AA8" w:rsidP="00973AA8">
            <w:pPr>
              <w:pStyle w:val="a7"/>
              <w:widowControl/>
              <w:numPr>
                <w:ilvl w:val="0"/>
                <w:numId w:val="40"/>
              </w:numPr>
              <w:wordWrap/>
              <w:autoSpaceDE/>
              <w:autoSpaceDN/>
              <w:spacing w:before="60" w:after="120" w:line="276" w:lineRule="auto"/>
              <w:ind w:leftChars="0"/>
              <w:contextualSpacing/>
              <w:rPr>
                <w:rFonts w:ascii="Times" w:hAnsi="Times" w:cs="Times"/>
                <w:sz w:val="20"/>
                <w:szCs w:val="20"/>
              </w:rPr>
            </w:pPr>
            <w:r w:rsidRPr="00E213DA">
              <w:rPr>
                <w:rFonts w:ascii="Times" w:hAnsi="Times" w:cs="Times"/>
                <w:sz w:val="20"/>
                <w:szCs w:val="20"/>
              </w:rPr>
              <w:t>MI-Option 4. Model identification via standardization of reference models. (for CSI compression)</w:t>
            </w:r>
          </w:p>
          <w:p w14:paraId="703023DE" w14:textId="77777777" w:rsidR="00973AA8" w:rsidRPr="00E213DA" w:rsidRDefault="00973AA8" w:rsidP="00973AA8">
            <w:pPr>
              <w:pStyle w:val="a7"/>
              <w:widowControl/>
              <w:numPr>
                <w:ilvl w:val="0"/>
                <w:numId w:val="40"/>
              </w:numPr>
              <w:wordWrap/>
              <w:autoSpaceDE/>
              <w:autoSpaceDN/>
              <w:spacing w:before="60" w:after="120" w:line="276" w:lineRule="auto"/>
              <w:ind w:leftChars="0"/>
              <w:contextualSpacing/>
              <w:rPr>
                <w:rFonts w:ascii="Times" w:hAnsi="Times" w:cs="Times"/>
                <w:sz w:val="20"/>
                <w:szCs w:val="20"/>
              </w:rPr>
            </w:pPr>
            <w:r w:rsidRPr="00E213DA">
              <w:rPr>
                <w:rFonts w:ascii="Times" w:hAnsi="Times" w:cs="Times"/>
                <w:sz w:val="20"/>
                <w:szCs w:val="20"/>
              </w:rPr>
              <w:t>MI-Option 5. Model identification via model monitoring</w:t>
            </w:r>
          </w:p>
          <w:p w14:paraId="042A80DD" w14:textId="77777777" w:rsidR="0032148C" w:rsidRPr="00D26644" w:rsidRDefault="0032148C" w:rsidP="0032148C">
            <w:pPr>
              <w:autoSpaceDE/>
              <w:autoSpaceDN/>
              <w:rPr>
                <w:rFonts w:ascii="Times" w:eastAsia="DengXian" w:hAnsi="Times"/>
                <w:iCs/>
                <w:szCs w:val="24"/>
                <w:lang w:eastAsia="zh-CN"/>
              </w:rPr>
            </w:pPr>
          </w:p>
          <w:p w14:paraId="6D9E471E" w14:textId="77777777" w:rsidR="0032148C" w:rsidRPr="00D26644" w:rsidRDefault="0032148C" w:rsidP="0032148C">
            <w:pPr>
              <w:autoSpaceDE/>
              <w:autoSpaceDN/>
              <w:rPr>
                <w:rFonts w:ascii="Times" w:eastAsia="바탕" w:hAnsi="Times"/>
                <w:iCs/>
                <w:szCs w:val="24"/>
                <w:lang w:eastAsia="x-none"/>
              </w:rPr>
            </w:pPr>
            <w:r w:rsidRPr="00D26644">
              <w:rPr>
                <w:rFonts w:ascii="Times" w:eastAsia="바탕" w:hAnsi="Times"/>
                <w:iCs/>
                <w:szCs w:val="24"/>
                <w:lang w:eastAsia="x-none"/>
              </w:rPr>
              <w:t>Conclusion</w:t>
            </w:r>
          </w:p>
          <w:p w14:paraId="6C1B49E0" w14:textId="77777777" w:rsidR="0032148C" w:rsidRPr="00D26644" w:rsidRDefault="0032148C" w:rsidP="0032148C">
            <w:pPr>
              <w:widowControl/>
              <w:numPr>
                <w:ilvl w:val="0"/>
                <w:numId w:val="45"/>
              </w:numPr>
              <w:wordWrap/>
              <w:autoSpaceDE/>
              <w:autoSpaceDN/>
              <w:spacing w:before="60" w:after="120" w:line="300" w:lineRule="auto"/>
              <w:contextualSpacing/>
              <w:rPr>
                <w:rFonts w:ascii="Times" w:eastAsia="바탕" w:hAnsi="Times"/>
                <w:iCs/>
                <w:szCs w:val="24"/>
                <w:lang w:eastAsia="x-none"/>
              </w:rPr>
            </w:pPr>
            <w:r w:rsidRPr="00D26644">
              <w:rPr>
                <w:rFonts w:ascii="Times" w:eastAsia="바탕" w:hAnsi="Times"/>
                <w:iCs/>
                <w:szCs w:val="24"/>
                <w:lang w:eastAsia="x-none"/>
              </w:rPr>
              <w:t>It is clarified that MI-Option 4 refers to the Option 1 of CSI compression</w:t>
            </w:r>
          </w:p>
          <w:p w14:paraId="1B462313" w14:textId="7F026BAF" w:rsidR="00973AA8" w:rsidRPr="006E0332" w:rsidRDefault="0032148C" w:rsidP="006E0332">
            <w:pPr>
              <w:widowControl/>
              <w:numPr>
                <w:ilvl w:val="1"/>
                <w:numId w:val="45"/>
              </w:numPr>
              <w:wordWrap/>
              <w:autoSpaceDE/>
              <w:autoSpaceDN/>
              <w:spacing w:before="60" w:after="120" w:line="300" w:lineRule="auto"/>
              <w:contextualSpacing/>
              <w:rPr>
                <w:rFonts w:ascii="Times" w:eastAsia="바탕" w:hAnsi="Times"/>
                <w:iCs/>
                <w:szCs w:val="24"/>
                <w:lang w:eastAsia="x-none"/>
              </w:rPr>
            </w:pPr>
            <w:r w:rsidRPr="00D26644">
              <w:rPr>
                <w:rFonts w:ascii="Times" w:eastAsia="바탕" w:hAnsi="Times"/>
                <w:iCs/>
                <w:szCs w:val="24"/>
                <w:lang w:eastAsia="x-none"/>
              </w:rPr>
              <w:t>Option 1: Fully standardized reference model (structure + parameters)</w:t>
            </w:r>
          </w:p>
        </w:tc>
      </w:tr>
    </w:tbl>
    <w:p w14:paraId="3236043E" w14:textId="77777777" w:rsidR="00973AA8" w:rsidRDefault="00973AA8" w:rsidP="007C6EFC"/>
    <w:p w14:paraId="1A5FEAAC" w14:textId="3CEBD23E" w:rsidR="00973AA8" w:rsidRDefault="00DD2515" w:rsidP="007C6EFC">
      <w:r>
        <w:rPr>
          <w:rFonts w:hint="eastAsia"/>
        </w:rPr>
        <w:t>F</w:t>
      </w:r>
      <w:r>
        <w:t>or MI-Option 4, it relies on the standardi</w:t>
      </w:r>
      <w:r w:rsidR="000C0877">
        <w:t>zed reference model (e.g., UE-part or NW-part model) used to develop UE-part model or NW-part model. In case of reference model for NW-part model, following examples can be considered. 1) UE reports its capability on one or more supported model(s) to network. 2) NW signals to UE the proper reference model of NW-part model and/or training dataset. 3) UE develops UE-part model based on reference model</w:t>
      </w:r>
      <w:r w:rsidR="006D78BA">
        <w:t>. 4)</w:t>
      </w:r>
      <w:r w:rsidR="000C0877">
        <w:t xml:space="preserve"> UE reports </w:t>
      </w:r>
      <w:r w:rsidR="00421140">
        <w:t xml:space="preserve">to NW </w:t>
      </w:r>
      <w:r w:rsidR="000C0877">
        <w:t xml:space="preserve">additional information on </w:t>
      </w:r>
      <w:r w:rsidR="00421140">
        <w:t xml:space="preserve">level of </w:t>
      </w:r>
      <w:r w:rsidR="000C0877">
        <w:t>compatibility</w:t>
      </w:r>
      <w:r w:rsidR="00421140">
        <w:t xml:space="preserve"> or performance of developed model. </w:t>
      </w:r>
      <w:r w:rsidR="0052698A">
        <w:t xml:space="preserve">Note that it is important to check whether the developed model is performed well or not, therefore step 4) needs to be considered. </w:t>
      </w:r>
      <w:r w:rsidR="00B0401E">
        <w:t xml:space="preserve">If it is not compatible, some fallback procedure needs to be further considered. </w:t>
      </w:r>
    </w:p>
    <w:p w14:paraId="125AE138" w14:textId="6EF02267" w:rsidR="00622DCE" w:rsidRDefault="00B0401E" w:rsidP="007C6EFC">
      <w:pPr>
        <w:rPr>
          <w:b/>
        </w:rPr>
      </w:pPr>
      <w:r w:rsidRPr="00D47697">
        <w:rPr>
          <w:rFonts w:hint="eastAsia"/>
          <w:b/>
        </w:rPr>
        <w:t>Proposal#</w:t>
      </w:r>
      <w:r>
        <w:rPr>
          <w:b/>
        </w:rPr>
        <w:t>4</w:t>
      </w:r>
      <w:r w:rsidRPr="00D47697">
        <w:rPr>
          <w:rFonts w:hint="eastAsia"/>
          <w:b/>
        </w:rPr>
        <w:t xml:space="preserve">. </w:t>
      </w:r>
      <w:r>
        <w:rPr>
          <w:b/>
        </w:rPr>
        <w:t>For MI-Option 4, some procedure</w:t>
      </w:r>
      <w:r w:rsidR="006D78BA">
        <w:rPr>
          <w:b/>
        </w:rPr>
        <w:t>s</w:t>
      </w:r>
      <w:r>
        <w:rPr>
          <w:b/>
        </w:rPr>
        <w:t xml:space="preserve"> </w:t>
      </w:r>
      <w:r w:rsidR="006D78BA">
        <w:rPr>
          <w:b/>
        </w:rPr>
        <w:t xml:space="preserve">(e.g., performance/compatibility report) </w:t>
      </w:r>
      <w:r>
        <w:rPr>
          <w:b/>
        </w:rPr>
        <w:t>to ensure the performance</w:t>
      </w:r>
      <w:r w:rsidR="006D78BA">
        <w:rPr>
          <w:b/>
        </w:rPr>
        <w:t xml:space="preserve"> of model needs to be considered.</w:t>
      </w:r>
    </w:p>
    <w:p w14:paraId="7D33C318" w14:textId="4A6062EB" w:rsidR="00AE37A9" w:rsidRPr="00DC11EB" w:rsidRDefault="00AE37A9" w:rsidP="007C6EFC">
      <w:r w:rsidRPr="00E13D93">
        <w:t xml:space="preserve">For </w:t>
      </w:r>
      <w:r>
        <w:t xml:space="preserve">MI-Option 2, ID-X can be used along with dataset transfer. ID-X is for UE to identify the </w:t>
      </w:r>
      <w:r>
        <w:lastRenderedPageBreak/>
        <w:t xml:space="preserve">characteristic of the dataset. However, ID-X cannot </w:t>
      </w:r>
      <w:r w:rsidR="00CD4081">
        <w:t xml:space="preserve">distinguish </w:t>
      </w:r>
      <w:r w:rsidR="005D538F">
        <w:t xml:space="preserve">UE part </w:t>
      </w:r>
      <w:r>
        <w:t>model</w:t>
      </w:r>
      <w:r w:rsidR="00CD4081">
        <w:t xml:space="preserve"> since UE may use same model generalized for multiple ID-Xs</w:t>
      </w:r>
      <w:r>
        <w:t xml:space="preserve"> </w:t>
      </w:r>
      <w:r w:rsidR="005D538F">
        <w:t>or</w:t>
      </w:r>
      <w:r w:rsidR="00CD4081">
        <w:t xml:space="preserve"> UE </w:t>
      </w:r>
      <w:r w:rsidR="005D538F">
        <w:t>may</w:t>
      </w:r>
      <w:r w:rsidR="00CD4081">
        <w:t xml:space="preserve"> </w:t>
      </w:r>
      <w:r w:rsidR="00DC11EB">
        <w:t>develop</w:t>
      </w:r>
      <w:r w:rsidR="00CD4081">
        <w:t xml:space="preserve"> </w:t>
      </w:r>
      <w:r w:rsidR="005D538F">
        <w:t>multiple</w:t>
      </w:r>
      <w:r w:rsidR="00CD4081">
        <w:t xml:space="preserve"> model</w:t>
      </w:r>
      <w:r w:rsidR="005D538F">
        <w:t>s</w:t>
      </w:r>
      <w:r w:rsidR="00CD4081">
        <w:t xml:space="preserve"> for same ID-X, e.g. depending on UE-oriented factor</w:t>
      </w:r>
      <w:r w:rsidR="005D538F">
        <w:t>(</w:t>
      </w:r>
      <w:r w:rsidR="00CD4081">
        <w:t>s</w:t>
      </w:r>
      <w:r w:rsidR="005D538F">
        <w:t>)</w:t>
      </w:r>
      <w:r w:rsidR="00DC11EB">
        <w:t>, as clarified in AI-Example2-1 captured below</w:t>
      </w:r>
      <w:r w:rsidR="00CD4081">
        <w:t xml:space="preserve">. </w:t>
      </w:r>
      <w:r w:rsidR="00DC11EB">
        <w:rPr>
          <w:rFonts w:hint="eastAsia"/>
        </w:rPr>
        <w:t>F</w:t>
      </w:r>
      <w:r w:rsidR="00DC11EB">
        <w:t>or model identification purpose, model ID needs to be reported by UE in Step C.</w:t>
      </w:r>
      <w:r w:rsidR="00533BCD">
        <w:t xml:space="preserve"> Further discussion may be needed whether model identification</w:t>
      </w:r>
      <w:r w:rsidR="00E13D93">
        <w:t xml:space="preserve"> including Step C</w:t>
      </w:r>
      <w:r w:rsidR="00533BCD">
        <w:t xml:space="preserve"> is necessary in the dataset transfer scenario since it is unclear whether NW needs to know UE-part model information (e.g. model IDs) if they are trained under a same dataset.</w:t>
      </w:r>
    </w:p>
    <w:tbl>
      <w:tblPr>
        <w:tblStyle w:val="a6"/>
        <w:tblW w:w="0" w:type="auto"/>
        <w:tblLook w:val="04A0" w:firstRow="1" w:lastRow="0" w:firstColumn="1" w:lastColumn="0" w:noHBand="0" w:noVBand="1"/>
      </w:tblPr>
      <w:tblGrid>
        <w:gridCol w:w="9016"/>
      </w:tblGrid>
      <w:tr w:rsidR="00DC11EB" w14:paraId="4BD41588" w14:textId="77777777" w:rsidTr="00DC11EB">
        <w:tc>
          <w:tcPr>
            <w:tcW w:w="9016" w:type="dxa"/>
          </w:tcPr>
          <w:p w14:paraId="081C920D" w14:textId="77777777" w:rsidR="00DC11EB" w:rsidRPr="00A66940" w:rsidRDefault="00DC11EB" w:rsidP="00DC11EB">
            <w:pPr>
              <w:autoSpaceDE/>
              <w:autoSpaceDN/>
              <w:spacing w:before="60" w:after="120" w:line="300" w:lineRule="auto"/>
              <w:contextualSpacing/>
              <w:rPr>
                <w:rFonts w:eastAsia="바탕"/>
                <w:szCs w:val="24"/>
                <w:highlight w:val="green"/>
                <w:lang w:eastAsia="en-US"/>
              </w:rPr>
            </w:pPr>
            <w:r w:rsidRPr="00A66940">
              <w:rPr>
                <w:rFonts w:eastAsia="바탕"/>
                <w:szCs w:val="24"/>
                <w:highlight w:val="green"/>
                <w:lang w:eastAsia="en-US"/>
              </w:rPr>
              <w:t>Agreement</w:t>
            </w:r>
          </w:p>
          <w:p w14:paraId="4B1BB093" w14:textId="77777777" w:rsidR="00DC11EB" w:rsidRPr="00A66940" w:rsidRDefault="00DC11EB" w:rsidP="00DC11EB">
            <w:pPr>
              <w:autoSpaceDE/>
              <w:autoSpaceDN/>
              <w:rPr>
                <w:rFonts w:eastAsia="바탕"/>
                <w:szCs w:val="24"/>
                <w:lang w:eastAsia="en-US"/>
              </w:rPr>
            </w:pPr>
            <w:r w:rsidRPr="00A66940">
              <w:rPr>
                <w:rFonts w:eastAsia="바탕"/>
                <w:szCs w:val="24"/>
                <w:lang w:eastAsia="en-US"/>
              </w:rPr>
              <w:t>From RAN1 perspective, for UE part of two-sided model, further study the following example of MI-Option2 (including the feasibility/necessity)</w:t>
            </w:r>
          </w:p>
          <w:p w14:paraId="0051C58F" w14:textId="77777777" w:rsidR="00DC11EB" w:rsidRPr="00A66940" w:rsidRDefault="00DC11EB" w:rsidP="00DC11EB">
            <w:pPr>
              <w:widowControl/>
              <w:numPr>
                <w:ilvl w:val="0"/>
                <w:numId w:val="44"/>
              </w:numPr>
              <w:wordWrap/>
              <w:autoSpaceDE/>
              <w:autoSpaceDN/>
              <w:ind w:left="360"/>
              <w:contextualSpacing/>
              <w:rPr>
                <w:rFonts w:eastAsia="바탕"/>
                <w:szCs w:val="24"/>
                <w:lang w:eastAsia="x-none"/>
              </w:rPr>
            </w:pPr>
            <w:r w:rsidRPr="00A66940">
              <w:rPr>
                <w:rFonts w:eastAsia="바탕"/>
                <w:szCs w:val="24"/>
                <w:lang w:eastAsia="x-none"/>
              </w:rPr>
              <w:t>AI-Example2-1</w:t>
            </w:r>
          </w:p>
          <w:p w14:paraId="5C149D5E" w14:textId="77777777" w:rsidR="00DC11EB" w:rsidRPr="00A66940" w:rsidRDefault="00DC11EB" w:rsidP="00DC11EB">
            <w:pPr>
              <w:widowControl/>
              <w:numPr>
                <w:ilvl w:val="0"/>
                <w:numId w:val="44"/>
              </w:numPr>
              <w:wordWrap/>
              <w:autoSpaceDE/>
              <w:autoSpaceDN/>
              <w:spacing w:line="276" w:lineRule="auto"/>
              <w:ind w:left="714" w:hanging="357"/>
              <w:contextualSpacing/>
              <w:rPr>
                <w:rFonts w:eastAsia="바탕"/>
                <w:szCs w:val="24"/>
                <w:lang w:eastAsia="x-none"/>
              </w:rPr>
            </w:pPr>
            <w:r w:rsidRPr="00A66940">
              <w:rPr>
                <w:rFonts w:eastAsia="바탕"/>
                <w:szCs w:val="24"/>
                <w:lang w:eastAsia="x-none"/>
              </w:rPr>
              <w:t xml:space="preserve">A: A dataset is transferred from the </w:t>
            </w:r>
            <w:r w:rsidRPr="00A66940">
              <w:rPr>
                <w:rFonts w:eastAsia="DengXian"/>
                <w:szCs w:val="24"/>
                <w:lang w:eastAsia="zh-CN"/>
              </w:rPr>
              <w:t>NW/NW-side to UE/UE-side via s</w:t>
            </w:r>
            <w:r w:rsidRPr="00A66940">
              <w:rPr>
                <w:rFonts w:eastAsia="바탕"/>
                <w:szCs w:val="24"/>
                <w:lang w:eastAsia="x-none"/>
              </w:rPr>
              <w:t>tandar</w:t>
            </w:r>
            <w:r w:rsidRPr="00A66940">
              <w:rPr>
                <w:rFonts w:eastAsia="DengXian"/>
                <w:szCs w:val="24"/>
                <w:lang w:eastAsia="zh-CN"/>
              </w:rPr>
              <w:t>d</w:t>
            </w:r>
            <w:r w:rsidRPr="00A66940">
              <w:rPr>
                <w:rFonts w:eastAsia="바탕"/>
                <w:szCs w:val="24"/>
                <w:lang w:eastAsia="x-none"/>
              </w:rPr>
              <w:t>ized signal</w:t>
            </w:r>
            <w:r w:rsidRPr="00A66940">
              <w:rPr>
                <w:rFonts w:eastAsia="DengXian"/>
                <w:szCs w:val="24"/>
                <w:lang w:eastAsia="zh-CN"/>
              </w:rPr>
              <w:t>i</w:t>
            </w:r>
            <w:r w:rsidRPr="00A66940">
              <w:rPr>
                <w:rFonts w:eastAsia="바탕"/>
                <w:szCs w:val="24"/>
                <w:lang w:eastAsia="x-none"/>
              </w:rPr>
              <w:t xml:space="preserve">ng. </w:t>
            </w:r>
          </w:p>
          <w:p w14:paraId="1DE6159D" w14:textId="77777777" w:rsidR="00DC11EB" w:rsidRPr="00A66940" w:rsidRDefault="00DC11EB" w:rsidP="00DC11EB">
            <w:pPr>
              <w:widowControl/>
              <w:numPr>
                <w:ilvl w:val="1"/>
                <w:numId w:val="43"/>
              </w:numPr>
              <w:wordWrap/>
              <w:autoSpaceDE/>
              <w:autoSpaceDN/>
              <w:spacing w:line="276" w:lineRule="auto"/>
              <w:rPr>
                <w:rFonts w:eastAsia="바탕"/>
                <w:szCs w:val="24"/>
                <w:lang w:eastAsia="en-US"/>
              </w:rPr>
            </w:pPr>
            <w:r w:rsidRPr="00A66940">
              <w:rPr>
                <w:rFonts w:eastAsia="바탕"/>
                <w:szCs w:val="24"/>
                <w:lang w:eastAsia="en-US"/>
              </w:rPr>
              <w:t>Note: RAN1 study of Step A only focuses on RAN1 aspect of the data</w:t>
            </w:r>
            <w:r w:rsidRPr="00A66940">
              <w:rPr>
                <w:rFonts w:eastAsia="DengXian"/>
                <w:szCs w:val="24"/>
                <w:lang w:eastAsia="zh-CN"/>
              </w:rPr>
              <w:t>set</w:t>
            </w:r>
            <w:r w:rsidRPr="00A66940">
              <w:rPr>
                <w:rFonts w:eastAsia="바탕"/>
                <w:szCs w:val="24"/>
                <w:lang w:eastAsia="en-US"/>
              </w:rPr>
              <w:t xml:space="preserve"> transfer from NW to UE. Other solution for dataset exchange is out of RAN1 scope. </w:t>
            </w:r>
          </w:p>
          <w:p w14:paraId="1ED7F091" w14:textId="77777777" w:rsidR="00DC11EB" w:rsidRPr="00E13D93" w:rsidRDefault="00DC11EB" w:rsidP="00E13D93">
            <w:pPr>
              <w:widowControl/>
              <w:numPr>
                <w:ilvl w:val="0"/>
                <w:numId w:val="44"/>
              </w:numPr>
              <w:wordWrap/>
              <w:autoSpaceDE/>
              <w:autoSpaceDN/>
              <w:spacing w:line="276" w:lineRule="auto"/>
              <w:ind w:left="714" w:hanging="357"/>
              <w:contextualSpacing/>
              <w:rPr>
                <w:rFonts w:eastAsia="바탕"/>
                <w:szCs w:val="24"/>
                <w:lang w:eastAsia="x-none"/>
              </w:rPr>
            </w:pPr>
            <w:r w:rsidRPr="00A66940">
              <w:rPr>
                <w:rFonts w:eastAsia="바탕"/>
                <w:szCs w:val="24"/>
                <w:lang w:eastAsia="x-none"/>
              </w:rPr>
              <w:t xml:space="preserve">B: </w:t>
            </w:r>
            <w:r w:rsidRPr="00E13D93">
              <w:rPr>
                <w:rFonts w:eastAsia="바탕"/>
                <w:szCs w:val="24"/>
                <w:lang w:eastAsia="x-none"/>
              </w:rPr>
              <w:t xml:space="preserve">UE part of two-sided model(s) </w:t>
            </w:r>
            <w:r w:rsidRPr="00E13D93">
              <w:rPr>
                <w:rFonts w:eastAsia="바탕"/>
                <w:szCs w:val="24"/>
                <w:highlight w:val="yellow"/>
                <w:lang w:eastAsia="x-none"/>
              </w:rPr>
              <w:t>is(are)</w:t>
            </w:r>
            <w:r w:rsidRPr="00E13D93">
              <w:rPr>
                <w:rFonts w:eastAsia="바탕"/>
                <w:szCs w:val="24"/>
                <w:lang w:eastAsia="x-none"/>
              </w:rPr>
              <w:t xml:space="preserve"> developed based on at least the above dataset.</w:t>
            </w:r>
            <w:r w:rsidRPr="00DC11EB">
              <w:rPr>
                <w:rFonts w:eastAsia="바탕"/>
                <w:szCs w:val="24"/>
                <w:lang w:eastAsia="x-none"/>
              </w:rPr>
              <w:t xml:space="preserve"> </w:t>
            </w:r>
          </w:p>
          <w:p w14:paraId="4B606373" w14:textId="5D34BDEB" w:rsidR="00DC11EB" w:rsidRDefault="00DC11EB" w:rsidP="00E13D93">
            <w:pPr>
              <w:widowControl/>
              <w:numPr>
                <w:ilvl w:val="0"/>
                <w:numId w:val="44"/>
              </w:numPr>
              <w:wordWrap/>
              <w:autoSpaceDE/>
              <w:autoSpaceDN/>
              <w:spacing w:line="276" w:lineRule="auto"/>
              <w:ind w:left="714" w:hanging="357"/>
              <w:contextualSpacing/>
            </w:pPr>
            <w:r w:rsidRPr="00A66940">
              <w:rPr>
                <w:rFonts w:eastAsia="바탕"/>
                <w:szCs w:val="24"/>
                <w:lang w:eastAsia="x-none"/>
              </w:rPr>
              <w:t xml:space="preserve">C: </w:t>
            </w:r>
            <w:r w:rsidRPr="00E13D93">
              <w:rPr>
                <w:rFonts w:eastAsia="바탕"/>
                <w:szCs w:val="24"/>
                <w:highlight w:val="yellow"/>
                <w:lang w:eastAsia="x-none"/>
              </w:rPr>
              <w:t>UE reports information of its UE part of two-sided model(s) corresponding to the above dataset to the NW.</w:t>
            </w:r>
          </w:p>
        </w:tc>
      </w:tr>
    </w:tbl>
    <w:p w14:paraId="13AED550" w14:textId="77777777" w:rsidR="00DC11EB" w:rsidRDefault="00DC11EB" w:rsidP="00CD4081">
      <w:pPr>
        <w:rPr>
          <w:b/>
        </w:rPr>
      </w:pPr>
    </w:p>
    <w:p w14:paraId="0E286C94" w14:textId="41272FFD" w:rsidR="00CD4081" w:rsidRDefault="00CD4081" w:rsidP="00CD4081">
      <w:pPr>
        <w:rPr>
          <w:b/>
        </w:rPr>
      </w:pPr>
      <w:r w:rsidRPr="00D47697">
        <w:rPr>
          <w:rFonts w:hint="eastAsia"/>
          <w:b/>
        </w:rPr>
        <w:t>Proposal#</w:t>
      </w:r>
      <w:r>
        <w:rPr>
          <w:b/>
        </w:rPr>
        <w:t>5</w:t>
      </w:r>
      <w:r w:rsidRPr="00D47697">
        <w:rPr>
          <w:rFonts w:hint="eastAsia"/>
          <w:b/>
        </w:rPr>
        <w:t xml:space="preserve">. </w:t>
      </w:r>
      <w:r>
        <w:rPr>
          <w:b/>
        </w:rPr>
        <w:t>For MI-Option 2,</w:t>
      </w:r>
      <w:r w:rsidR="00533BCD">
        <w:rPr>
          <w:b/>
        </w:rPr>
        <w:t xml:space="preserve"> clarify that </w:t>
      </w:r>
      <w:r>
        <w:rPr>
          <w:b/>
        </w:rPr>
        <w:t xml:space="preserve">ID-X </w:t>
      </w:r>
      <w:r w:rsidR="00DC11EB">
        <w:rPr>
          <w:b/>
        </w:rPr>
        <w:t xml:space="preserve">alone </w:t>
      </w:r>
      <w:r>
        <w:rPr>
          <w:b/>
        </w:rPr>
        <w:t xml:space="preserve">cannot </w:t>
      </w:r>
      <w:r w:rsidR="00DC11EB">
        <w:rPr>
          <w:b/>
        </w:rPr>
        <w:t>serve model identification purpose</w:t>
      </w:r>
      <w:r>
        <w:rPr>
          <w:b/>
        </w:rPr>
        <w:t>.</w:t>
      </w:r>
      <w:r w:rsidR="00533BCD">
        <w:rPr>
          <w:b/>
        </w:rPr>
        <w:t xml:space="preserve"> Discuss further whether model identification is necessary for the dataset transfer scenario.</w:t>
      </w:r>
    </w:p>
    <w:p w14:paraId="571650D9" w14:textId="77777777" w:rsidR="00CD4081" w:rsidRPr="00DC11EB" w:rsidRDefault="00CD4081" w:rsidP="007C6EFC"/>
    <w:p w14:paraId="0D930BD8" w14:textId="1DFD5653" w:rsidR="00527D65" w:rsidRPr="00596295" w:rsidRDefault="00527D65" w:rsidP="00527D65">
      <w:pPr>
        <w:pStyle w:val="2"/>
        <w:rPr>
          <w:rFonts w:eastAsia="맑은 고딕"/>
        </w:rPr>
      </w:pPr>
      <w:r>
        <w:rPr>
          <w:rFonts w:eastAsia="맑은 고딕"/>
        </w:rPr>
        <w:t>Model delivery/transfer</w:t>
      </w:r>
    </w:p>
    <w:p w14:paraId="78FC975E" w14:textId="13DBC152" w:rsidR="00646CDC" w:rsidRDefault="00FB0153" w:rsidP="00646CDC">
      <w:r>
        <w:t>I</w:t>
      </w:r>
      <w:r w:rsidR="00C60F51">
        <w:t xml:space="preserve">n </w:t>
      </w:r>
      <w:r w:rsidR="00EA27F0">
        <w:t>previous meetings</w:t>
      </w:r>
      <w:r w:rsidR="00C60F51">
        <w:t xml:space="preserve">, it was concluded that </w:t>
      </w:r>
      <w:r w:rsidR="00C60F51" w:rsidRPr="00C60F51">
        <w:t>the model transfer/delivery Case</w:t>
      </w:r>
      <w:r w:rsidR="00CE45F8">
        <w:t xml:space="preserve"> z2, z3, and</w:t>
      </w:r>
      <w:r w:rsidR="00C60F51">
        <w:t xml:space="preserve"> z5 </w:t>
      </w:r>
      <w:r w:rsidR="00CE45F8">
        <w:t xml:space="preserve">are </w:t>
      </w:r>
      <w:r w:rsidR="00C60F51">
        <w:t>deprioritized for Rel-19 from RAN1 perspective</w:t>
      </w:r>
      <w:r w:rsidR="004C27C6">
        <w:t xml:space="preserve">. In our view, given that the analysis was already done in Rel-18 as captured below, it would be more valuable to discuss how to address key challenges of model transfer such as offline cross-vendor collaboration, model storage requirements, and proprietary design disclosure issues by proponent companies. </w:t>
      </w:r>
    </w:p>
    <w:tbl>
      <w:tblPr>
        <w:tblStyle w:val="a6"/>
        <w:tblW w:w="0" w:type="auto"/>
        <w:tblLook w:val="04A0" w:firstRow="1" w:lastRow="0" w:firstColumn="1" w:lastColumn="0" w:noHBand="0" w:noVBand="1"/>
      </w:tblPr>
      <w:tblGrid>
        <w:gridCol w:w="9016"/>
      </w:tblGrid>
      <w:tr w:rsidR="004C27C6" w14:paraId="085F12DC" w14:textId="77777777" w:rsidTr="004C27C6">
        <w:tc>
          <w:tcPr>
            <w:tcW w:w="9016" w:type="dxa"/>
          </w:tcPr>
          <w:p w14:paraId="17833616" w14:textId="77777777" w:rsidR="004C27C6" w:rsidRPr="004C27C6" w:rsidRDefault="004C27C6" w:rsidP="004C27C6">
            <w:pPr>
              <w:widowControl/>
              <w:wordWrap/>
              <w:autoSpaceDE/>
              <w:autoSpaceDN/>
              <w:spacing w:before="60" w:after="120" w:line="276" w:lineRule="auto"/>
              <w:rPr>
                <w:b/>
                <w:bCs/>
                <w:iCs/>
                <w:sz w:val="20"/>
                <w:szCs w:val="24"/>
                <w:highlight w:val="green"/>
                <w:lang w:eastAsia="en-US"/>
              </w:rPr>
            </w:pPr>
            <w:r w:rsidRPr="004C27C6">
              <w:rPr>
                <w:b/>
                <w:bCs/>
                <w:iCs/>
                <w:sz w:val="20"/>
                <w:szCs w:val="24"/>
                <w:highlight w:val="green"/>
                <w:lang w:eastAsia="en-US"/>
              </w:rPr>
              <w:t>Agreement</w:t>
            </w:r>
          </w:p>
          <w:p w14:paraId="1FBEB36D" w14:textId="77777777" w:rsidR="004C27C6" w:rsidRPr="004C27C6" w:rsidRDefault="004C27C6" w:rsidP="004C27C6">
            <w:pPr>
              <w:widowControl/>
              <w:wordWrap/>
              <w:autoSpaceDE/>
              <w:autoSpaceDN/>
              <w:spacing w:before="60" w:after="120" w:line="276" w:lineRule="auto"/>
              <w:rPr>
                <w:sz w:val="20"/>
                <w:szCs w:val="24"/>
                <w:lang w:eastAsia="en-US"/>
              </w:rPr>
            </w:pPr>
            <w:r w:rsidRPr="004C27C6">
              <w:rPr>
                <w:sz w:val="20"/>
                <w:szCs w:val="24"/>
                <w:lang w:eastAsia="en-US"/>
              </w:rPr>
              <w:t>For model delivery/transfer to UE (for UE-side models and UE-part of two-sided models):</w:t>
            </w:r>
          </w:p>
          <w:p w14:paraId="71F6105F"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zh-CN"/>
              </w:rPr>
              <w:t xml:space="preserve">Model delivery/transfer to UE, </w:t>
            </w:r>
            <w:r w:rsidRPr="004C27C6">
              <w:rPr>
                <w:rFonts w:cs="Times"/>
                <w:sz w:val="20"/>
                <w:highlight w:val="yellow"/>
                <w:lang w:eastAsia="zh-CN"/>
              </w:rPr>
              <w:t>if feasible,</w:t>
            </w:r>
            <w:r w:rsidRPr="004C27C6">
              <w:rPr>
                <w:rFonts w:cs="Times"/>
                <w:sz w:val="20"/>
                <w:lang w:eastAsia="zh-CN"/>
              </w:rPr>
              <w:t xml:space="preserve"> may be beneficial to handle scenario/configuration specific (including site-specific configuration/channel conditions) models (i.e., when a single model cannot generalize well to multiple scenarios/configurations/sites), to reduce the device storage requirement.</w:t>
            </w:r>
          </w:p>
          <w:p w14:paraId="07DEFA10"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en-US"/>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102BDA82"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en-US"/>
              </w:rPr>
              <w:t xml:space="preserve">For model trained at network side, Case y (w/ network-side training) and Case z2 may incur the burden of </w:t>
            </w:r>
            <w:r w:rsidRPr="004C27C6">
              <w:rPr>
                <w:rFonts w:cs="Times"/>
                <w:sz w:val="20"/>
                <w:highlight w:val="yellow"/>
                <w:lang w:eastAsia="en-US"/>
              </w:rPr>
              <w:t>offline cross-vendor collaboration</w:t>
            </w:r>
            <w:r w:rsidRPr="004C27C6">
              <w:rPr>
                <w:rFonts w:cs="Times"/>
                <w:sz w:val="20"/>
                <w:lang w:eastAsia="en-US"/>
              </w:rPr>
              <w:t xml:space="preserve"> such as sending a model to the UE-side and/or compiling a model.</w:t>
            </w:r>
          </w:p>
          <w:p w14:paraId="7D6A6485" w14:textId="77777777"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lang w:eastAsia="en-US"/>
              </w:rPr>
              <w:t xml:space="preserve">For model trained at UE side/neutral site, Case z1 and Case z3 may incur </w:t>
            </w:r>
            <w:r w:rsidRPr="004C27C6">
              <w:rPr>
                <w:rFonts w:cs="Times"/>
                <w:sz w:val="20"/>
                <w:highlight w:val="yellow"/>
                <w:lang w:eastAsia="en-US"/>
              </w:rPr>
              <w:t>the burden of offline cross-vendor collaboration</w:t>
            </w:r>
            <w:r w:rsidRPr="004C27C6">
              <w:rPr>
                <w:rFonts w:cs="Times"/>
                <w:sz w:val="20"/>
                <w:lang w:eastAsia="en-US"/>
              </w:rPr>
              <w:t xml:space="preserve"> to send the trained model from the UE-side to the network, compared to Case y (w/ UE-side training) which does not have such burden.</w:t>
            </w:r>
          </w:p>
          <w:p w14:paraId="759F4477" w14:textId="77777777" w:rsidR="004C27C6" w:rsidRPr="004C27C6" w:rsidRDefault="004C27C6" w:rsidP="004C27C6">
            <w:pPr>
              <w:widowControl/>
              <w:numPr>
                <w:ilvl w:val="0"/>
                <w:numId w:val="31"/>
              </w:numPr>
              <w:wordWrap/>
              <w:autoSpaceDE/>
              <w:autoSpaceDN/>
              <w:spacing w:before="60" w:line="276" w:lineRule="auto"/>
              <w:rPr>
                <w:rFonts w:cs="Times"/>
                <w:sz w:val="20"/>
                <w:highlight w:val="yellow"/>
                <w:lang w:eastAsia="en-US"/>
              </w:rPr>
            </w:pPr>
            <w:r w:rsidRPr="004C27C6">
              <w:rPr>
                <w:rFonts w:cs="Times"/>
                <w:sz w:val="20"/>
                <w:highlight w:val="yellow"/>
                <w:lang w:eastAsia="en-US"/>
              </w:rPr>
              <w:t>Model storage at the 3gpp network, compared to storing the model outside the 3gpp network, may come with 3gpp network side burden on model maintenance/storage.</w:t>
            </w:r>
          </w:p>
          <w:p w14:paraId="319DA8BC" w14:textId="1EBB17C0" w:rsidR="004C27C6" w:rsidRPr="004C27C6" w:rsidRDefault="004C27C6" w:rsidP="004C27C6">
            <w:pPr>
              <w:widowControl/>
              <w:numPr>
                <w:ilvl w:val="0"/>
                <w:numId w:val="31"/>
              </w:numPr>
              <w:wordWrap/>
              <w:autoSpaceDE/>
              <w:autoSpaceDN/>
              <w:spacing w:before="60" w:line="276" w:lineRule="auto"/>
              <w:rPr>
                <w:rFonts w:cs="Times"/>
                <w:sz w:val="20"/>
                <w:lang w:eastAsia="en-US"/>
              </w:rPr>
            </w:pPr>
            <w:r w:rsidRPr="004C27C6">
              <w:rPr>
                <w:rFonts w:cs="Times"/>
                <w:sz w:val="20"/>
                <w:highlight w:val="yellow"/>
                <w:lang w:eastAsia="en-US"/>
              </w:rPr>
              <w:lastRenderedPageBreak/>
              <w:t>Proprietary design disclosure concern may arise from model training and/or model storage at the network side compared to other cases (such as case y with UE side training) which does not have such issue.</w:t>
            </w:r>
          </w:p>
        </w:tc>
      </w:tr>
    </w:tbl>
    <w:p w14:paraId="43C40126" w14:textId="77777777" w:rsidR="004C27C6" w:rsidRPr="004C27C6" w:rsidRDefault="004C27C6" w:rsidP="00646CDC"/>
    <w:p w14:paraId="45706273" w14:textId="0F31D542" w:rsidR="004C27C6" w:rsidRPr="00875BC9" w:rsidRDefault="004C27C6" w:rsidP="004C27C6">
      <w:pPr>
        <w:rPr>
          <w:b/>
        </w:rPr>
      </w:pPr>
      <w:r w:rsidRPr="00875BC9">
        <w:rPr>
          <w:b/>
        </w:rPr>
        <w:t>Proposal#</w:t>
      </w:r>
      <w:r w:rsidR="00771D47">
        <w:rPr>
          <w:b/>
        </w:rPr>
        <w:t>6</w:t>
      </w:r>
      <w:r w:rsidRPr="00875BC9">
        <w:rPr>
          <w:b/>
        </w:rPr>
        <w:t xml:space="preserve">. </w:t>
      </w:r>
      <w:r>
        <w:rPr>
          <w:b/>
        </w:rPr>
        <w:t xml:space="preserve">Focus on discussing the key challenges of model transfer </w:t>
      </w:r>
      <w:r w:rsidRPr="004C27C6">
        <w:rPr>
          <w:b/>
        </w:rPr>
        <w:t>such as offline cross-vendor collaboration, model storage requirements, and proprietary design disclosure issues</w:t>
      </w:r>
      <w:r>
        <w:rPr>
          <w:b/>
        </w:rPr>
        <w:t xml:space="preserve">. </w:t>
      </w:r>
    </w:p>
    <w:p w14:paraId="6FDAE789" w14:textId="41E28867" w:rsidR="00CD4081" w:rsidRPr="00CD4081" w:rsidRDefault="00CD4081" w:rsidP="00646CDC">
      <w:pPr>
        <w:rPr>
          <w:lang w:val="en-GB"/>
        </w:rPr>
      </w:pPr>
      <w:r w:rsidRPr="00E13D93">
        <w:rPr>
          <w:lang w:val="en-GB"/>
        </w:rPr>
        <w:t>Regarding</w:t>
      </w:r>
      <w:r>
        <w:rPr>
          <w:rFonts w:hint="eastAsia"/>
          <w:lang w:val="en-GB"/>
        </w:rPr>
        <w:t xml:space="preserve"> </w:t>
      </w:r>
      <w:r>
        <w:rPr>
          <w:lang w:val="en-GB"/>
        </w:rPr>
        <w:t xml:space="preserve">Case z4, </w:t>
      </w:r>
      <w:r w:rsidR="00771D47">
        <w:rPr>
          <w:lang w:val="en-GB"/>
        </w:rPr>
        <w:t xml:space="preserve">some study points were agreed in RAN1#118bis. </w:t>
      </w:r>
    </w:p>
    <w:tbl>
      <w:tblPr>
        <w:tblStyle w:val="a6"/>
        <w:tblW w:w="0" w:type="auto"/>
        <w:tblLook w:val="04A0" w:firstRow="1" w:lastRow="0" w:firstColumn="1" w:lastColumn="0" w:noHBand="0" w:noVBand="1"/>
      </w:tblPr>
      <w:tblGrid>
        <w:gridCol w:w="9016"/>
      </w:tblGrid>
      <w:tr w:rsidR="00CD4081" w14:paraId="271BD379" w14:textId="77777777" w:rsidTr="00CD4081">
        <w:tc>
          <w:tcPr>
            <w:tcW w:w="9016" w:type="dxa"/>
          </w:tcPr>
          <w:p w14:paraId="718C8F63" w14:textId="77777777" w:rsidR="00CD4081" w:rsidRPr="00265359" w:rsidRDefault="00CD4081" w:rsidP="00CD4081">
            <w:pPr>
              <w:rPr>
                <w:szCs w:val="20"/>
                <w:highlight w:val="green"/>
              </w:rPr>
            </w:pPr>
            <w:r w:rsidRPr="00265359">
              <w:rPr>
                <w:szCs w:val="20"/>
                <w:highlight w:val="green"/>
              </w:rPr>
              <w:t>Agreement</w:t>
            </w:r>
          </w:p>
          <w:p w14:paraId="3865BF47" w14:textId="77777777" w:rsidR="00CD4081" w:rsidRPr="00265359" w:rsidRDefault="00CD4081" w:rsidP="00CD4081">
            <w:pPr>
              <w:rPr>
                <w:iCs/>
                <w:szCs w:val="20"/>
                <w:lang w:eastAsia="x-none"/>
              </w:rPr>
            </w:pPr>
            <w:r w:rsidRPr="00265359">
              <w:rPr>
                <w:iCs/>
                <w:szCs w:val="20"/>
                <w:lang w:eastAsia="x-none"/>
              </w:rPr>
              <w:t>Regarding model transfer/delivery Case z4 for inference, further study the following aspects:</w:t>
            </w:r>
          </w:p>
          <w:p w14:paraId="3267D971" w14:textId="77777777" w:rsidR="00CD4081" w:rsidRPr="00265359" w:rsidRDefault="00CD4081" w:rsidP="00CD4081">
            <w:pPr>
              <w:widowControl/>
              <w:numPr>
                <w:ilvl w:val="0"/>
                <w:numId w:val="39"/>
              </w:numPr>
              <w:wordWrap/>
              <w:autoSpaceDE/>
              <w:autoSpaceDN/>
              <w:contextualSpacing/>
              <w:jc w:val="left"/>
              <w:rPr>
                <w:iCs/>
                <w:szCs w:val="20"/>
                <w:lang w:eastAsia="x-none"/>
              </w:rPr>
            </w:pPr>
            <w:r w:rsidRPr="00265359">
              <w:rPr>
                <w:iCs/>
                <w:szCs w:val="20"/>
                <w:lang w:eastAsia="x-none"/>
              </w:rPr>
              <w:t>Whether</w:t>
            </w:r>
            <w:r w:rsidRPr="00265359">
              <w:rPr>
                <w:rFonts w:eastAsia="DengXian"/>
                <w:iCs/>
                <w:szCs w:val="20"/>
                <w:lang w:eastAsia="zh-CN"/>
              </w:rPr>
              <w:t>/when</w:t>
            </w:r>
            <w:r w:rsidRPr="00265359">
              <w:rPr>
                <w:iCs/>
                <w:szCs w:val="20"/>
                <w:lang w:eastAsia="x-none"/>
              </w:rPr>
              <w:t xml:space="preserve"> UE needs </w:t>
            </w:r>
            <w:r w:rsidRPr="00265359">
              <w:rPr>
                <w:rFonts w:eastAsia="DengXian"/>
                <w:iCs/>
                <w:szCs w:val="20"/>
                <w:lang w:eastAsia="zh-CN"/>
              </w:rPr>
              <w:t xml:space="preserve">the </w:t>
            </w:r>
            <w:r w:rsidRPr="00265359">
              <w:rPr>
                <w:iCs/>
                <w:szCs w:val="20"/>
                <w:lang w:eastAsia="x-none"/>
              </w:rPr>
              <w:t>transfer of new parameters for a known model structure</w:t>
            </w:r>
            <w:r w:rsidRPr="00265359">
              <w:rPr>
                <w:rFonts w:eastAsia="DengXian"/>
                <w:iCs/>
                <w:szCs w:val="20"/>
                <w:lang w:eastAsia="zh-CN"/>
              </w:rPr>
              <w:t>.</w:t>
            </w:r>
          </w:p>
          <w:p w14:paraId="550D84F0" w14:textId="77777777" w:rsidR="00CD4081" w:rsidRPr="00265359" w:rsidRDefault="00CD4081" w:rsidP="00CD4081">
            <w:pPr>
              <w:widowControl/>
              <w:numPr>
                <w:ilvl w:val="0"/>
                <w:numId w:val="39"/>
              </w:numPr>
              <w:wordWrap/>
              <w:autoSpaceDE/>
              <w:autoSpaceDN/>
              <w:contextualSpacing/>
              <w:jc w:val="left"/>
              <w:rPr>
                <w:iCs/>
                <w:szCs w:val="20"/>
                <w:lang w:eastAsia="x-none"/>
              </w:rPr>
            </w:pPr>
            <w:r w:rsidRPr="00265359">
              <w:rPr>
                <w:iCs/>
                <w:szCs w:val="20"/>
                <w:lang w:eastAsia="x-none"/>
              </w:rPr>
              <w:t>Whether</w:t>
            </w:r>
            <w:r w:rsidRPr="00265359">
              <w:rPr>
                <w:rFonts w:eastAsia="DengXian"/>
                <w:iCs/>
                <w:szCs w:val="20"/>
                <w:lang w:eastAsia="zh-CN"/>
              </w:rPr>
              <w:t xml:space="preserve">/when </w:t>
            </w:r>
            <w:r w:rsidRPr="00265359">
              <w:rPr>
                <w:iCs/>
                <w:szCs w:val="20"/>
                <w:lang w:eastAsia="x-none"/>
              </w:rPr>
              <w:t>the AI model with the transferred parameters is ready for inference.</w:t>
            </w:r>
          </w:p>
          <w:p w14:paraId="02B1D092" w14:textId="77777777" w:rsidR="00CD4081" w:rsidRPr="00265359" w:rsidRDefault="00CD4081" w:rsidP="00CD4081">
            <w:pPr>
              <w:widowControl/>
              <w:numPr>
                <w:ilvl w:val="0"/>
                <w:numId w:val="39"/>
              </w:numPr>
              <w:wordWrap/>
              <w:autoSpaceDE/>
              <w:autoSpaceDN/>
              <w:contextualSpacing/>
              <w:jc w:val="left"/>
              <w:rPr>
                <w:iCs/>
                <w:szCs w:val="20"/>
                <w:lang w:eastAsia="x-none"/>
              </w:rPr>
            </w:pPr>
            <w:r w:rsidRPr="00265359">
              <w:rPr>
                <w:rFonts w:eastAsia="DengXian"/>
                <w:iCs/>
                <w:szCs w:val="20"/>
                <w:lang w:eastAsia="zh-CN"/>
              </w:rPr>
              <w:t>T</w:t>
            </w:r>
            <w:r w:rsidRPr="00265359">
              <w:rPr>
                <w:iCs/>
                <w:szCs w:val="20"/>
                <w:lang w:eastAsia="x-none"/>
              </w:rPr>
              <w:t>he transfer of partial of the parameters for a known model structure</w:t>
            </w:r>
            <w:r w:rsidRPr="00265359">
              <w:rPr>
                <w:rFonts w:eastAsia="DengXian"/>
                <w:iCs/>
                <w:szCs w:val="20"/>
                <w:lang w:eastAsia="zh-CN"/>
              </w:rPr>
              <w:t>.</w:t>
            </w:r>
          </w:p>
          <w:p w14:paraId="4AA49603" w14:textId="77777777" w:rsidR="00CD4081" w:rsidRDefault="00CD4081" w:rsidP="00E13D93">
            <w:pPr>
              <w:widowControl/>
              <w:wordWrap/>
              <w:autoSpaceDE/>
              <w:autoSpaceDN/>
              <w:contextualSpacing/>
              <w:jc w:val="left"/>
              <w:rPr>
                <w:lang w:val="en-GB"/>
              </w:rPr>
            </w:pPr>
          </w:p>
        </w:tc>
      </w:tr>
    </w:tbl>
    <w:p w14:paraId="731529AB" w14:textId="77777777" w:rsidR="009A26B4" w:rsidRDefault="009A26B4" w:rsidP="00646CDC"/>
    <w:p w14:paraId="7D237C88" w14:textId="2A15DB85" w:rsidR="00BD2392" w:rsidRDefault="00BD2392" w:rsidP="00646CDC">
      <w:pPr>
        <w:rPr>
          <w:lang w:val="en-GB"/>
        </w:rPr>
      </w:pPr>
      <w:r>
        <w:t>W</w:t>
      </w:r>
      <w:r w:rsidR="00724438">
        <w:rPr>
          <w:lang w:val="en-GB"/>
        </w:rPr>
        <w:t xml:space="preserve">hether/when UE </w:t>
      </w:r>
      <w:r w:rsidR="00724438" w:rsidRPr="00771D47">
        <w:rPr>
          <w:lang w:val="en-GB"/>
        </w:rPr>
        <w:t>need</w:t>
      </w:r>
      <w:r w:rsidR="00724438">
        <w:rPr>
          <w:lang w:val="en-GB"/>
        </w:rPr>
        <w:t>s</w:t>
      </w:r>
      <w:r w:rsidR="00724438" w:rsidRPr="00771D47">
        <w:rPr>
          <w:lang w:val="en-GB"/>
        </w:rPr>
        <w:t xml:space="preserve"> the transfer of new parameters for a known model structure</w:t>
      </w:r>
      <w:r w:rsidR="00724438">
        <w:rPr>
          <w:lang w:val="en-GB"/>
        </w:rPr>
        <w:t xml:space="preserve"> can be known by NW with performance monitoring procedure. It is because NW can determine whether/when model transfer is needed based on the result of performance monitoring, e.g. transferring a new model is needed when the performance of current model is degraded. </w:t>
      </w:r>
    </w:p>
    <w:p w14:paraId="37283F8D" w14:textId="43A16B79" w:rsidR="00CD4081" w:rsidRDefault="00724438" w:rsidP="00646CDC">
      <w:pPr>
        <w:rPr>
          <w:lang w:val="en-GB"/>
        </w:rPr>
      </w:pPr>
      <w:r>
        <w:rPr>
          <w:lang w:val="en-GB"/>
        </w:rPr>
        <w:t xml:space="preserve">Whether/when </w:t>
      </w:r>
      <w:r w:rsidRPr="00771D47">
        <w:rPr>
          <w:lang w:val="en-GB"/>
        </w:rPr>
        <w:t>the AI model with the transferred parameters is ready for inference</w:t>
      </w:r>
      <w:r>
        <w:rPr>
          <w:lang w:val="en-GB"/>
        </w:rPr>
        <w:t xml:space="preserve"> can be known by NW </w:t>
      </w:r>
      <w:r w:rsidR="00BD2392">
        <w:rPr>
          <w:lang w:val="en-GB"/>
        </w:rPr>
        <w:t xml:space="preserve">if </w:t>
      </w:r>
      <w:r>
        <w:rPr>
          <w:lang w:val="en-GB"/>
        </w:rPr>
        <w:t>model application time</w:t>
      </w:r>
      <w:r w:rsidR="00BD2392">
        <w:rPr>
          <w:lang w:val="en-GB"/>
        </w:rPr>
        <w:t xml:space="preserve"> (MAT) is specified, which corresponds to the</w:t>
      </w:r>
      <w:r w:rsidR="00BD2392" w:rsidRPr="00BD2392">
        <w:rPr>
          <w:lang w:val="en-GB"/>
        </w:rPr>
        <w:t xml:space="preserve"> minimum required time for UE to apply the transferred model.</w:t>
      </w:r>
      <w:r w:rsidR="00BD2392">
        <w:rPr>
          <w:lang w:val="en-GB"/>
        </w:rPr>
        <w:t xml:space="preserve"> </w:t>
      </w:r>
      <w:r>
        <w:rPr>
          <w:lang w:val="en-GB"/>
        </w:rPr>
        <w:t>Once model is transferred, NW know</w:t>
      </w:r>
      <w:r w:rsidR="00BD2392">
        <w:rPr>
          <w:lang w:val="en-GB"/>
        </w:rPr>
        <w:t>s from</w:t>
      </w:r>
      <w:r>
        <w:rPr>
          <w:lang w:val="en-GB"/>
        </w:rPr>
        <w:t xml:space="preserve"> when </w:t>
      </w:r>
      <w:r w:rsidR="00BD2392">
        <w:rPr>
          <w:lang w:val="en-GB"/>
        </w:rPr>
        <w:t>the transferred model</w:t>
      </w:r>
      <w:r>
        <w:rPr>
          <w:lang w:val="en-GB"/>
        </w:rPr>
        <w:t xml:space="preserve"> is applicable </w:t>
      </w:r>
      <w:r w:rsidR="009A26B4">
        <w:rPr>
          <w:lang w:val="en-GB"/>
        </w:rPr>
        <w:t xml:space="preserve">at UE side </w:t>
      </w:r>
      <w:r w:rsidR="00BD2392">
        <w:rPr>
          <w:lang w:val="en-GB"/>
        </w:rPr>
        <w:t>from</w:t>
      </w:r>
      <w:r>
        <w:rPr>
          <w:lang w:val="en-GB"/>
        </w:rPr>
        <w:t xml:space="preserve"> the</w:t>
      </w:r>
      <w:r w:rsidR="009A26B4">
        <w:rPr>
          <w:lang w:val="en-GB"/>
        </w:rPr>
        <w:t xml:space="preserve"> specified</w:t>
      </w:r>
      <w:r>
        <w:rPr>
          <w:lang w:val="en-GB"/>
        </w:rPr>
        <w:t xml:space="preserve"> </w:t>
      </w:r>
      <w:r w:rsidR="00BD2392">
        <w:rPr>
          <w:lang w:val="en-GB"/>
        </w:rPr>
        <w:t>MAT</w:t>
      </w:r>
      <w:r>
        <w:rPr>
          <w:lang w:val="en-GB"/>
        </w:rPr>
        <w:t>.</w:t>
      </w:r>
    </w:p>
    <w:p w14:paraId="5D339674" w14:textId="7AD4B00E" w:rsidR="001E0D58" w:rsidRPr="00875BC9" w:rsidRDefault="00771D47" w:rsidP="00771D47">
      <w:pPr>
        <w:rPr>
          <w:b/>
        </w:rPr>
      </w:pPr>
      <w:r w:rsidRPr="00875BC9">
        <w:rPr>
          <w:b/>
        </w:rPr>
        <w:t>Proposal#</w:t>
      </w:r>
      <w:r>
        <w:rPr>
          <w:b/>
        </w:rPr>
        <w:t>7</w:t>
      </w:r>
      <w:r w:rsidRPr="00875BC9">
        <w:rPr>
          <w:b/>
        </w:rPr>
        <w:t xml:space="preserve">. </w:t>
      </w:r>
      <w:r w:rsidR="001E0D58">
        <w:rPr>
          <w:b/>
        </w:rPr>
        <w:t xml:space="preserve">Whether/when UE needs the </w:t>
      </w:r>
      <w:r w:rsidR="001E0D58" w:rsidRPr="001E0D58">
        <w:rPr>
          <w:b/>
        </w:rPr>
        <w:t>transfer of new parameters for a known model structure</w:t>
      </w:r>
      <w:r w:rsidR="001E0D58">
        <w:rPr>
          <w:b/>
        </w:rPr>
        <w:t xml:space="preserve"> can be known by NW via performance monitoring procedure.</w:t>
      </w:r>
    </w:p>
    <w:p w14:paraId="02B49955" w14:textId="5D705D13" w:rsidR="001E0D58" w:rsidRPr="00875BC9" w:rsidRDefault="001E0D58" w:rsidP="001E0D58">
      <w:pPr>
        <w:rPr>
          <w:b/>
        </w:rPr>
      </w:pPr>
      <w:r w:rsidRPr="00875BC9">
        <w:rPr>
          <w:b/>
        </w:rPr>
        <w:t>Proposal#</w:t>
      </w:r>
      <w:r>
        <w:rPr>
          <w:b/>
        </w:rPr>
        <w:t>8</w:t>
      </w:r>
      <w:r w:rsidRPr="00875BC9">
        <w:rPr>
          <w:b/>
        </w:rPr>
        <w:t xml:space="preserve">. </w:t>
      </w:r>
      <w:r>
        <w:rPr>
          <w:b/>
        </w:rPr>
        <w:t xml:space="preserve">Whether/when </w:t>
      </w:r>
      <w:r w:rsidRPr="001E0D58">
        <w:rPr>
          <w:b/>
        </w:rPr>
        <w:t>the AI model with the transferred parameters is ready for inference</w:t>
      </w:r>
      <w:r>
        <w:rPr>
          <w:b/>
        </w:rPr>
        <w:t xml:space="preserve"> can be known by NW via defining model application time, i.e. the minimum required time for UE to apply the transferred model.</w:t>
      </w:r>
    </w:p>
    <w:p w14:paraId="65FEE41D" w14:textId="77777777" w:rsidR="00771D47" w:rsidRPr="00E13D93" w:rsidRDefault="00771D47" w:rsidP="00646CDC">
      <w:bookmarkStart w:id="2" w:name="_GoBack"/>
      <w:bookmarkEnd w:id="2"/>
    </w:p>
    <w:p w14:paraId="031F5830" w14:textId="77777777" w:rsidR="00F06030" w:rsidRPr="00596295" w:rsidRDefault="00F06030" w:rsidP="00F06030">
      <w:pPr>
        <w:pStyle w:val="1"/>
      </w:pPr>
      <w:r w:rsidRPr="00596295">
        <w:t>Conclusion</w:t>
      </w:r>
    </w:p>
    <w:p w14:paraId="6486E2E8" w14:textId="5B72959D" w:rsidR="004B6DF1" w:rsidRDefault="004B6DF1" w:rsidP="00F06030">
      <w:r w:rsidRPr="00596295">
        <w:t xml:space="preserve">In this contribution, </w:t>
      </w:r>
      <w:r w:rsidR="00025632" w:rsidRPr="00596295">
        <w:t>the following proposals</w:t>
      </w:r>
      <w:r w:rsidR="004C27C6">
        <w:t xml:space="preserve"> </w:t>
      </w:r>
      <w:r w:rsidR="00025632" w:rsidRPr="00596295">
        <w:t>are provided.</w:t>
      </w:r>
    </w:p>
    <w:p w14:paraId="0D416791" w14:textId="77777777" w:rsidR="00E13D93" w:rsidRPr="00527D65" w:rsidRDefault="00E13D93" w:rsidP="00E13D93">
      <w:pPr>
        <w:rPr>
          <w:b/>
        </w:rPr>
      </w:pPr>
      <w:r w:rsidRPr="00527D65">
        <w:rPr>
          <w:b/>
        </w:rPr>
        <w:t>Proposal#</w:t>
      </w:r>
      <w:r>
        <w:rPr>
          <w:b/>
        </w:rPr>
        <w:t>1</w:t>
      </w:r>
      <w:r w:rsidRPr="00527D65">
        <w:rPr>
          <w:b/>
        </w:rPr>
        <w:t xml:space="preserve">. </w:t>
      </w:r>
      <w:r>
        <w:rPr>
          <w:rFonts w:hint="eastAsia"/>
          <w:b/>
        </w:rPr>
        <w:t xml:space="preserve">Clarify that </w:t>
      </w:r>
      <w:r>
        <w:rPr>
          <w:b/>
        </w:rPr>
        <w:t>a functionality is a unit that affects NW-side and/or UE-side operation/performance. The granularity of a functionality is same/similar to an FG, and can be a smaller unit than a sub-use-case.</w:t>
      </w:r>
    </w:p>
    <w:p w14:paraId="0A96AD93" w14:textId="77777777" w:rsidR="00E13D93" w:rsidRPr="006E0332" w:rsidRDefault="00E13D93" w:rsidP="00E13D93">
      <w:pPr>
        <w:rPr>
          <w:b/>
        </w:rPr>
      </w:pPr>
      <w:r w:rsidRPr="006E0332">
        <w:rPr>
          <w:b/>
        </w:rPr>
        <w:t xml:space="preserve">Proposal#2. Clarify that </w:t>
      </w:r>
      <w:r>
        <w:rPr>
          <w:b/>
        </w:rPr>
        <w:t>NW can c</w:t>
      </w:r>
      <w:r w:rsidRPr="006E0332">
        <w:rPr>
          <w:b/>
        </w:rPr>
        <w:t>onfigure NW-side additional condition to UE</w:t>
      </w:r>
      <w:r>
        <w:rPr>
          <w:b/>
        </w:rPr>
        <w:t xml:space="preserve"> for helping UE to select applicable functionality among supported functionalities, and the exact configuration method including whether or not to use the associated ID is up to sub-use-case signaling design.  </w:t>
      </w:r>
    </w:p>
    <w:p w14:paraId="3EF355F9" w14:textId="77777777" w:rsidR="00E13D93" w:rsidRDefault="00E13D93" w:rsidP="00E13D93">
      <w:pPr>
        <w:rPr>
          <w:b/>
        </w:rPr>
      </w:pPr>
      <w:r w:rsidRPr="00D47697">
        <w:rPr>
          <w:rFonts w:hint="eastAsia"/>
          <w:b/>
        </w:rPr>
        <w:t>Proposal#</w:t>
      </w:r>
      <w:r>
        <w:rPr>
          <w:b/>
        </w:rPr>
        <w:t>3</w:t>
      </w:r>
      <w:r w:rsidRPr="00D47697">
        <w:rPr>
          <w:rFonts w:hint="eastAsia"/>
          <w:b/>
        </w:rPr>
        <w:t xml:space="preserve">. </w:t>
      </w:r>
      <w:r>
        <w:rPr>
          <w:b/>
        </w:rPr>
        <w:t>Details of associated ID, including whether it is needed, the name of the ID, the information inferred from the ID, how the ID is assigned/used, should be discussed and decided per sub-use-case.</w:t>
      </w:r>
    </w:p>
    <w:p w14:paraId="317695DC" w14:textId="77777777" w:rsidR="00E13D93" w:rsidRDefault="00E13D93" w:rsidP="00E13D93">
      <w:pPr>
        <w:rPr>
          <w:b/>
        </w:rPr>
      </w:pPr>
      <w:r w:rsidRPr="00D47697">
        <w:rPr>
          <w:rFonts w:hint="eastAsia"/>
          <w:b/>
        </w:rPr>
        <w:t>Proposal#</w:t>
      </w:r>
      <w:r>
        <w:rPr>
          <w:b/>
        </w:rPr>
        <w:t>4</w:t>
      </w:r>
      <w:r w:rsidRPr="00D47697">
        <w:rPr>
          <w:rFonts w:hint="eastAsia"/>
          <w:b/>
        </w:rPr>
        <w:t xml:space="preserve">. </w:t>
      </w:r>
      <w:r>
        <w:rPr>
          <w:b/>
        </w:rPr>
        <w:t>For MI-Option 4, some procedures (e.g., performance/compatibility report) to ensure the performance of model needs to be considered.</w:t>
      </w:r>
    </w:p>
    <w:p w14:paraId="28FD9484" w14:textId="77777777" w:rsidR="00E13D93" w:rsidRDefault="00E13D93" w:rsidP="00E13D93">
      <w:pPr>
        <w:rPr>
          <w:b/>
        </w:rPr>
      </w:pPr>
      <w:r w:rsidRPr="00D47697">
        <w:rPr>
          <w:rFonts w:hint="eastAsia"/>
          <w:b/>
        </w:rPr>
        <w:lastRenderedPageBreak/>
        <w:t>Proposal#</w:t>
      </w:r>
      <w:r>
        <w:rPr>
          <w:b/>
        </w:rPr>
        <w:t>5</w:t>
      </w:r>
      <w:r w:rsidRPr="00D47697">
        <w:rPr>
          <w:rFonts w:hint="eastAsia"/>
          <w:b/>
        </w:rPr>
        <w:t xml:space="preserve">. </w:t>
      </w:r>
      <w:r>
        <w:rPr>
          <w:b/>
        </w:rPr>
        <w:t>For MI-Option 2, clarify that ID-X alone cannot serve model identification purpose. Discuss further whether model identification is necessary for the dataset transfer scenario.</w:t>
      </w:r>
    </w:p>
    <w:p w14:paraId="0C76F85F" w14:textId="05CF0C3D" w:rsidR="00E13D93" w:rsidRPr="00875BC9" w:rsidRDefault="00E13D93" w:rsidP="00E13D93">
      <w:pPr>
        <w:rPr>
          <w:b/>
        </w:rPr>
      </w:pPr>
      <w:r w:rsidRPr="00875BC9">
        <w:rPr>
          <w:b/>
        </w:rPr>
        <w:t>Proposal#</w:t>
      </w:r>
      <w:r>
        <w:rPr>
          <w:b/>
        </w:rPr>
        <w:t>6</w:t>
      </w:r>
      <w:r w:rsidRPr="00875BC9">
        <w:rPr>
          <w:b/>
        </w:rPr>
        <w:t xml:space="preserve">. </w:t>
      </w:r>
      <w:r>
        <w:rPr>
          <w:b/>
        </w:rPr>
        <w:t xml:space="preserve">Focus on discussing the key challenges of model transfer </w:t>
      </w:r>
      <w:r w:rsidRPr="004C27C6">
        <w:rPr>
          <w:b/>
        </w:rPr>
        <w:t>such as offline cross-vendor collaboration, model storage requirements, and proprietary design disclosure issues</w:t>
      </w:r>
      <w:r>
        <w:rPr>
          <w:b/>
        </w:rPr>
        <w:t xml:space="preserve">. </w:t>
      </w:r>
    </w:p>
    <w:p w14:paraId="1371E736" w14:textId="77777777" w:rsidR="00E13D93" w:rsidRPr="00875BC9" w:rsidRDefault="00E13D93" w:rsidP="00E13D93">
      <w:pPr>
        <w:rPr>
          <w:b/>
        </w:rPr>
      </w:pPr>
      <w:r w:rsidRPr="00875BC9">
        <w:rPr>
          <w:b/>
        </w:rPr>
        <w:t>Proposal#</w:t>
      </w:r>
      <w:r>
        <w:rPr>
          <w:b/>
        </w:rPr>
        <w:t>7</w:t>
      </w:r>
      <w:r w:rsidRPr="00875BC9">
        <w:rPr>
          <w:b/>
        </w:rPr>
        <w:t xml:space="preserve">. </w:t>
      </w:r>
      <w:r>
        <w:rPr>
          <w:b/>
        </w:rPr>
        <w:t xml:space="preserve">Whether/when UE needs the </w:t>
      </w:r>
      <w:r w:rsidRPr="001E0D58">
        <w:rPr>
          <w:b/>
        </w:rPr>
        <w:t>transfer of new parameters for a known model structure</w:t>
      </w:r>
      <w:r>
        <w:rPr>
          <w:b/>
        </w:rPr>
        <w:t xml:space="preserve"> can be known by NW via performance monitoring procedure.</w:t>
      </w:r>
    </w:p>
    <w:p w14:paraId="13BFB678" w14:textId="77777777" w:rsidR="00E13D93" w:rsidRPr="00875BC9" w:rsidRDefault="00E13D93" w:rsidP="00E13D93">
      <w:pPr>
        <w:rPr>
          <w:b/>
        </w:rPr>
      </w:pPr>
      <w:r w:rsidRPr="00875BC9">
        <w:rPr>
          <w:b/>
        </w:rPr>
        <w:t>Proposal#</w:t>
      </w:r>
      <w:r>
        <w:rPr>
          <w:b/>
        </w:rPr>
        <w:t>8</w:t>
      </w:r>
      <w:r w:rsidRPr="00875BC9">
        <w:rPr>
          <w:b/>
        </w:rPr>
        <w:t xml:space="preserve">. </w:t>
      </w:r>
      <w:r>
        <w:rPr>
          <w:b/>
        </w:rPr>
        <w:t xml:space="preserve">Whether/when </w:t>
      </w:r>
      <w:r w:rsidRPr="001E0D58">
        <w:rPr>
          <w:b/>
        </w:rPr>
        <w:t>the AI model with the transferred parameters is ready for inference</w:t>
      </w:r>
      <w:r>
        <w:rPr>
          <w:b/>
        </w:rPr>
        <w:t xml:space="preserve"> can be known by NW via defining model application time, i.e. the minimum required time for UE to apply the transferred model.</w:t>
      </w:r>
    </w:p>
    <w:p w14:paraId="0C302BC3" w14:textId="77777777" w:rsidR="004B6A8C" w:rsidRPr="00E13D93" w:rsidRDefault="004B6A8C" w:rsidP="00F06030"/>
    <w:p w14:paraId="71D24626" w14:textId="77777777" w:rsidR="00F06030" w:rsidRPr="00596295" w:rsidRDefault="00F06030" w:rsidP="00265AA6">
      <w:pPr>
        <w:pStyle w:val="1"/>
      </w:pPr>
      <w:r w:rsidRPr="00596295">
        <w:rPr>
          <w:rFonts w:hint="eastAsia"/>
        </w:rPr>
        <w:t>Reference</w:t>
      </w:r>
    </w:p>
    <w:p w14:paraId="5B647949" w14:textId="4D3274A5" w:rsidR="00FB0153" w:rsidRPr="00FB0153" w:rsidRDefault="004A0F43">
      <w:r w:rsidRPr="00596295">
        <w:rPr>
          <w:rFonts w:hint="eastAsia"/>
        </w:rPr>
        <w:t xml:space="preserve">[1] </w:t>
      </w:r>
      <w:r w:rsidR="0092511A">
        <w:t>RP-242399</w:t>
      </w:r>
      <w:r w:rsidR="007C6EFC" w:rsidRPr="00596295">
        <w:t>, “</w:t>
      </w:r>
      <w:r w:rsidR="00595876" w:rsidRPr="00595876">
        <w:t xml:space="preserve">Revised WID </w:t>
      </w:r>
      <w:r w:rsidR="005E1811" w:rsidRPr="005E1811">
        <w:t>on Artificial Intelligence (AI)/Machine Learning (ML) for NR Air Interface</w:t>
      </w:r>
      <w:r w:rsidR="007C6EFC" w:rsidRPr="00596295">
        <w:t xml:space="preserve">”, </w:t>
      </w:r>
      <w:r w:rsidR="005E1811" w:rsidRPr="005E1811">
        <w:t>Qualcomm</w:t>
      </w:r>
    </w:p>
    <w:sectPr w:rsidR="00FB0153" w:rsidRPr="00FB0153">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69C9E5" w16cid:durableId="2AD4EB9C"/>
  <w16cid:commentId w16cid:paraId="22C85B87" w16cid:durableId="2AD4ECFB"/>
  <w16cid:commentId w16cid:paraId="09737E68" w16cid:durableId="2AD4EF4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0EC30" w14:textId="77777777" w:rsidR="005E356D" w:rsidRDefault="005E356D" w:rsidP="00A730F4">
      <w:pPr>
        <w:spacing w:after="0" w:line="240" w:lineRule="auto"/>
      </w:pPr>
      <w:r>
        <w:separator/>
      </w:r>
    </w:p>
  </w:endnote>
  <w:endnote w:type="continuationSeparator" w:id="0">
    <w:p w14:paraId="690D78F6" w14:textId="77777777" w:rsidR="005E356D" w:rsidRDefault="005E356D"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0C4F5" w14:textId="77777777" w:rsidR="005E356D" w:rsidRDefault="005E356D" w:rsidP="00A730F4">
      <w:pPr>
        <w:spacing w:after="0" w:line="240" w:lineRule="auto"/>
      </w:pPr>
      <w:r>
        <w:separator/>
      </w:r>
    </w:p>
  </w:footnote>
  <w:footnote w:type="continuationSeparator" w:id="0">
    <w:p w14:paraId="1F3B8031" w14:textId="77777777" w:rsidR="005E356D" w:rsidRDefault="005E356D"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1A3228F1"/>
    <w:multiLevelType w:val="hybridMultilevel"/>
    <w:tmpl w:val="735ADF9C"/>
    <w:lvl w:ilvl="0" w:tplc="E946DEAE">
      <w:start w:val="8"/>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3">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036276D"/>
    <w:multiLevelType w:val="hybridMultilevel"/>
    <w:tmpl w:val="55F4E1B0"/>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5875C2D"/>
    <w:multiLevelType w:val="hybridMultilevel"/>
    <w:tmpl w:val="98FEB0F4"/>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6">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7">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1">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30"/>
  </w:num>
  <w:num w:numId="4">
    <w:abstractNumId w:val="33"/>
  </w:num>
  <w:num w:numId="5">
    <w:abstractNumId w:val="38"/>
  </w:num>
  <w:num w:numId="6">
    <w:abstractNumId w:val="3"/>
  </w:num>
  <w:num w:numId="7">
    <w:abstractNumId w:val="3"/>
  </w:num>
  <w:num w:numId="8">
    <w:abstractNumId w:val="3"/>
  </w:num>
  <w:num w:numId="9">
    <w:abstractNumId w:val="28"/>
  </w:num>
  <w:num w:numId="10">
    <w:abstractNumId w:val="4"/>
  </w:num>
  <w:num w:numId="11">
    <w:abstractNumId w:val="15"/>
  </w:num>
  <w:num w:numId="12">
    <w:abstractNumId w:val="12"/>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36"/>
  </w:num>
  <w:num w:numId="16">
    <w:abstractNumId w:val="20"/>
  </w:num>
  <w:num w:numId="17">
    <w:abstractNumId w:val="9"/>
  </w:num>
  <w:num w:numId="18">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13"/>
  </w:num>
  <w:num w:numId="21">
    <w:abstractNumId w:val="35"/>
  </w:num>
  <w:num w:numId="22">
    <w:abstractNumId w:val="5"/>
  </w:num>
  <w:num w:numId="23">
    <w:abstractNumId w:val="41"/>
  </w:num>
  <w:num w:numId="24">
    <w:abstractNumId w:val="16"/>
  </w:num>
  <w:num w:numId="25">
    <w:abstractNumId w:val="37"/>
  </w:num>
  <w:num w:numId="26">
    <w:abstractNumId w:val="14"/>
  </w:num>
  <w:num w:numId="27">
    <w:abstractNumId w:val="31"/>
  </w:num>
  <w:num w:numId="28">
    <w:abstractNumId w:val="21"/>
  </w:num>
  <w:num w:numId="29">
    <w:abstractNumId w:val="17"/>
  </w:num>
  <w:num w:numId="30">
    <w:abstractNumId w:val="21"/>
  </w:num>
  <w:num w:numId="31">
    <w:abstractNumId w:val="7"/>
  </w:num>
  <w:num w:numId="32">
    <w:abstractNumId w:val="27"/>
  </w:num>
  <w:num w:numId="33">
    <w:abstractNumId w:val="40"/>
  </w:num>
  <w:num w:numId="34">
    <w:abstractNumId w:val="8"/>
  </w:num>
  <w:num w:numId="35">
    <w:abstractNumId w:val="34"/>
  </w:num>
  <w:num w:numId="36">
    <w:abstractNumId w:val="29"/>
  </w:num>
  <w:num w:numId="37">
    <w:abstractNumId w:val="23"/>
  </w:num>
  <w:num w:numId="38">
    <w:abstractNumId w:val="26"/>
  </w:num>
  <w:num w:numId="39">
    <w:abstractNumId w:val="0"/>
  </w:num>
  <w:num w:numId="40">
    <w:abstractNumId w:val="1"/>
  </w:num>
  <w:num w:numId="41">
    <w:abstractNumId w:val="2"/>
  </w:num>
  <w:num w:numId="42">
    <w:abstractNumId w:val="39"/>
  </w:num>
  <w:num w:numId="43">
    <w:abstractNumId w:val="10"/>
  </w:num>
  <w:num w:numId="44">
    <w:abstractNumId w:val="25"/>
  </w:num>
  <w:num w:numId="45">
    <w:abstractNumId w:val="11"/>
  </w:num>
  <w:num w:numId="46">
    <w:abstractNumId w:val="18"/>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1E4C"/>
    <w:rsid w:val="00011354"/>
    <w:rsid w:val="000240A6"/>
    <w:rsid w:val="00025632"/>
    <w:rsid w:val="00027617"/>
    <w:rsid w:val="00032D15"/>
    <w:rsid w:val="00042A30"/>
    <w:rsid w:val="0004490C"/>
    <w:rsid w:val="00052F0D"/>
    <w:rsid w:val="00065EDC"/>
    <w:rsid w:val="00066231"/>
    <w:rsid w:val="00066902"/>
    <w:rsid w:val="00067FC9"/>
    <w:rsid w:val="0007162D"/>
    <w:rsid w:val="00081784"/>
    <w:rsid w:val="000A30F4"/>
    <w:rsid w:val="000B2003"/>
    <w:rsid w:val="000B45E0"/>
    <w:rsid w:val="000C000D"/>
    <w:rsid w:val="000C0877"/>
    <w:rsid w:val="000D0DF7"/>
    <w:rsid w:val="000F631D"/>
    <w:rsid w:val="000F7191"/>
    <w:rsid w:val="001025A6"/>
    <w:rsid w:val="00120299"/>
    <w:rsid w:val="001361E1"/>
    <w:rsid w:val="00152B83"/>
    <w:rsid w:val="001708EE"/>
    <w:rsid w:val="00173D6C"/>
    <w:rsid w:val="001753D5"/>
    <w:rsid w:val="00182AAB"/>
    <w:rsid w:val="00195C54"/>
    <w:rsid w:val="001A4221"/>
    <w:rsid w:val="001B5CD1"/>
    <w:rsid w:val="001C02F3"/>
    <w:rsid w:val="001C28E0"/>
    <w:rsid w:val="001D4634"/>
    <w:rsid w:val="001E0D58"/>
    <w:rsid w:val="001F421C"/>
    <w:rsid w:val="001F74EE"/>
    <w:rsid w:val="00201885"/>
    <w:rsid w:val="00213B95"/>
    <w:rsid w:val="00233452"/>
    <w:rsid w:val="00235237"/>
    <w:rsid w:val="00236510"/>
    <w:rsid w:val="002379CB"/>
    <w:rsid w:val="00245C8D"/>
    <w:rsid w:val="0024739D"/>
    <w:rsid w:val="002630D2"/>
    <w:rsid w:val="00265AA6"/>
    <w:rsid w:val="002678D9"/>
    <w:rsid w:val="00267A67"/>
    <w:rsid w:val="002819A2"/>
    <w:rsid w:val="002847A2"/>
    <w:rsid w:val="00291872"/>
    <w:rsid w:val="002B2000"/>
    <w:rsid w:val="002B39E6"/>
    <w:rsid w:val="002B79D1"/>
    <w:rsid w:val="002C5191"/>
    <w:rsid w:val="002D0622"/>
    <w:rsid w:val="002D17E5"/>
    <w:rsid w:val="002D301A"/>
    <w:rsid w:val="002D513C"/>
    <w:rsid w:val="002E0A64"/>
    <w:rsid w:val="002E397F"/>
    <w:rsid w:val="002F0766"/>
    <w:rsid w:val="002F1225"/>
    <w:rsid w:val="002F1580"/>
    <w:rsid w:val="00301420"/>
    <w:rsid w:val="003019F4"/>
    <w:rsid w:val="00302A92"/>
    <w:rsid w:val="0030393E"/>
    <w:rsid w:val="00304002"/>
    <w:rsid w:val="00316518"/>
    <w:rsid w:val="0032148C"/>
    <w:rsid w:val="0032297C"/>
    <w:rsid w:val="00327DED"/>
    <w:rsid w:val="00330537"/>
    <w:rsid w:val="00337F4F"/>
    <w:rsid w:val="00342689"/>
    <w:rsid w:val="00364977"/>
    <w:rsid w:val="00373C53"/>
    <w:rsid w:val="00382639"/>
    <w:rsid w:val="003869BD"/>
    <w:rsid w:val="00387D41"/>
    <w:rsid w:val="00392975"/>
    <w:rsid w:val="003A781C"/>
    <w:rsid w:val="003A7D88"/>
    <w:rsid w:val="003B39E9"/>
    <w:rsid w:val="003B468D"/>
    <w:rsid w:val="003B46DF"/>
    <w:rsid w:val="003B58B2"/>
    <w:rsid w:val="003C1F50"/>
    <w:rsid w:val="003C2C8E"/>
    <w:rsid w:val="003C3E0E"/>
    <w:rsid w:val="003D7FAD"/>
    <w:rsid w:val="003F5DDB"/>
    <w:rsid w:val="00400EAD"/>
    <w:rsid w:val="004037CB"/>
    <w:rsid w:val="00410BE6"/>
    <w:rsid w:val="00417D36"/>
    <w:rsid w:val="004200CA"/>
    <w:rsid w:val="00421140"/>
    <w:rsid w:val="0042227C"/>
    <w:rsid w:val="004229AA"/>
    <w:rsid w:val="00432572"/>
    <w:rsid w:val="00442987"/>
    <w:rsid w:val="00452459"/>
    <w:rsid w:val="004537B7"/>
    <w:rsid w:val="004667AE"/>
    <w:rsid w:val="00470B23"/>
    <w:rsid w:val="004716F6"/>
    <w:rsid w:val="00481B2F"/>
    <w:rsid w:val="00483C18"/>
    <w:rsid w:val="004939D5"/>
    <w:rsid w:val="00496961"/>
    <w:rsid w:val="004A0F43"/>
    <w:rsid w:val="004A7AAE"/>
    <w:rsid w:val="004B0983"/>
    <w:rsid w:val="004B5D18"/>
    <w:rsid w:val="004B69D3"/>
    <w:rsid w:val="004B6A8C"/>
    <w:rsid w:val="004B6DF1"/>
    <w:rsid w:val="004C27C6"/>
    <w:rsid w:val="004C2D9D"/>
    <w:rsid w:val="004C65F0"/>
    <w:rsid w:val="004C7FAD"/>
    <w:rsid w:val="004E3EE6"/>
    <w:rsid w:val="00501458"/>
    <w:rsid w:val="005058F4"/>
    <w:rsid w:val="005217B3"/>
    <w:rsid w:val="00521E91"/>
    <w:rsid w:val="0052698A"/>
    <w:rsid w:val="00527D65"/>
    <w:rsid w:val="00533BCD"/>
    <w:rsid w:val="00534F0B"/>
    <w:rsid w:val="00555BF3"/>
    <w:rsid w:val="00566848"/>
    <w:rsid w:val="005711E9"/>
    <w:rsid w:val="005765CA"/>
    <w:rsid w:val="0057732B"/>
    <w:rsid w:val="00581539"/>
    <w:rsid w:val="00584FBB"/>
    <w:rsid w:val="00585544"/>
    <w:rsid w:val="00585BD5"/>
    <w:rsid w:val="00587092"/>
    <w:rsid w:val="00591E83"/>
    <w:rsid w:val="005942A9"/>
    <w:rsid w:val="00595876"/>
    <w:rsid w:val="00596295"/>
    <w:rsid w:val="005969FD"/>
    <w:rsid w:val="005A527D"/>
    <w:rsid w:val="005B0725"/>
    <w:rsid w:val="005B6AE5"/>
    <w:rsid w:val="005D538F"/>
    <w:rsid w:val="005E1811"/>
    <w:rsid w:val="005E356D"/>
    <w:rsid w:val="005F20DD"/>
    <w:rsid w:val="00606CEC"/>
    <w:rsid w:val="00607117"/>
    <w:rsid w:val="006117AC"/>
    <w:rsid w:val="00612C8E"/>
    <w:rsid w:val="00614C2D"/>
    <w:rsid w:val="006160B3"/>
    <w:rsid w:val="00622DCE"/>
    <w:rsid w:val="00646CDC"/>
    <w:rsid w:val="00653178"/>
    <w:rsid w:val="0066686B"/>
    <w:rsid w:val="00667638"/>
    <w:rsid w:val="006711E2"/>
    <w:rsid w:val="00674EB5"/>
    <w:rsid w:val="0067587A"/>
    <w:rsid w:val="00675899"/>
    <w:rsid w:val="00676701"/>
    <w:rsid w:val="0068042E"/>
    <w:rsid w:val="00682673"/>
    <w:rsid w:val="00686C63"/>
    <w:rsid w:val="006A2B14"/>
    <w:rsid w:val="006A2E5D"/>
    <w:rsid w:val="006B67D5"/>
    <w:rsid w:val="006C25A5"/>
    <w:rsid w:val="006C3C72"/>
    <w:rsid w:val="006D00DD"/>
    <w:rsid w:val="006D78BA"/>
    <w:rsid w:val="006E0332"/>
    <w:rsid w:val="006E4CF8"/>
    <w:rsid w:val="006F123E"/>
    <w:rsid w:val="006F2DA4"/>
    <w:rsid w:val="006F64CC"/>
    <w:rsid w:val="00711E37"/>
    <w:rsid w:val="00724438"/>
    <w:rsid w:val="00725D3B"/>
    <w:rsid w:val="00726F11"/>
    <w:rsid w:val="0074000A"/>
    <w:rsid w:val="00740825"/>
    <w:rsid w:val="007523CB"/>
    <w:rsid w:val="007620EE"/>
    <w:rsid w:val="00764CCB"/>
    <w:rsid w:val="00771D47"/>
    <w:rsid w:val="0078345F"/>
    <w:rsid w:val="00783911"/>
    <w:rsid w:val="00783BAE"/>
    <w:rsid w:val="00791128"/>
    <w:rsid w:val="00796C8F"/>
    <w:rsid w:val="007A47B7"/>
    <w:rsid w:val="007C4CF4"/>
    <w:rsid w:val="007C51E1"/>
    <w:rsid w:val="007C6EFC"/>
    <w:rsid w:val="007D1EA2"/>
    <w:rsid w:val="007F4142"/>
    <w:rsid w:val="008037A6"/>
    <w:rsid w:val="00803882"/>
    <w:rsid w:val="008054B1"/>
    <w:rsid w:val="00812525"/>
    <w:rsid w:val="008145D7"/>
    <w:rsid w:val="00817FDD"/>
    <w:rsid w:val="00833CD8"/>
    <w:rsid w:val="00836A41"/>
    <w:rsid w:val="00845441"/>
    <w:rsid w:val="00857732"/>
    <w:rsid w:val="008657A4"/>
    <w:rsid w:val="00875BB2"/>
    <w:rsid w:val="00875BC9"/>
    <w:rsid w:val="008863D0"/>
    <w:rsid w:val="00886E67"/>
    <w:rsid w:val="00897325"/>
    <w:rsid w:val="008A2D29"/>
    <w:rsid w:val="008C31D9"/>
    <w:rsid w:val="008C3651"/>
    <w:rsid w:val="008C4A7F"/>
    <w:rsid w:val="008D153C"/>
    <w:rsid w:val="008D4393"/>
    <w:rsid w:val="008E0485"/>
    <w:rsid w:val="008E37F9"/>
    <w:rsid w:val="008F6FD7"/>
    <w:rsid w:val="00900470"/>
    <w:rsid w:val="009144FE"/>
    <w:rsid w:val="0092511A"/>
    <w:rsid w:val="00927A5F"/>
    <w:rsid w:val="00931945"/>
    <w:rsid w:val="009447FB"/>
    <w:rsid w:val="009502EC"/>
    <w:rsid w:val="00970088"/>
    <w:rsid w:val="00971E47"/>
    <w:rsid w:val="00973AA8"/>
    <w:rsid w:val="00976D2C"/>
    <w:rsid w:val="00987E51"/>
    <w:rsid w:val="00996413"/>
    <w:rsid w:val="009977F3"/>
    <w:rsid w:val="009A00AD"/>
    <w:rsid w:val="009A26B4"/>
    <w:rsid w:val="009A39F6"/>
    <w:rsid w:val="009A578A"/>
    <w:rsid w:val="009B2B5F"/>
    <w:rsid w:val="009B563C"/>
    <w:rsid w:val="009B65F7"/>
    <w:rsid w:val="009B7506"/>
    <w:rsid w:val="009C0134"/>
    <w:rsid w:val="009C47FF"/>
    <w:rsid w:val="009C65AC"/>
    <w:rsid w:val="009D7932"/>
    <w:rsid w:val="009E3479"/>
    <w:rsid w:val="009E5F9E"/>
    <w:rsid w:val="009E609E"/>
    <w:rsid w:val="009F43F7"/>
    <w:rsid w:val="009F70C7"/>
    <w:rsid w:val="00A014A1"/>
    <w:rsid w:val="00A07740"/>
    <w:rsid w:val="00A11FFB"/>
    <w:rsid w:val="00A17086"/>
    <w:rsid w:val="00A34E00"/>
    <w:rsid w:val="00A34E10"/>
    <w:rsid w:val="00A35756"/>
    <w:rsid w:val="00A509DF"/>
    <w:rsid w:val="00A63591"/>
    <w:rsid w:val="00A63879"/>
    <w:rsid w:val="00A71C33"/>
    <w:rsid w:val="00A730F4"/>
    <w:rsid w:val="00A7409C"/>
    <w:rsid w:val="00AA5235"/>
    <w:rsid w:val="00AB585F"/>
    <w:rsid w:val="00AC0FDD"/>
    <w:rsid w:val="00AE14C1"/>
    <w:rsid w:val="00AE37A9"/>
    <w:rsid w:val="00AE6B99"/>
    <w:rsid w:val="00B0256F"/>
    <w:rsid w:val="00B0401E"/>
    <w:rsid w:val="00B142D1"/>
    <w:rsid w:val="00B25AFE"/>
    <w:rsid w:val="00B26101"/>
    <w:rsid w:val="00B27185"/>
    <w:rsid w:val="00B42E68"/>
    <w:rsid w:val="00B46917"/>
    <w:rsid w:val="00B50352"/>
    <w:rsid w:val="00B5393E"/>
    <w:rsid w:val="00B56632"/>
    <w:rsid w:val="00B62CF2"/>
    <w:rsid w:val="00B67830"/>
    <w:rsid w:val="00B751D6"/>
    <w:rsid w:val="00B75321"/>
    <w:rsid w:val="00B8189F"/>
    <w:rsid w:val="00B84F26"/>
    <w:rsid w:val="00B92B0C"/>
    <w:rsid w:val="00B93186"/>
    <w:rsid w:val="00B94D8D"/>
    <w:rsid w:val="00BA0F31"/>
    <w:rsid w:val="00BA265C"/>
    <w:rsid w:val="00BB66D5"/>
    <w:rsid w:val="00BC4177"/>
    <w:rsid w:val="00BC5533"/>
    <w:rsid w:val="00BD16BF"/>
    <w:rsid w:val="00BD2392"/>
    <w:rsid w:val="00C0138D"/>
    <w:rsid w:val="00C16062"/>
    <w:rsid w:val="00C1761A"/>
    <w:rsid w:val="00C2580B"/>
    <w:rsid w:val="00C34285"/>
    <w:rsid w:val="00C36365"/>
    <w:rsid w:val="00C60002"/>
    <w:rsid w:val="00C60F51"/>
    <w:rsid w:val="00C66592"/>
    <w:rsid w:val="00C75A01"/>
    <w:rsid w:val="00C842AC"/>
    <w:rsid w:val="00C8449A"/>
    <w:rsid w:val="00C95BFA"/>
    <w:rsid w:val="00CA684B"/>
    <w:rsid w:val="00CA7DD4"/>
    <w:rsid w:val="00CB502D"/>
    <w:rsid w:val="00CB5F83"/>
    <w:rsid w:val="00CC2022"/>
    <w:rsid w:val="00CD2CD0"/>
    <w:rsid w:val="00CD4081"/>
    <w:rsid w:val="00CE45F8"/>
    <w:rsid w:val="00CF0281"/>
    <w:rsid w:val="00D0055E"/>
    <w:rsid w:val="00D0315C"/>
    <w:rsid w:val="00D12CC1"/>
    <w:rsid w:val="00D20A76"/>
    <w:rsid w:val="00D33A00"/>
    <w:rsid w:val="00D365BE"/>
    <w:rsid w:val="00D41101"/>
    <w:rsid w:val="00D430F8"/>
    <w:rsid w:val="00D56DA8"/>
    <w:rsid w:val="00D621E6"/>
    <w:rsid w:val="00D63BEE"/>
    <w:rsid w:val="00D71CF0"/>
    <w:rsid w:val="00D7294E"/>
    <w:rsid w:val="00D7432A"/>
    <w:rsid w:val="00D950B4"/>
    <w:rsid w:val="00D959A6"/>
    <w:rsid w:val="00DA0CAD"/>
    <w:rsid w:val="00DB39C3"/>
    <w:rsid w:val="00DB4582"/>
    <w:rsid w:val="00DB4E25"/>
    <w:rsid w:val="00DC11EB"/>
    <w:rsid w:val="00DC1964"/>
    <w:rsid w:val="00DD2515"/>
    <w:rsid w:val="00DE76BD"/>
    <w:rsid w:val="00DF336C"/>
    <w:rsid w:val="00E071A0"/>
    <w:rsid w:val="00E13D93"/>
    <w:rsid w:val="00E155C0"/>
    <w:rsid w:val="00E16E90"/>
    <w:rsid w:val="00E16FEF"/>
    <w:rsid w:val="00E17AFE"/>
    <w:rsid w:val="00E3188E"/>
    <w:rsid w:val="00E3636E"/>
    <w:rsid w:val="00E414CF"/>
    <w:rsid w:val="00E4670D"/>
    <w:rsid w:val="00E46F1D"/>
    <w:rsid w:val="00E50EAE"/>
    <w:rsid w:val="00E55644"/>
    <w:rsid w:val="00E63B3A"/>
    <w:rsid w:val="00E64BC4"/>
    <w:rsid w:val="00E709D7"/>
    <w:rsid w:val="00E74A9D"/>
    <w:rsid w:val="00EA057F"/>
    <w:rsid w:val="00EA27F0"/>
    <w:rsid w:val="00EA2EB0"/>
    <w:rsid w:val="00EA3188"/>
    <w:rsid w:val="00EB43F7"/>
    <w:rsid w:val="00EB664E"/>
    <w:rsid w:val="00EC2E49"/>
    <w:rsid w:val="00EC40FE"/>
    <w:rsid w:val="00EC7D36"/>
    <w:rsid w:val="00ED667D"/>
    <w:rsid w:val="00EE0EA9"/>
    <w:rsid w:val="00EF1322"/>
    <w:rsid w:val="00EF1E08"/>
    <w:rsid w:val="00EF36C2"/>
    <w:rsid w:val="00EF72E0"/>
    <w:rsid w:val="00F0049F"/>
    <w:rsid w:val="00F00A9A"/>
    <w:rsid w:val="00F04B30"/>
    <w:rsid w:val="00F06030"/>
    <w:rsid w:val="00F0692F"/>
    <w:rsid w:val="00F13469"/>
    <w:rsid w:val="00F166C6"/>
    <w:rsid w:val="00F16A5C"/>
    <w:rsid w:val="00F20CDD"/>
    <w:rsid w:val="00F22996"/>
    <w:rsid w:val="00F42BC6"/>
    <w:rsid w:val="00F45F96"/>
    <w:rsid w:val="00F67054"/>
    <w:rsid w:val="00F73992"/>
    <w:rsid w:val="00FA170C"/>
    <w:rsid w:val="00FA2380"/>
    <w:rsid w:val="00FA4579"/>
    <w:rsid w:val="00FB0153"/>
    <w:rsid w:val="00FB348E"/>
    <w:rsid w:val="00FC3CCC"/>
    <w:rsid w:val="00FC706B"/>
    <w:rsid w:val="00FC7D1A"/>
    <w:rsid w:val="00FD58FA"/>
    <w:rsid w:val="00FD7451"/>
    <w:rsid w:val="00FE6F6C"/>
    <w:rsid w:val="00FF3F71"/>
    <w:rsid w:val="00FF5F04"/>
    <w:rsid w:val="00FF65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79CB"/>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2"/>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2"/>
      </w:numPr>
      <w:outlineLvl w:val="3"/>
    </w:pPr>
    <w:rPr>
      <w:b/>
      <w:bCs/>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basedOn w:val="a2"/>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0"/>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8">
    <w:name w:val="Balloon Text"/>
    <w:basedOn w:val="a0"/>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25632"/>
    <w:rPr>
      <w:rFonts w:asciiTheme="majorHAnsi" w:eastAsiaTheme="majorEastAsia" w:hAnsiTheme="majorHAnsi" w:cstheme="majorBidi"/>
      <w:sz w:val="18"/>
      <w:szCs w:val="18"/>
    </w:rPr>
  </w:style>
  <w:style w:type="character" w:styleId="a9">
    <w:name w:val="annotation reference"/>
    <w:basedOn w:val="a1"/>
    <w:uiPriority w:val="99"/>
    <w:semiHidden/>
    <w:unhideWhenUsed/>
    <w:rsid w:val="00EA3188"/>
    <w:rPr>
      <w:sz w:val="18"/>
      <w:szCs w:val="18"/>
    </w:rPr>
  </w:style>
  <w:style w:type="paragraph" w:styleId="aa">
    <w:name w:val="annotation text"/>
    <w:basedOn w:val="a0"/>
    <w:link w:val="Char3"/>
    <w:uiPriority w:val="99"/>
    <w:semiHidden/>
    <w:unhideWhenUsed/>
    <w:rsid w:val="00EA3188"/>
    <w:pPr>
      <w:jc w:val="left"/>
    </w:pPr>
  </w:style>
  <w:style w:type="character" w:customStyle="1" w:styleId="Char3">
    <w:name w:val="메모 텍스트 Char"/>
    <w:basedOn w:val="a1"/>
    <w:link w:val="aa"/>
    <w:uiPriority w:val="99"/>
    <w:semiHidden/>
    <w:rsid w:val="00EA3188"/>
    <w:rPr>
      <w:rFonts w:ascii="Times New Roman" w:hAnsi="Times New Roman" w:cs="Times New Roman"/>
      <w:sz w:val="22"/>
    </w:rPr>
  </w:style>
  <w:style w:type="paragraph" w:styleId="ab">
    <w:name w:val="annotation subject"/>
    <w:basedOn w:val="aa"/>
    <w:next w:val="aa"/>
    <w:link w:val="Char4"/>
    <w:uiPriority w:val="99"/>
    <w:semiHidden/>
    <w:unhideWhenUsed/>
    <w:rsid w:val="00EA3188"/>
    <w:rPr>
      <w:b/>
      <w:bCs/>
    </w:rPr>
  </w:style>
  <w:style w:type="character" w:customStyle="1" w:styleId="Char4">
    <w:name w:val="메모 주제 Char"/>
    <w:basedOn w:val="Char3"/>
    <w:link w:val="ab"/>
    <w:uiPriority w:val="99"/>
    <w:semiHidden/>
    <w:rsid w:val="00EA3188"/>
    <w:rPr>
      <w:rFonts w:ascii="Times New Roman" w:hAnsi="Times New Roman" w:cs="Times New Roman"/>
      <w:b/>
      <w:bCs/>
      <w:sz w:val="22"/>
    </w:rPr>
  </w:style>
  <w:style w:type="paragraph" w:customStyle="1" w:styleId="B1">
    <w:name w:val="B1"/>
    <w:basedOn w:val="ac"/>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c">
    <w:name w:val="List"/>
    <w:basedOn w:val="a0"/>
    <w:uiPriority w:val="99"/>
    <w:semiHidden/>
    <w:unhideWhenUsed/>
    <w:rsid w:val="000F7191"/>
    <w:pPr>
      <w:ind w:leftChars="200" w:left="100" w:hangingChars="200" w:hanging="200"/>
      <w:contextualSpacing/>
    </w:pPr>
  </w:style>
  <w:style w:type="paragraph" w:styleId="20">
    <w:name w:val="List 2"/>
    <w:basedOn w:val="a0"/>
    <w:uiPriority w:val="99"/>
    <w:semiHidden/>
    <w:unhideWhenUsed/>
    <w:rsid w:val="000F7191"/>
    <w:pPr>
      <w:ind w:leftChars="400" w:left="100" w:hangingChars="200" w:hanging="200"/>
      <w:contextualSpacing/>
    </w:pPr>
  </w:style>
  <w:style w:type="paragraph" w:styleId="30">
    <w:name w:val="List 3"/>
    <w:basedOn w:val="a0"/>
    <w:uiPriority w:val="99"/>
    <w:semiHidden/>
    <w:unhideWhenUsed/>
    <w:rsid w:val="000F7191"/>
    <w:pPr>
      <w:ind w:leftChars="600" w:left="100" w:hangingChars="200" w:hanging="200"/>
      <w:contextualSpacing/>
    </w:pPr>
  </w:style>
  <w:style w:type="paragraph" w:customStyle="1" w:styleId="proposal">
    <w:name w:val="proposal"/>
    <w:basedOn w:val="ad"/>
    <w:next w:val="a0"/>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d">
    <w:name w:val="Body Text"/>
    <w:basedOn w:val="a0"/>
    <w:link w:val="Char5"/>
    <w:uiPriority w:val="99"/>
    <w:semiHidden/>
    <w:unhideWhenUsed/>
    <w:rsid w:val="00FD7451"/>
    <w:pPr>
      <w:spacing w:after="180"/>
    </w:pPr>
  </w:style>
  <w:style w:type="character" w:customStyle="1" w:styleId="Char5">
    <w:name w:val="본문 Char"/>
    <w:basedOn w:val="a1"/>
    <w:link w:val="ad"/>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63591"/>
    <w:rPr>
      <w:rFonts w:ascii="Times New Roman" w:hAnsi="Times New Roman" w:cs="Times New Roman"/>
      <w:sz w:val="22"/>
    </w:rPr>
  </w:style>
  <w:style w:type="paragraph" w:customStyle="1" w:styleId="Prop">
    <w:name w:val="Prop"/>
    <w:basedOn w:val="a7"/>
    <w:autoRedefine/>
    <w:qFormat/>
    <w:rsid w:val="002678D9"/>
    <w:pPr>
      <w:widowControl/>
      <w:numPr>
        <w:numId w:val="27"/>
      </w:numPr>
      <w:wordWrap/>
      <w:autoSpaceDE/>
      <w:autoSpaceDN/>
      <w:spacing w:before="120" w:after="120" w:line="240" w:lineRule="auto"/>
      <w:ind w:leftChars="0" w:left="644"/>
    </w:pPr>
    <w:rPr>
      <w:rFonts w:eastAsia="MS Mincho" w:cs="Calibri"/>
      <w:b/>
      <w:kern w:val="0"/>
      <w:szCs w:val="21"/>
      <w:lang w:eastAsia="zh-CN"/>
    </w:rPr>
  </w:style>
  <w:style w:type="paragraph" w:customStyle="1" w:styleId="a">
    <w:name w:val="佐藤２"/>
    <w:basedOn w:val="a0"/>
    <w:rsid w:val="002678D9"/>
    <w:pPr>
      <w:widowControl/>
      <w:numPr>
        <w:numId w:val="29"/>
      </w:numPr>
      <w:wordWrap/>
      <w:autoSpaceDE/>
      <w:autoSpaceDN/>
      <w:spacing w:after="180" w:line="240" w:lineRule="auto"/>
      <w:jc w:val="left"/>
    </w:pPr>
    <w:rPr>
      <w:rFonts w:eastAsia="MS Gothic"/>
      <w:kern w:val="0"/>
      <w:sz w:val="24"/>
      <w:szCs w:val="20"/>
      <w:lang w:val="en-GB" w:eastAsia="ja-JP"/>
    </w:rPr>
  </w:style>
  <w:style w:type="paragraph" w:styleId="ae">
    <w:name w:val="Revision"/>
    <w:hidden/>
    <w:uiPriority w:val="99"/>
    <w:semiHidden/>
    <w:rsid w:val="00B5393E"/>
    <w:pPr>
      <w:spacing w:after="0" w:line="240" w:lineRule="auto"/>
      <w:jc w:val="left"/>
    </w:pPr>
    <w:rPr>
      <w:rFonts w:ascii="Times New Roman" w:hAnsi="Times New Roman" w:cs="Times New Roman"/>
      <w:sz w:val="22"/>
    </w:rPr>
  </w:style>
  <w:style w:type="character" w:styleId="af">
    <w:name w:val="Hyperlink"/>
    <w:uiPriority w:val="99"/>
    <w:qFormat/>
    <w:rsid w:val="00CD40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690449019">
      <w:bodyDiv w:val="1"/>
      <w:marLeft w:val="0"/>
      <w:marRight w:val="0"/>
      <w:marTop w:val="0"/>
      <w:marBottom w:val="0"/>
      <w:divBdr>
        <w:top w:val="none" w:sz="0" w:space="0" w:color="auto"/>
        <w:left w:val="none" w:sz="0" w:space="0" w:color="auto"/>
        <w:bottom w:val="none" w:sz="0" w:space="0" w:color="auto"/>
        <w:right w:val="none" w:sz="0" w:space="0" w:color="auto"/>
      </w:divBdr>
    </w:div>
    <w:div w:id="1480001151">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FAC3A-DBED-45E5-A668-289DBFF73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1873</Words>
  <Characters>10677</Characters>
  <Application>Microsoft Office Word</Application>
  <DocSecurity>0</DocSecurity>
  <Lines>88</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Jiwon Kang</cp:lastModifiedBy>
  <cp:revision>3</cp:revision>
  <dcterms:created xsi:type="dcterms:W3CDTF">2024-11-06T02:22:00Z</dcterms:created>
  <dcterms:modified xsi:type="dcterms:W3CDTF">2024-11-08T00:22:00Z</dcterms:modified>
</cp:coreProperties>
</file>