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9</w:t>
      </w:r>
      <w:bookmarkStart w:id="4" w:name="_GoBack"/>
      <w:bookmarkEnd w:id="4"/>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10076</w:t>
      </w:r>
    </w:p>
    <w:p>
      <w:pPr>
        <w:tabs>
          <w:tab w:val="center" w:pos="4536"/>
          <w:tab w:val="right" w:pos="9072"/>
        </w:tabs>
        <w:jc w:val="both"/>
        <w:rPr>
          <w:rFonts w:eastAsia="宋体"/>
          <w:b/>
          <w:sz w:val="22"/>
          <w:szCs w:val="22"/>
          <w:lang w:eastAsia="zh-CN"/>
        </w:rPr>
      </w:pPr>
      <w:r>
        <w:rPr>
          <w:rFonts w:hint="eastAsia" w:eastAsia="宋体" w:cs="Times New Roman"/>
          <w:b/>
          <w:sz w:val="22"/>
          <w:szCs w:val="22"/>
          <w:lang w:val="en-US" w:eastAsia="zh-CN"/>
        </w:rPr>
        <w:t>Orlando</w:t>
      </w:r>
      <w:r>
        <w:rPr>
          <w:rFonts w:hint="default" w:ascii="Times New Roman" w:hAnsi="Times New Roman" w:eastAsia="宋体" w:cs="Times New Roman"/>
          <w:b/>
          <w:sz w:val="22"/>
          <w:szCs w:val="22"/>
          <w:lang w:eastAsia="zh-CN"/>
        </w:rPr>
        <w:t>,</w:t>
      </w:r>
      <w:r>
        <w:rPr>
          <w:rFonts w:hint="eastAsia" w:eastAsia="宋体" w:cs="Times New Roman"/>
          <w:b/>
          <w:sz w:val="22"/>
          <w:szCs w:val="22"/>
          <w:lang w:val="en-US" w:eastAsia="zh-CN"/>
        </w:rPr>
        <w:t xml:space="preserve"> US,</w:t>
      </w:r>
      <w:r>
        <w:rPr>
          <w:rFonts w:hint="default" w:ascii="Times New Roman" w:hAnsi="Times New Roman" w:eastAsia="宋体" w:cs="Times New Roman"/>
          <w:b/>
          <w:sz w:val="22"/>
          <w:szCs w:val="22"/>
          <w:lang w:eastAsia="zh-CN"/>
        </w:rPr>
        <w:t xml:space="preserve"> </w:t>
      </w:r>
      <w:r>
        <w:rPr>
          <w:rFonts w:hint="eastAsia" w:eastAsia="宋体" w:cs="Times New Roman"/>
          <w:b/>
          <w:sz w:val="22"/>
          <w:szCs w:val="22"/>
          <w:lang w:val="en-US" w:eastAsia="zh-CN"/>
        </w:rPr>
        <w:t>November</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eastAsia="宋体" w:cs="Times New Roman"/>
          <w:b/>
          <w:sz w:val="22"/>
          <w:szCs w:val="22"/>
          <w:lang w:val="en-US" w:eastAsia="zh-CN"/>
        </w:rPr>
        <w:t>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w:t>
      </w:r>
      <w:r>
        <w:rPr>
          <w:rFonts w:hint="eastAsia" w:eastAsia="宋体" w:cs="Times New Roman"/>
          <w:b/>
          <w:sz w:val="22"/>
          <w:szCs w:val="22"/>
          <w:lang w:val="en-US" w:eastAsia="zh-CN"/>
        </w:rPr>
        <w:t>2</w:t>
      </w:r>
      <w:r>
        <w:rPr>
          <w:rFonts w:hint="eastAsia" w:eastAsia="宋体" w:cs="Times New Roman"/>
          <w:b/>
          <w:sz w:val="22"/>
          <w:szCs w:val="22"/>
          <w:vertAlign w:val="superscript"/>
          <w:lang w:val="en-US" w:eastAsia="zh-CN"/>
        </w:rPr>
        <w:t>n</w:t>
      </w:r>
      <w:r>
        <w:rPr>
          <w:rFonts w:hint="eastAsia" w:ascii="Times New Roman" w:hAnsi="Times New Roman" w:eastAsia="宋体" w:cs="Times New Roman"/>
          <w:b/>
          <w:sz w:val="22"/>
          <w:szCs w:val="22"/>
          <w:vertAlign w:val="superscript"/>
          <w:lang w:val="en-US" w:eastAsia="zh-CN"/>
        </w:rPr>
        <w:t>d</w:t>
      </w:r>
      <w:r>
        <w:rPr>
          <w:rFonts w:hint="default" w:ascii="Times New Roman" w:hAnsi="Times New Roman" w:eastAsia="宋体" w:cs="Times New Roman"/>
          <w:b/>
          <w:sz w:val="22"/>
          <w:szCs w:val="22"/>
          <w:lang w:eastAsia="zh-CN"/>
        </w:rPr>
        <w:t>, 2024</w:t>
      </w:r>
      <w:r>
        <w:rPr>
          <w:rFonts w:eastAsia="宋体"/>
          <w:b/>
          <w:sz w:val="22"/>
          <w:szCs w:val="22"/>
          <w:lang w:eastAsia="zh-CN"/>
        </w:rPr>
        <w:t xml:space="preserve"> </w:t>
      </w:r>
    </w:p>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0"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0"/>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1" w:name="_Hlk159208959"/>
            <w:r>
              <w:rPr>
                <w:rFonts w:hint="default" w:ascii="Times New Roman" w:hAnsi="Times New Roman" w:eastAsia="宋体" w:cs="Times New Roman"/>
                <w:i/>
                <w:iCs/>
                <w:szCs w:val="20"/>
                <w:lang w:val="en-GB" w:eastAsia="en-GB"/>
              </w:rPr>
              <w:t xml:space="preserve"> </w:t>
            </w:r>
            <w:bookmarkStart w:id="2" w:name="_Hlk159208535"/>
            <w:r>
              <w:rPr>
                <w:rFonts w:hint="default" w:ascii="Times New Roman" w:hAnsi="Times New Roman" w:eastAsia="宋体" w:cs="Times New Roman"/>
                <w:i/>
                <w:iCs/>
                <w:szCs w:val="20"/>
                <w:lang w:val="en-GB" w:eastAsia="en-GB"/>
              </w:rPr>
              <w:t>non-uniform PRACH resources per SSB</w:t>
            </w:r>
            <w:bookmarkEnd w:id="1"/>
            <w:bookmarkEnd w:id="2"/>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3" w:name="_Hlk159082137"/>
            <w:r>
              <w:rPr>
                <w:rFonts w:hint="default" w:ascii="Times New Roman" w:hAnsi="Times New Roman" w:eastAsia="宋体" w:cs="Times New Roman"/>
                <w:i/>
                <w:iCs/>
                <w:szCs w:val="20"/>
                <w:lang w:val="en-GB" w:eastAsia="zh-CN"/>
              </w:rPr>
              <w:t xml:space="preserve">occasions </w:t>
            </w:r>
            <w:bookmarkEnd w:id="3"/>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宋体" w:cs="Times New Roman"/>
          <w:bCs/>
          <w:szCs w:val="20"/>
          <w:lang w:val="en-US" w:eastAsia="zh-CN"/>
        </w:rPr>
      </w:pPr>
      <w:r>
        <w:rPr>
          <w:rFonts w:hint="default" w:ascii="Times New Roman" w:hAnsi="Times New Roman"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also give our suggestions/proposals for RAN1 group to consider. </w:t>
      </w:r>
    </w:p>
    <w:p>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p>
      <w:pPr>
        <w:pStyle w:val="4"/>
        <w:rPr>
          <w:rFonts w:hint="default"/>
          <w:lang w:val="en-US" w:eastAsia="zh-CN"/>
        </w:rPr>
      </w:pPr>
      <w:r>
        <w:rPr>
          <w:rFonts w:hint="eastAsia"/>
          <w:lang w:val="en-US" w:eastAsia="zh-CN"/>
        </w:rPr>
        <w:t>Up to RAN1#118bis meeting, RAN1 has made the following agreements for SSB adaptation:</w:t>
      </w:r>
    </w:p>
    <w:p>
      <w:pPr>
        <w:rPr>
          <w:rFonts w:hint="default" w:ascii="Times New Roman" w:hAnsi="Times New Roman" w:cs="Times New Roman"/>
          <w:b/>
          <w:bCs/>
          <w:sz w:val="18"/>
          <w:szCs w:val="18"/>
          <w:highlight w:val="green"/>
          <w:lang w:eastAsia="zh-CN"/>
        </w:rPr>
      </w:pPr>
      <w:r>
        <w:rPr>
          <w:rFonts w:hint="eastAsia" w:ascii="Times New Roman" w:hAnsi="Times New Roman" w:cs="Times New Roman"/>
          <w:b/>
          <w:bCs/>
          <w:sz w:val="18"/>
          <w:szCs w:val="18"/>
          <w:highlight w:val="green"/>
          <w:lang w:val="en-US" w:eastAsia="zh-CN"/>
        </w:rPr>
        <w:t xml:space="preserve">RAN1#118 </w:t>
      </w:r>
      <w:r>
        <w:rPr>
          <w:rFonts w:hint="default" w:ascii="Times New Roman" w:hAnsi="Times New Roman" w:cs="Times New Roman"/>
          <w:b/>
          <w:bCs/>
          <w:sz w:val="18"/>
          <w:szCs w:val="18"/>
          <w:highlight w:val="green"/>
          <w:lang w:eastAsia="zh-C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For adaptation mechanism(s) of SSB in time-domain,</w:t>
      </w:r>
    </w:p>
    <w:p>
      <w:pPr>
        <w:numPr>
          <w:ilvl w:val="0"/>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 xml:space="preserve">For Rel-19 NES-capable UE’s PCell (Connected mode), adaptation of CD-SSB on sync raster is not supported </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SSB that is not CD-SSB is supported (A2)</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SSB not on sync raster is supported (A3)</w:t>
      </w:r>
    </w:p>
    <w:p>
      <w:pPr>
        <w:pStyle w:val="30"/>
        <w:numPr>
          <w:ilvl w:val="0"/>
          <w:numId w:val="8"/>
        </w:numPr>
        <w:spacing w:line="259" w:lineRule="auto"/>
        <w:ind w:leftChars="0"/>
        <w:contextualSpacing/>
        <w:rPr>
          <w:rFonts w:hint="default" w:ascii="Times New Roman" w:hAnsi="Times New Roman" w:cs="Times New Roman"/>
          <w:sz w:val="18"/>
          <w:szCs w:val="18"/>
        </w:rPr>
      </w:pPr>
      <w:r>
        <w:rPr>
          <w:rFonts w:hint="default" w:ascii="Times New Roman" w:hAnsi="Times New Roman" w:cs="Times New Roman"/>
          <w:sz w:val="18"/>
          <w:szCs w:val="18"/>
        </w:rPr>
        <w:t>For Rel-19 NES-capable UE’s SCell</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of SSB configured for the SCell is supported for the following cases</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CD-SSB (B1) including UE impact compared to legacy operation where the SSB is configured with periodicity&gt;20msec for SCell</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for SSB that is not CD-SSB on sync raster (B2’)</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for SSB that is not CD-SSB not on sync raster (B3’)</w:t>
      </w:r>
    </w:p>
    <w:p>
      <w:pPr>
        <w:pStyle w:val="4"/>
        <w:rPr>
          <w:rFonts w:hint="default" w:ascii="Times New Roman" w:hAnsi="Times New Roman" w:eastAsia="等线" w:cs="Times New Roman"/>
          <w:szCs w:val="20"/>
          <w:lang w:eastAsia="zh-CN"/>
        </w:rPr>
      </w:pPr>
    </w:p>
    <w:p>
      <w:pPr>
        <w:pStyle w:val="4"/>
        <w:rPr>
          <w:rFonts w:ascii="Times New Roman" w:hAnsi="Times New Roman"/>
          <w:b/>
          <w:bCs/>
          <w:highlight w:val="green"/>
        </w:rPr>
      </w:pPr>
      <w:r>
        <w:rPr>
          <w:rFonts w:hint="eastAsia" w:eastAsia="等线" w:cs="Times New Roman"/>
          <w:b/>
          <w:bCs/>
          <w:szCs w:val="20"/>
          <w:highlight w:val="green"/>
          <w:lang w:val="en-US" w:eastAsia="zh-CN"/>
        </w:rPr>
        <w:t xml:space="preserve">RAN1#118bis </w:t>
      </w:r>
      <w:r>
        <w:rPr>
          <w:rFonts w:ascii="Times New Roman" w:hAnsi="Times New Roman"/>
          <w:b/>
          <w:bCs/>
          <w:highlight w:val="green"/>
        </w:rPr>
        <w:t>Conclusion</w:t>
      </w:r>
    </w:p>
    <w:p>
      <w:pPr>
        <w:overflowPunct w:val="0"/>
        <w:autoSpaceDE w:val="0"/>
        <w:autoSpaceDN w:val="0"/>
        <w:adjustRightInd w:val="0"/>
        <w:spacing w:after="120"/>
        <w:contextualSpacing/>
        <w:jc w:val="both"/>
        <w:textAlignment w:val="baseline"/>
        <w:rPr>
          <w:rFonts w:ascii="Times New Roman" w:hAnsi="Times New Roman"/>
        </w:rPr>
      </w:pPr>
      <w:r>
        <w:rPr>
          <w:rFonts w:ascii="Times New Roman" w:hAnsi="Times New Roman"/>
        </w:rPr>
        <w:t>There is no consensus on the support of adaptation of SSB for idle mode UEs in Rel-19</w:t>
      </w:r>
    </w:p>
    <w:p>
      <w:pPr>
        <w:pStyle w:val="4"/>
        <w:rPr>
          <w:rFonts w:hint="eastAsia" w:eastAsia="等线" w:cs="Times New Roman"/>
          <w:szCs w:val="20"/>
          <w:lang w:val="en-US" w:eastAsia="zh-CN"/>
        </w:rPr>
      </w:pPr>
    </w:p>
    <w:p>
      <w:pPr>
        <w:pStyle w:val="4"/>
        <w:rPr>
          <w:rFonts w:hint="eastAsia" w:eastAsia="等线" w:cs="Times New Roman"/>
          <w:sz w:val="20"/>
          <w:szCs w:val="20"/>
          <w:lang w:val="en-US" w:eastAsia="zh-CN"/>
        </w:rPr>
      </w:pPr>
      <w:r>
        <w:rPr>
          <w:rFonts w:hint="eastAsia" w:eastAsia="等线" w:cs="Times New Roman"/>
          <w:sz w:val="20"/>
          <w:szCs w:val="20"/>
          <w:lang w:val="en-US" w:eastAsia="zh-CN"/>
        </w:rPr>
        <w:t xml:space="preserve">It is clear that for Rel-19, SSB adaptation is only supported for connected UE. Moreover, for SSB adaptation in SCell, the SSB cannot be on the sync raster and the SSB cannot be CD-SSB. For SSB adaptation in PCell, although the agreement is not complete, but it is already clear that the SSB cannot be CD-SSB on sync raster. With these conditions: </w:t>
      </w:r>
    </w:p>
    <w:p>
      <w:pPr>
        <w:pStyle w:val="4"/>
        <w:numPr>
          <w:ilvl w:val="0"/>
          <w:numId w:val="9"/>
        </w:numPr>
        <w:rPr>
          <w:rFonts w:hint="eastAsia" w:eastAsia="等线" w:cs="Times New Roman"/>
          <w:sz w:val="20"/>
          <w:szCs w:val="20"/>
          <w:lang w:val="en-US" w:eastAsia="zh-CN"/>
        </w:rPr>
      </w:pPr>
      <w:r>
        <w:rPr>
          <w:rFonts w:hint="eastAsia" w:eastAsia="等线" w:cs="Times New Roman"/>
          <w:sz w:val="20"/>
          <w:szCs w:val="20"/>
          <w:lang w:val="en-US" w:eastAsia="zh-CN"/>
        </w:rPr>
        <w:t xml:space="preserve">only for connected UE; </w:t>
      </w:r>
    </w:p>
    <w:p>
      <w:pPr>
        <w:pStyle w:val="4"/>
        <w:numPr>
          <w:ilvl w:val="0"/>
          <w:numId w:val="0"/>
        </w:numPr>
        <w:rPr>
          <w:rFonts w:hint="default" w:eastAsia="等线" w:cs="Times New Roman"/>
          <w:sz w:val="20"/>
          <w:szCs w:val="20"/>
          <w:lang w:val="en-US" w:eastAsia="zh-CN"/>
        </w:rPr>
      </w:pPr>
      <w:r>
        <w:rPr>
          <w:rFonts w:hint="eastAsia" w:eastAsia="等线" w:cs="Times New Roman"/>
          <w:sz w:val="20"/>
          <w:szCs w:val="20"/>
          <w:lang w:val="en-US" w:eastAsia="zh-CN"/>
        </w:rPr>
        <w:t xml:space="preserve">2) not CD-SSB; </w:t>
      </w:r>
    </w:p>
    <w:p>
      <w:pPr>
        <w:pStyle w:val="4"/>
        <w:numPr>
          <w:ilvl w:val="0"/>
          <w:numId w:val="0"/>
        </w:numPr>
        <w:rPr>
          <w:rFonts w:hint="default" w:eastAsia="等线" w:cs="Times New Roman"/>
          <w:sz w:val="20"/>
          <w:szCs w:val="20"/>
          <w:lang w:val="en-US" w:eastAsia="zh-CN"/>
        </w:rPr>
      </w:pPr>
      <w:r>
        <w:rPr>
          <w:rFonts w:hint="eastAsia" w:eastAsia="等线" w:cs="Times New Roman"/>
          <w:sz w:val="20"/>
          <w:szCs w:val="20"/>
          <w:lang w:val="en-US" w:eastAsia="zh-CN"/>
        </w:rPr>
        <w:t xml:space="preserve">3) not on sync raster; </w:t>
      </w:r>
    </w:p>
    <w:p>
      <w:pPr>
        <w:pStyle w:val="4"/>
        <w:numPr>
          <w:ilvl w:val="0"/>
          <w:numId w:val="0"/>
        </w:numPr>
        <w:rPr>
          <w:rFonts w:hint="default" w:eastAsia="等线" w:cs="Times New Roman"/>
          <w:sz w:val="20"/>
          <w:szCs w:val="20"/>
          <w:lang w:val="en-US" w:eastAsia="zh-CN"/>
        </w:rPr>
      </w:pPr>
      <w:r>
        <w:rPr>
          <w:rFonts w:hint="eastAsia" w:eastAsia="等线" w:cs="Times New Roman"/>
          <w:sz w:val="20"/>
          <w:szCs w:val="20"/>
          <w:lang w:val="en-US" w:eastAsia="zh-CN"/>
        </w:rPr>
        <w:t xml:space="preserve">4) support for SCell if (1-3) are met; </w:t>
      </w:r>
    </w:p>
    <w:p>
      <w:pPr>
        <w:pStyle w:val="4"/>
        <w:numPr>
          <w:ilvl w:val="0"/>
          <w:numId w:val="0"/>
        </w:numPr>
        <w:rPr>
          <w:rFonts w:hint="default" w:eastAsia="等线" w:cs="Times New Roman"/>
          <w:sz w:val="20"/>
          <w:szCs w:val="20"/>
          <w:lang w:val="en-US" w:eastAsia="zh-CN"/>
        </w:rPr>
      </w:pPr>
      <w:r>
        <w:rPr>
          <w:rFonts w:hint="eastAsia" w:eastAsia="等线" w:cs="Times New Roman"/>
          <w:sz w:val="20"/>
          <w:szCs w:val="20"/>
          <w:lang w:val="en-US" w:eastAsia="zh-CN"/>
        </w:rPr>
        <w:t xml:space="preserve">5) FFS: support for PCell if (1-3) are met,  </w:t>
      </w:r>
    </w:p>
    <w:p>
      <w:pPr>
        <w:pStyle w:val="4"/>
        <w:rPr>
          <w:rFonts w:hint="eastAsia" w:eastAsia="等线" w:cs="Times New Roman"/>
          <w:sz w:val="20"/>
          <w:szCs w:val="20"/>
          <w:lang w:val="en-US" w:eastAsia="zh-CN"/>
        </w:rPr>
      </w:pPr>
      <w:r>
        <w:rPr>
          <w:rFonts w:hint="eastAsia" w:eastAsia="等线" w:cs="Times New Roman"/>
          <w:sz w:val="20"/>
          <w:szCs w:val="20"/>
          <w:lang w:val="en-US" w:eastAsia="zh-CN"/>
        </w:rPr>
        <w:t>We wounder whether the SSB adaptation can already be realized by on-demand SSB from objective 1. This is because that the on-demand SSB mechanism can be used to adapt the SSB in time domain. Moreover, the applicability conditions of on-demand SSB seem to be in line with the above conditions too. Therefore, RAN1 needs to decide whether it is still necessary to continue the discussion for SSB adaptation in objective 3 in parallel to objective 1, given the above-mentioned observations.</w:t>
      </w:r>
    </w:p>
    <w:p>
      <w:pPr>
        <w:pStyle w:val="4"/>
        <w:rPr>
          <w:rFonts w:hint="default" w:ascii="Times New Roman" w:hAnsi="Times New Roman" w:eastAsia="宋体" w:cs="Times New Roman"/>
          <w:sz w:val="20"/>
          <w:szCs w:val="20"/>
          <w:lang w:val="en-US" w:eastAsia="zh-CN"/>
        </w:rPr>
      </w:pPr>
    </w:p>
    <w:p>
      <w:pPr>
        <w:pStyle w:val="4"/>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 according to the latest RAN1 discussion progress, the SSB adaptation should satisfy the following conditions</w:t>
      </w:r>
    </w:p>
    <w:p>
      <w:pPr>
        <w:pStyle w:val="4"/>
        <w:numPr>
          <w:ilvl w:val="0"/>
          <w:numId w:val="10"/>
        </w:numPr>
        <w:ind w:leftChars="200"/>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only for connected UE; </w:t>
      </w:r>
    </w:p>
    <w:p>
      <w:pPr>
        <w:pStyle w:val="4"/>
        <w:numPr>
          <w:ilvl w:val="0"/>
          <w:numId w:val="0"/>
        </w:numPr>
        <w:ind w:leftChars="200"/>
        <w:rPr>
          <w:rFonts w:hint="default" w:eastAsia="等线" w:cs="Times New Roman"/>
          <w:b/>
          <w:bCs/>
          <w:sz w:val="20"/>
          <w:szCs w:val="20"/>
          <w:lang w:val="en-US" w:eastAsia="zh-CN"/>
        </w:rPr>
      </w:pPr>
      <w:r>
        <w:rPr>
          <w:rFonts w:hint="eastAsia" w:eastAsia="等线" w:cs="Times New Roman"/>
          <w:b/>
          <w:bCs/>
          <w:sz w:val="20"/>
          <w:szCs w:val="20"/>
          <w:lang w:val="en-US" w:eastAsia="zh-CN"/>
        </w:rPr>
        <w:t xml:space="preserve">2) not CD-SSB; </w:t>
      </w:r>
    </w:p>
    <w:p>
      <w:pPr>
        <w:pStyle w:val="4"/>
        <w:numPr>
          <w:ilvl w:val="0"/>
          <w:numId w:val="0"/>
        </w:numPr>
        <w:ind w:leftChars="200"/>
        <w:rPr>
          <w:rFonts w:hint="default" w:eastAsia="等线" w:cs="Times New Roman"/>
          <w:b/>
          <w:bCs/>
          <w:sz w:val="20"/>
          <w:szCs w:val="20"/>
          <w:lang w:val="en-US" w:eastAsia="zh-CN"/>
        </w:rPr>
      </w:pPr>
      <w:r>
        <w:rPr>
          <w:rFonts w:hint="eastAsia" w:eastAsia="等线" w:cs="Times New Roman"/>
          <w:b/>
          <w:bCs/>
          <w:sz w:val="20"/>
          <w:szCs w:val="20"/>
          <w:lang w:val="en-US" w:eastAsia="zh-CN"/>
        </w:rPr>
        <w:t xml:space="preserve">3) not on sync raster; </w:t>
      </w:r>
    </w:p>
    <w:p>
      <w:pPr>
        <w:pStyle w:val="4"/>
        <w:numPr>
          <w:ilvl w:val="0"/>
          <w:numId w:val="0"/>
        </w:numPr>
        <w:ind w:leftChars="200"/>
        <w:rPr>
          <w:rFonts w:hint="default" w:eastAsia="等线" w:cs="Times New Roman"/>
          <w:b/>
          <w:bCs/>
          <w:sz w:val="20"/>
          <w:szCs w:val="20"/>
          <w:lang w:val="en-US" w:eastAsia="zh-CN"/>
        </w:rPr>
      </w:pPr>
      <w:r>
        <w:rPr>
          <w:rFonts w:hint="eastAsia" w:eastAsia="等线" w:cs="Times New Roman"/>
          <w:b/>
          <w:bCs/>
          <w:sz w:val="20"/>
          <w:szCs w:val="20"/>
          <w:lang w:val="en-US" w:eastAsia="zh-CN"/>
        </w:rPr>
        <w:t xml:space="preserve">4) support for SCell if (1-3) are met; </w:t>
      </w:r>
    </w:p>
    <w:p>
      <w:pPr>
        <w:pStyle w:val="4"/>
        <w:numPr>
          <w:ilvl w:val="0"/>
          <w:numId w:val="0"/>
        </w:numPr>
        <w:ind w:leftChars="200"/>
        <w:rPr>
          <w:rFonts w:hint="default" w:eastAsia="等线" w:cs="Times New Roman"/>
          <w:b/>
          <w:bCs/>
          <w:sz w:val="20"/>
          <w:szCs w:val="20"/>
          <w:lang w:val="en-US" w:eastAsia="zh-CN"/>
        </w:rPr>
      </w:pPr>
      <w:r>
        <w:rPr>
          <w:rFonts w:hint="eastAsia" w:eastAsia="等线" w:cs="Times New Roman"/>
          <w:b/>
          <w:bCs/>
          <w:sz w:val="20"/>
          <w:szCs w:val="20"/>
          <w:lang w:val="en-US" w:eastAsia="zh-CN"/>
        </w:rPr>
        <w:t xml:space="preserve">5) FFS: support for PCell if (1-3) are met </w:t>
      </w:r>
    </w:p>
    <w:p>
      <w:pPr>
        <w:pStyle w:val="4"/>
        <w:rPr>
          <w:rFonts w:hint="eastAsia" w:eastAsia="等线" w:cs="Times New Roman"/>
          <w:b/>
          <w:bCs/>
          <w:sz w:val="20"/>
          <w:szCs w:val="20"/>
          <w:lang w:val="en-US" w:eastAsia="zh-CN"/>
        </w:rPr>
      </w:pPr>
      <w:r>
        <w:rPr>
          <w:rFonts w:hint="eastAsia" w:eastAsia="宋体" w:cs="Times New Roman"/>
          <w:b/>
          <w:bCs/>
          <w:sz w:val="20"/>
          <w:szCs w:val="20"/>
          <w:lang w:val="en-US" w:eastAsia="zh-CN"/>
        </w:rPr>
        <w:t xml:space="preserve">It is therefore observed that </w:t>
      </w:r>
      <w:r>
        <w:rPr>
          <w:rFonts w:hint="eastAsia" w:eastAsia="等线" w:cs="Times New Roman"/>
          <w:b/>
          <w:bCs/>
          <w:sz w:val="20"/>
          <w:szCs w:val="20"/>
          <w:lang w:val="en-US" w:eastAsia="zh-CN"/>
        </w:rPr>
        <w:t xml:space="preserve">the on-demand SSB mechanism can be used to adapt the SSB in time domain, provided that the applicability conditions are almost the same. </w:t>
      </w:r>
    </w:p>
    <w:p>
      <w:pPr>
        <w:pStyle w:val="4"/>
        <w:rPr>
          <w:rFonts w:hint="default" w:ascii="Times New Roman" w:hAnsi="Times New Roman" w:cs="Times New Roman" w:eastAsiaTheme="minorEastAsia"/>
          <w:b/>
          <w:bCs/>
          <w:sz w:val="20"/>
          <w:szCs w:val="20"/>
          <w:lang w:val="en-GB" w:eastAsia="zh-CN"/>
        </w:rPr>
      </w:pPr>
      <w:r>
        <w:rPr>
          <w:rFonts w:hint="eastAsia" w:eastAsia="等线" w:cs="Times New Roman"/>
          <w:b/>
          <w:bCs/>
          <w:sz w:val="20"/>
          <w:szCs w:val="20"/>
          <w:lang w:val="en-US" w:eastAsia="zh-CN"/>
        </w:rPr>
        <w:t xml:space="preserve">Proposal 1: RAN1 to discuss whether it is still necessary to continue the discussion for SSB adaptation in objective 3 in parallel to objective 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default" w:ascii="Times New Roman" w:hAnsi="Times New Roman" w:cs="Times New Roman" w:eastAsiaTheme="minorEastAsia"/>
          <w:b/>
          <w:bCs/>
          <w:sz w:val="21"/>
          <w:szCs w:val="21"/>
          <w:lang w:val="en-US" w:eastAsia="zh-CN"/>
        </w:rPr>
        <w:t>in time domain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there is an agreed working assumption for DCI-based PRACH adaptation. </w:t>
      </w:r>
    </w:p>
    <w:p>
      <w:pPr>
        <w:rPr>
          <w:b/>
          <w:bCs/>
          <w:sz w:val="20"/>
          <w:szCs w:val="20"/>
          <w:lang w:eastAsia="zh-CN"/>
        </w:rPr>
      </w:pPr>
      <w:r>
        <w:rPr>
          <w:b/>
          <w:bCs/>
          <w:sz w:val="20"/>
          <w:szCs w:val="20"/>
          <w:highlight w:val="darkYellow"/>
          <w:lang w:eastAsia="zh-CN"/>
        </w:rPr>
        <w:t>Working Assumption</w:t>
      </w:r>
    </w:p>
    <w:p>
      <w:pPr>
        <w:rPr>
          <w:rFonts w:ascii="Times New Roman" w:hAnsi="Times New Roman"/>
          <w:sz w:val="20"/>
          <w:szCs w:val="20"/>
        </w:rPr>
      </w:pPr>
      <w:r>
        <w:rPr>
          <w:rFonts w:ascii="Times New Roman" w:hAnsi="Times New Roman"/>
          <w:sz w:val="20"/>
          <w:szCs w:val="20"/>
        </w:rPr>
        <w:t>For DCI-based adaptation for additional PRACH resources, at least DCI format 1_0 can carry the adaptation indication for UEs in idle/inactive and connected mode.</w:t>
      </w:r>
    </w:p>
    <w:p>
      <w:pPr>
        <w:pStyle w:val="30"/>
        <w:numPr>
          <w:ilvl w:val="0"/>
          <w:numId w:val="11"/>
        </w:numPr>
        <w:ind w:leftChars="0"/>
        <w:rPr>
          <w:rFonts w:ascii="Times New Roman" w:hAnsi="Times New Roman"/>
          <w:sz w:val="20"/>
          <w:szCs w:val="20"/>
        </w:rPr>
      </w:pPr>
      <w:r>
        <w:rPr>
          <w:rFonts w:ascii="Times New Roman" w:hAnsi="Times New Roman"/>
          <w:sz w:val="20"/>
          <w:szCs w:val="20"/>
        </w:rPr>
        <w:t>P-RNTI is used</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val="0"/>
          <w:bCs w:val="0"/>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The WA suggests to use DCI format 1_0 with P-RNTI for both idle and connected UE. After carefully check the current spec, it seems that there is condition for the connected UE to monitor paging. We cite the corresponding spec text below, where it seems that the connected UE does not monitor paging in every paging occasion. Therefore, in order to ensure that the connected UE will get the adaptation message, gNB has to transmit the DCI in every paging occasions. This may result in a negative impact to the network energy saving. For this reason, we think that it would be better for the connected UE to monitor the DCI in Type-3 CSS, e.g., DCI format 2_9.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88" w:type="dxa"/>
          </w:tcPr>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cs="Times New Roman" w:eastAsiaTheme="minorEastAsia"/>
                <w:b w:val="0"/>
                <w:bCs w:val="0"/>
                <w:sz w:val="20"/>
                <w:szCs w:val="20"/>
                <w:vertAlign w:val="baseline"/>
                <w:lang w:val="en-US" w:eastAsia="zh-CN"/>
              </w:rPr>
            </w:pPr>
            <w:r>
              <w:rPr>
                <w:rFonts w:hint="eastAsia" w:cs="Times New Roman" w:eastAsiaTheme="minorEastAsia"/>
                <w:b w:val="0"/>
                <w:bCs w:val="0"/>
                <w:sz w:val="20"/>
                <w:szCs w:val="20"/>
                <w:vertAlign w:val="baseline"/>
                <w:lang w:val="en-US" w:eastAsia="zh-CN"/>
              </w:rPr>
              <w:t>TS 38.331 Clause 5.2.2.2</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cs="Times New Roman" w:eastAsiaTheme="minorEastAsia"/>
                <w:b w:val="0"/>
                <w:bCs w:val="0"/>
                <w:sz w:val="20"/>
                <w:szCs w:val="20"/>
                <w:vertAlign w:val="baseline"/>
                <w:lang w:val="en-US" w:eastAsia="zh-CN"/>
              </w:rPr>
            </w:pPr>
            <w:r>
              <w:rPr>
                <w:sz w:val="20"/>
                <w:szCs w:val="20"/>
                <w:highlight w:val="none"/>
              </w:rPr>
              <w:t>UEs in RRC_IDLE or in RRC_INACTIVE while SDT procedure is not ongoing shall monitor for SI change indication in own paging occasion every DRX cycle.</w:t>
            </w:r>
            <w:r>
              <w:rPr>
                <w:rFonts w:eastAsia="宋体"/>
                <w:sz w:val="20"/>
                <w:szCs w:val="20"/>
                <w:lang w:eastAsia="zh-CN"/>
              </w:rPr>
              <w:t xml:space="preserve"> </w:t>
            </w:r>
            <w:r>
              <w:rPr>
                <w:rFonts w:eastAsia="宋体"/>
                <w:sz w:val="20"/>
                <w:szCs w:val="20"/>
                <w:highlight w:val="cyan"/>
                <w:lang w:eastAsia="zh-CN"/>
              </w:rPr>
              <w:t xml:space="preserve">UEs in </w:t>
            </w:r>
            <w:r>
              <w:rPr>
                <w:sz w:val="20"/>
                <w:szCs w:val="20"/>
                <w:highlight w:val="cyan"/>
              </w:rPr>
              <w:t xml:space="preserve">RRC_CONNECTED </w:t>
            </w:r>
            <w:r>
              <w:rPr>
                <w:rFonts w:eastAsia="宋体"/>
                <w:sz w:val="20"/>
                <w:szCs w:val="20"/>
                <w:highlight w:val="cyan"/>
                <w:lang w:eastAsia="zh-CN"/>
              </w:rPr>
              <w:t>shall</w:t>
            </w:r>
            <w:r>
              <w:rPr>
                <w:sz w:val="20"/>
                <w:szCs w:val="20"/>
                <w:highlight w:val="cyan"/>
              </w:rPr>
              <w:t xml:space="preserve"> monitor for SI change indication in any paging occasion at least once per modification period if the UE is provided with common search space, including</w:t>
            </w:r>
            <w:r>
              <w:rPr>
                <w:i/>
                <w:iCs/>
                <w:sz w:val="20"/>
                <w:szCs w:val="20"/>
                <w:highlight w:val="cyan"/>
              </w:rPr>
              <w:t xml:space="preserve"> pagingSearchSpace</w:t>
            </w:r>
            <w:r>
              <w:rPr>
                <w:sz w:val="20"/>
                <w:szCs w:val="20"/>
                <w:highlight w:val="cyan"/>
              </w:rPr>
              <w:t xml:space="preserve">, </w:t>
            </w:r>
            <w:r>
              <w:rPr>
                <w:i/>
                <w:iCs/>
                <w:sz w:val="20"/>
                <w:szCs w:val="20"/>
                <w:highlight w:val="cyan"/>
              </w:rPr>
              <w:t>searchSpaceSIB1</w:t>
            </w:r>
            <w:r>
              <w:rPr>
                <w:sz w:val="20"/>
                <w:szCs w:val="20"/>
                <w:highlight w:val="cyan"/>
              </w:rPr>
              <w:t xml:space="preserve"> and </w:t>
            </w:r>
            <w:r>
              <w:rPr>
                <w:i/>
                <w:iCs/>
                <w:sz w:val="20"/>
                <w:szCs w:val="20"/>
                <w:highlight w:val="cyan"/>
              </w:rPr>
              <w:t>searchSpaceOtherSystemInformation</w:t>
            </w:r>
            <w:r>
              <w:rPr>
                <w:sz w:val="20"/>
                <w:szCs w:val="20"/>
                <w:highlight w:val="cyan"/>
              </w:rPr>
              <w:t>, on the active BWP to monitor paging, as specified in TS 38.213 [13], clause 13.</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2: according to the specification for connected UE monitoring paging, the connected UE does not monitor paging in every paging occasion. Therefore, in order to ensure that the connected UE will get the adaptation message, gNB has to transmit the DCI in every paging occasions. This may result in a negative impact to the network energy saving.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2: change the working assumption for connected UE and let connected UE to monitor in type-3 CSS for DCI-based PRACH adaptation.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val="0"/>
          <w:bCs w:val="0"/>
          <w:sz w:val="21"/>
          <w:szCs w:val="21"/>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On the other hand, in last meeting, RAN1 has agreed the following options for the time domain and frequency domain additional resource configuration:</w:t>
      </w:r>
    </w:p>
    <w:p>
      <w:pPr>
        <w:rPr>
          <w:b/>
          <w:bCs/>
          <w:sz w:val="20"/>
          <w:szCs w:val="20"/>
          <w:lang w:eastAsia="zh-CN"/>
        </w:rPr>
      </w:pPr>
      <w:r>
        <w:rPr>
          <w:b/>
          <w:bCs/>
          <w:sz w:val="20"/>
          <w:szCs w:val="20"/>
          <w:highlight w:val="green"/>
          <w:lang w:eastAsia="zh-CN"/>
        </w:rPr>
        <w:t>Agreement</w:t>
      </w:r>
    </w:p>
    <w:p>
      <w:pPr>
        <w:pStyle w:val="4"/>
        <w:spacing w:after="0"/>
        <w:jc w:val="left"/>
        <w:rPr>
          <w:rFonts w:ascii="Times New Roman" w:hAnsi="Times New Roman"/>
          <w:sz w:val="20"/>
          <w:szCs w:val="20"/>
          <w:lang w:eastAsia="en-US"/>
        </w:rPr>
      </w:pPr>
      <w:r>
        <w:rPr>
          <w:rFonts w:ascii="Times New Roman" w:hAnsi="Times New Roman"/>
          <w:sz w:val="20"/>
          <w:szCs w:val="20"/>
          <w:lang w:eastAsia="en-US"/>
        </w:rPr>
        <w:t xml:space="preserve">For adaptation of PRACH in time-domain, the frequency domain resources for the additional PRACH resources and legacy PRACH resources can be same or different </w:t>
      </w:r>
    </w:p>
    <w:p>
      <w:pPr>
        <w:pStyle w:val="4"/>
        <w:numPr>
          <w:ilvl w:val="0"/>
          <w:numId w:val="12"/>
        </w:numPr>
        <w:overflowPunct w:val="0"/>
        <w:autoSpaceDE w:val="0"/>
        <w:autoSpaceDN w:val="0"/>
        <w:adjustRightInd w:val="0"/>
        <w:spacing w:after="0"/>
        <w:jc w:val="left"/>
        <w:textAlignment w:val="baseline"/>
        <w:rPr>
          <w:rFonts w:ascii="Times New Roman" w:hAnsi="Times New Roman"/>
          <w:sz w:val="20"/>
          <w:szCs w:val="20"/>
          <w:lang w:eastAsia="en-US"/>
        </w:rPr>
      </w:pPr>
      <w:r>
        <w:rPr>
          <w:rFonts w:ascii="Times New Roman" w:hAnsi="Times New Roman"/>
          <w:sz w:val="20"/>
          <w:szCs w:val="20"/>
          <w:lang w:eastAsia="en-US"/>
        </w:rPr>
        <w:t>FFS: applicable case(s) (i.e. case(s) from the RAN1#117 agreement).</w:t>
      </w:r>
    </w:p>
    <w:p>
      <w:pPr>
        <w:pStyle w:val="4"/>
        <w:numPr>
          <w:ilvl w:val="0"/>
          <w:numId w:val="12"/>
        </w:numPr>
        <w:overflowPunct w:val="0"/>
        <w:autoSpaceDE w:val="0"/>
        <w:autoSpaceDN w:val="0"/>
        <w:adjustRightInd w:val="0"/>
        <w:spacing w:after="0"/>
        <w:jc w:val="left"/>
        <w:textAlignment w:val="baseline"/>
        <w:rPr>
          <w:rFonts w:ascii="Times New Roman" w:hAnsi="Times New Roman"/>
          <w:sz w:val="20"/>
          <w:szCs w:val="20"/>
          <w:lang w:eastAsia="en-US"/>
        </w:rPr>
      </w:pPr>
      <w:r>
        <w:rPr>
          <w:rFonts w:ascii="Times New Roman" w:hAnsi="Times New Roman"/>
          <w:sz w:val="20"/>
          <w:szCs w:val="20"/>
          <w:lang w:eastAsia="en-US"/>
        </w:rPr>
        <w:t xml:space="preserve">Discuss further following options for signaling </w:t>
      </w:r>
    </w:p>
    <w:p>
      <w:pPr>
        <w:pStyle w:val="4"/>
        <w:numPr>
          <w:ilvl w:val="0"/>
          <w:numId w:val="12"/>
        </w:numPr>
        <w:overflowPunct w:val="0"/>
        <w:autoSpaceDE w:val="0"/>
        <w:autoSpaceDN w:val="0"/>
        <w:adjustRightInd w:val="0"/>
        <w:spacing w:after="0"/>
        <w:ind w:left="1080"/>
        <w:jc w:val="left"/>
        <w:textAlignment w:val="baseline"/>
        <w:rPr>
          <w:rFonts w:ascii="Times New Roman" w:hAnsi="Times New Roman"/>
          <w:sz w:val="20"/>
          <w:szCs w:val="20"/>
          <w:lang w:eastAsia="en-US"/>
        </w:rPr>
      </w:pPr>
      <w:r>
        <w:rPr>
          <w:rFonts w:ascii="Times New Roman" w:hAnsi="Times New Roman"/>
          <w:sz w:val="20"/>
          <w:szCs w:val="20"/>
          <w:lang w:eastAsia="en-US"/>
        </w:rPr>
        <w:t>Option 1: at least the following parameter(s) can be configured separately for the additional PRACH resources.</w:t>
      </w:r>
    </w:p>
    <w:p>
      <w:pPr>
        <w:pStyle w:val="4"/>
        <w:numPr>
          <w:ilvl w:val="1"/>
          <w:numId w:val="12"/>
        </w:numPr>
        <w:overflowPunct w:val="0"/>
        <w:autoSpaceDE w:val="0"/>
        <w:autoSpaceDN w:val="0"/>
        <w:adjustRightInd w:val="0"/>
        <w:spacing w:after="0"/>
        <w:ind w:left="1800"/>
        <w:jc w:val="left"/>
        <w:textAlignment w:val="baseline"/>
        <w:rPr>
          <w:rFonts w:ascii="Times New Roman" w:hAnsi="Times New Roman"/>
          <w:sz w:val="20"/>
          <w:szCs w:val="20"/>
          <w:lang w:eastAsia="en-US"/>
        </w:rPr>
      </w:pPr>
      <w:r>
        <w:rPr>
          <w:rFonts w:ascii="Times New Roman" w:hAnsi="Times New Roman"/>
          <w:sz w:val="20"/>
          <w:szCs w:val="20"/>
          <w:lang w:eastAsia="en-US"/>
        </w:rPr>
        <w:t xml:space="preserve">msg1-FrequencyStart at least for 4-step RACH </w:t>
      </w:r>
    </w:p>
    <w:p>
      <w:pPr>
        <w:pStyle w:val="4"/>
        <w:numPr>
          <w:ilvl w:val="1"/>
          <w:numId w:val="12"/>
        </w:numPr>
        <w:overflowPunct w:val="0"/>
        <w:autoSpaceDE w:val="0"/>
        <w:autoSpaceDN w:val="0"/>
        <w:adjustRightInd w:val="0"/>
        <w:spacing w:after="0"/>
        <w:ind w:left="1800"/>
        <w:jc w:val="left"/>
        <w:textAlignment w:val="baseline"/>
        <w:rPr>
          <w:rFonts w:ascii="Times New Roman" w:hAnsi="Times New Roman"/>
          <w:sz w:val="20"/>
          <w:szCs w:val="20"/>
          <w:lang w:eastAsia="en-US"/>
        </w:rPr>
      </w:pPr>
      <w:r>
        <w:rPr>
          <w:rFonts w:ascii="Times New Roman" w:hAnsi="Times New Roman"/>
          <w:sz w:val="20"/>
          <w:szCs w:val="20"/>
        </w:rPr>
        <w:t>FFS: other applicable legacy frequency domain parameter(s)</w:t>
      </w:r>
    </w:p>
    <w:p>
      <w:pPr>
        <w:pStyle w:val="4"/>
        <w:numPr>
          <w:ilvl w:val="0"/>
          <w:numId w:val="13"/>
        </w:numPr>
        <w:overflowPunct w:val="0"/>
        <w:autoSpaceDE w:val="0"/>
        <w:autoSpaceDN w:val="0"/>
        <w:adjustRightInd w:val="0"/>
        <w:spacing w:after="0"/>
        <w:ind w:left="1028"/>
        <w:jc w:val="left"/>
        <w:textAlignment w:val="baseline"/>
        <w:rPr>
          <w:rFonts w:ascii="Times New Roman" w:hAnsi="Times New Roman"/>
          <w:sz w:val="20"/>
          <w:szCs w:val="20"/>
        </w:rPr>
      </w:pPr>
      <w:r>
        <w:rPr>
          <w:rFonts w:ascii="Times New Roman" w:hAnsi="Times New Roman"/>
          <w:sz w:val="20"/>
          <w:szCs w:val="20"/>
          <w:lang w:eastAsia="en-US"/>
        </w:rPr>
        <w:t xml:space="preserve">Option 2: </w:t>
      </w:r>
      <w:r>
        <w:rPr>
          <w:rFonts w:ascii="Times New Roman" w:hAnsi="Times New Roman"/>
          <w:sz w:val="20"/>
          <w:szCs w:val="20"/>
        </w:rPr>
        <w:t>Offset to legacy frequency domain parameter(s) are configured for the additional PRACH resources</w:t>
      </w:r>
    </w:p>
    <w:p>
      <w:pPr>
        <w:pStyle w:val="4"/>
        <w:numPr>
          <w:ilvl w:val="1"/>
          <w:numId w:val="13"/>
        </w:numPr>
        <w:overflowPunct w:val="0"/>
        <w:autoSpaceDE w:val="0"/>
        <w:autoSpaceDN w:val="0"/>
        <w:adjustRightInd w:val="0"/>
        <w:spacing w:after="0"/>
        <w:jc w:val="left"/>
        <w:textAlignment w:val="baseline"/>
        <w:rPr>
          <w:rFonts w:ascii="Times New Roman" w:hAnsi="Times New Roman"/>
          <w:sz w:val="20"/>
          <w:szCs w:val="20"/>
        </w:rPr>
      </w:pPr>
      <w:r>
        <w:rPr>
          <w:rFonts w:ascii="Times New Roman" w:hAnsi="Times New Roman"/>
          <w:sz w:val="20"/>
          <w:szCs w:val="20"/>
        </w:rPr>
        <w:t>Note: Offset to legacy frequency domain parameter(s) is a new parameter</w:t>
      </w:r>
    </w:p>
    <w:p>
      <w:pPr>
        <w:pStyle w:val="4"/>
        <w:numPr>
          <w:ilvl w:val="1"/>
          <w:numId w:val="13"/>
        </w:numPr>
        <w:overflowPunct w:val="0"/>
        <w:autoSpaceDE w:val="0"/>
        <w:autoSpaceDN w:val="0"/>
        <w:adjustRightInd w:val="0"/>
        <w:spacing w:after="0"/>
        <w:jc w:val="left"/>
        <w:textAlignment w:val="baseline"/>
        <w:rPr>
          <w:rFonts w:ascii="Times New Roman" w:hAnsi="Times New Roman"/>
          <w:sz w:val="20"/>
          <w:szCs w:val="20"/>
        </w:rPr>
      </w:pPr>
      <w:r>
        <w:rPr>
          <w:rFonts w:ascii="Times New Roman" w:hAnsi="Times New Roman"/>
          <w:sz w:val="20"/>
          <w:szCs w:val="20"/>
        </w:rPr>
        <w:t>FFS: applicable legacy frequency domain parameter(s)</w:t>
      </w:r>
    </w:p>
    <w:p>
      <w:pPr>
        <w:spacing w:line="259" w:lineRule="auto"/>
        <w:contextualSpacing/>
        <w:rPr>
          <w:rFonts w:ascii="Times New Roman" w:hAnsi="Times New Roman"/>
          <w:b/>
          <w:bCs/>
          <w:sz w:val="20"/>
          <w:szCs w:val="20"/>
        </w:rPr>
      </w:pPr>
      <w:r>
        <w:rPr>
          <w:rFonts w:ascii="Times New Roman" w:hAnsi="Times New Roman"/>
          <w:b/>
          <w:bCs/>
          <w:sz w:val="20"/>
          <w:szCs w:val="20"/>
          <w:highlight w:val="green"/>
        </w:rPr>
        <w:t>Agreement</w:t>
      </w:r>
    </w:p>
    <w:p>
      <w:pPr>
        <w:rPr>
          <w:rFonts w:ascii="Times New Roman" w:hAnsi="Times New Roman"/>
          <w:sz w:val="20"/>
          <w:szCs w:val="20"/>
        </w:rPr>
      </w:pPr>
      <w:r>
        <w:rPr>
          <w:rFonts w:ascii="Times New Roman" w:hAnsi="Times New Roman"/>
          <w:sz w:val="20"/>
          <w:szCs w:val="20"/>
        </w:rPr>
        <w:t xml:space="preserve">For adaptation of PRACH in time-domain, for determining the additional PRACH resources in time-domain, </w:t>
      </w:r>
    </w:p>
    <w:p>
      <w:pPr>
        <w:pStyle w:val="30"/>
        <w:numPr>
          <w:ilvl w:val="0"/>
          <w:numId w:val="14"/>
        </w:numPr>
        <w:ind w:leftChars="0"/>
        <w:contextualSpacing/>
        <w:rPr>
          <w:rFonts w:ascii="Times New Roman" w:hAnsi="Times New Roman"/>
          <w:sz w:val="20"/>
          <w:szCs w:val="20"/>
          <w:lang w:val="en-US" w:eastAsia="en-US"/>
        </w:rPr>
      </w:pPr>
      <w:r>
        <w:rPr>
          <w:rFonts w:ascii="Times New Roman" w:hAnsi="Times New Roman"/>
          <w:sz w:val="20"/>
          <w:szCs w:val="20"/>
          <w:lang w:val="en-US" w:eastAsia="en-US"/>
        </w:rPr>
        <w:t>For Alt 1 (same PRACH configuration index for additional and legacy PRACH resources), select one or more of the following additional mechanism(s),</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 xml:space="preserve">Opt 1-2a: up to N1 additional value(s) of (x, y) </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FFS: value of N1(&gt;=1)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 xml:space="preserve">Opt 1-2b: up to N2 additional value(s) of y </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FFS: value of N2 (&gt;=1)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Opt 1-3: Muting/masking ROs</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 xml:space="preserve">Opt 1-4: </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up to N4_1 additional timing offset(s) at frame-level</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up to N4_2 additional timing offset(s) at slot-level</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FFS: values of N4_1(&gt;=1) and N4_2(&gt;=1)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Opt 1-5: No additional mechanism is selected.</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Note: x and y refer to the parameters from the random-access configuration tables (from 38.211)</w:t>
      </w:r>
    </w:p>
    <w:p>
      <w:pPr>
        <w:pStyle w:val="30"/>
        <w:numPr>
          <w:ilvl w:val="0"/>
          <w:numId w:val="14"/>
        </w:numPr>
        <w:ind w:leftChars="0"/>
        <w:contextualSpacing/>
        <w:rPr>
          <w:rFonts w:ascii="Times New Roman" w:hAnsi="Times New Roman"/>
          <w:sz w:val="20"/>
          <w:szCs w:val="20"/>
          <w:lang w:val="en-US" w:eastAsia="en-US"/>
        </w:rPr>
      </w:pPr>
      <w:r>
        <w:rPr>
          <w:rFonts w:ascii="Times New Roman" w:hAnsi="Times New Roman"/>
          <w:sz w:val="20"/>
          <w:szCs w:val="20"/>
          <w:lang w:val="en-US" w:eastAsia="en-US"/>
        </w:rPr>
        <w:t>For Alt 2 (different PRACH configuration index for additional and legacy PRACH resources), select one or more of the following additional mechanism(s),</w:t>
      </w:r>
    </w:p>
    <w:p>
      <w:pPr>
        <w:numPr>
          <w:ilvl w:val="0"/>
          <w:numId w:val="0"/>
        </w:numPr>
        <w:ind w:left="1080" w:leftChars="0"/>
        <w:contextualSpacing/>
        <w:rPr>
          <w:rFonts w:ascii="Times New Roman" w:hAnsi="Times New Roman"/>
          <w:sz w:val="20"/>
          <w:szCs w:val="20"/>
          <w:lang w:val="en-US"/>
        </w:rPr>
      </w:pPr>
      <w:r>
        <w:rPr>
          <w:rFonts w:hint="eastAsia" w:ascii="Times New Roman" w:hAnsi="Times New Roman"/>
          <w:sz w:val="20"/>
          <w:szCs w:val="20"/>
          <w:lang w:val="en-US" w:eastAsia="zh-CN"/>
        </w:rPr>
        <w:t xml:space="preserve"> </w:t>
      </w:r>
      <w:r>
        <w:rPr>
          <w:rFonts w:ascii="Times New Roman" w:hAnsi="Times New Roman"/>
          <w:sz w:val="20"/>
          <w:szCs w:val="20"/>
          <w:lang w:val="en-US"/>
        </w:rPr>
        <w:t>FFS: value of N1(&gt;=1)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 xml:space="preserve">Opt 1-2b: up to N2 additional value(s) of y </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FFS: value of N2 (&gt;=1)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Opt 1-3: Muting/masking ROs</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 xml:space="preserve">Opt 1-4: </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up to N4_1 additional timing offset(s) at frame-level</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up to N4_2 additional timing offset(s) at slot-level</w:t>
      </w:r>
    </w:p>
    <w:p>
      <w:pPr>
        <w:numPr>
          <w:ilvl w:val="2"/>
          <w:numId w:val="14"/>
        </w:numPr>
        <w:contextualSpacing/>
        <w:rPr>
          <w:rFonts w:ascii="Times New Roman" w:hAnsi="Times New Roman"/>
          <w:sz w:val="20"/>
          <w:szCs w:val="20"/>
          <w:lang w:val="en-US"/>
        </w:rPr>
      </w:pPr>
      <w:r>
        <w:rPr>
          <w:rFonts w:ascii="Times New Roman" w:hAnsi="Times New Roman"/>
          <w:sz w:val="20"/>
          <w:szCs w:val="20"/>
          <w:lang w:val="en-US"/>
        </w:rPr>
        <w:t>FFS: values of N4_1(&gt;=1) and N4_2(&gt;=1)</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Opt 1-5: No additional mechanism is selected.</w:t>
      </w:r>
    </w:p>
    <w:p>
      <w:pPr>
        <w:numPr>
          <w:ilvl w:val="1"/>
          <w:numId w:val="14"/>
        </w:numPr>
        <w:contextualSpacing/>
        <w:rPr>
          <w:rFonts w:ascii="Times New Roman" w:hAnsi="Times New Roman"/>
          <w:sz w:val="20"/>
          <w:szCs w:val="20"/>
          <w:lang w:val="en-US"/>
        </w:rPr>
      </w:pPr>
      <w:r>
        <w:rPr>
          <w:rFonts w:ascii="Times New Roman" w:hAnsi="Times New Roman"/>
          <w:sz w:val="20"/>
          <w:szCs w:val="20"/>
          <w:lang w:val="en-US"/>
        </w:rPr>
        <w:t>Note: x and y refer to the parameters from the random-access configuration tables (from 38.211)</w:t>
      </w:r>
    </w:p>
    <w:p>
      <w:pPr>
        <w:rPr>
          <w:rFonts w:hint="default" w:ascii="Times New Roman" w:hAnsi="Times New Roman" w:cs="Times New Roman"/>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sz w:val="20"/>
          <w:szCs w:val="20"/>
          <w:lang w:val="en-US" w:eastAsia="zh-CN"/>
        </w:rPr>
      </w:pPr>
      <w:r>
        <w:rPr>
          <w:rFonts w:hint="eastAsia" w:cs="Times New Roman" w:eastAsiaTheme="minorEastAsia"/>
          <w:b w:val="0"/>
          <w:bCs w:val="0"/>
          <w:sz w:val="20"/>
          <w:szCs w:val="20"/>
          <w:lang w:val="en-US" w:eastAsia="zh-CN"/>
        </w:rPr>
        <w:t xml:space="preserve">For frequency domain, option 1 uses a separate </w:t>
      </w:r>
      <w:r>
        <w:rPr>
          <w:rFonts w:ascii="Times New Roman" w:hAnsi="Times New Roman"/>
          <w:b w:val="0"/>
          <w:bCs w:val="0"/>
          <w:sz w:val="20"/>
          <w:szCs w:val="20"/>
          <w:lang w:eastAsia="en-US"/>
        </w:rPr>
        <w:t>msg1-Fr</w:t>
      </w:r>
      <w:r>
        <w:rPr>
          <w:rFonts w:ascii="Times New Roman" w:hAnsi="Times New Roman"/>
          <w:sz w:val="20"/>
          <w:szCs w:val="20"/>
          <w:lang w:eastAsia="en-US"/>
        </w:rPr>
        <w:t xml:space="preserve">equencyStart </w:t>
      </w:r>
      <w:r>
        <w:rPr>
          <w:rFonts w:hint="eastAsia" w:eastAsia="宋体"/>
          <w:sz w:val="20"/>
          <w:szCs w:val="20"/>
          <w:lang w:val="en-US" w:eastAsia="zh-CN"/>
        </w:rPr>
        <w:t xml:space="preserve">parameter to control the frequency location of additional PRACH resource. The indication range of </w:t>
      </w:r>
      <w:r>
        <w:rPr>
          <w:rFonts w:ascii="Times New Roman" w:hAnsi="Times New Roman"/>
          <w:b w:val="0"/>
          <w:bCs w:val="0"/>
          <w:sz w:val="20"/>
          <w:szCs w:val="20"/>
          <w:lang w:eastAsia="en-US"/>
        </w:rPr>
        <w:t>msg1-Fr</w:t>
      </w:r>
      <w:r>
        <w:rPr>
          <w:rFonts w:ascii="Times New Roman" w:hAnsi="Times New Roman"/>
          <w:sz w:val="20"/>
          <w:szCs w:val="20"/>
          <w:lang w:eastAsia="en-US"/>
        </w:rPr>
        <w:t>equencyStart</w:t>
      </w:r>
      <w:r>
        <w:rPr>
          <w:rFonts w:hint="eastAsia" w:eastAsia="宋体"/>
          <w:sz w:val="20"/>
          <w:szCs w:val="20"/>
          <w:lang w:val="en-US" w:eastAsia="zh-CN"/>
        </w:rPr>
        <w:t xml:space="preserve"> is wide enough to point to any RB of the carrier band (i.e., 275 PRBs). Thus, option 1 is already flexible. In fact, option 2 can achieve the same goal as option 1, if the offset range covers -137 PRB ~ 137 PRB. But it would be more straightfward to reuse the legacy configuration parameter.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 xml:space="preserve">Proposal 3: for frequency domain resource configuration for additional PRACH resource, option 1 should be supported.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sz w:val="20"/>
          <w:szCs w:val="20"/>
          <w:lang w:val="en-US" w:eastAsia="zh-CN"/>
        </w:rPr>
      </w:pPr>
      <w:r>
        <w:rPr>
          <w:rFonts w:hint="eastAsia" w:eastAsia="宋体"/>
          <w:sz w:val="20"/>
          <w:szCs w:val="20"/>
          <w:lang w:val="en-US" w:eastAsia="zh-CN"/>
        </w:rPr>
        <w:t xml:space="preserve">For time domain, first of all, Alt1 and Alt2 are targeting two different cases. For Alt1, the same PRACH configuration index  is selected for both legacy and additional PRACH resources. In this case, introducing a time domain offset seems a cleaner solution instead of modifying the PRACH configuration table. Thus, Opt 1-4 seems a meaningful solution. However, Opt 1-1 intends to change also the PRACH periodicity, which is questionable since the gNB could have selected a different PRACH configuration index for additional PRACH. For Opt 1-2, modifying the value of y will result in a SFN offset, which is similar to Opt 1-4. But from the specification impact point of view, introducing a time offset would be cleaner and more flexible than a modification of Table 6.3.3.2-2.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sz w:val="20"/>
          <w:szCs w:val="20"/>
          <w:lang w:val="en-US" w:eastAsia="zh-CN"/>
        </w:rPr>
      </w:pPr>
      <w:r>
        <w:rPr>
          <w:rFonts w:hint="eastAsia" w:eastAsia="宋体"/>
          <w:sz w:val="20"/>
          <w:szCs w:val="20"/>
          <w:lang w:val="en-US" w:eastAsia="zh-CN"/>
        </w:rPr>
        <w:t xml:space="preserve">For Alt2, Opt 1-3 and Opt 1-5 are enough as the PRACH configuration index is selected to be different between legacy PRACH resource and additional PRACH resource.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 xml:space="preserve">Observation 3: For time domain, first of all, Alt1 and Alt2 are targeting two different cases.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 xml:space="preserve">Observation 4: For Alt1: the same PRACH configuration index  is selected for both legacy and additional PRACH resources. Introducing a time domain offset seems a cleaner and more flexible solution instead of modifying the PRACH configuration table.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5: For Alt2: d</w:t>
      </w:r>
      <w:r>
        <w:rPr>
          <w:rFonts w:ascii="Times New Roman" w:hAnsi="Times New Roman"/>
          <w:b/>
          <w:bCs/>
          <w:sz w:val="20"/>
          <w:szCs w:val="20"/>
          <w:lang w:val="en-US" w:eastAsia="en-US"/>
        </w:rPr>
        <w:t>ifferent PRACH configuration index for additional and legacy PRACH resources</w:t>
      </w:r>
      <w:r>
        <w:rPr>
          <w:rFonts w:hint="eastAsia" w:eastAsia="宋体"/>
          <w:b/>
          <w:bCs/>
          <w:sz w:val="20"/>
          <w:szCs w:val="20"/>
          <w:lang w:val="en-US" w:eastAsia="zh-CN"/>
        </w:rPr>
        <w:t xml:space="preserve">. Opt 1-3 and Opt 1-5 are enough to differentiate the legacy and additional PRACH resources. No other mechanism is needed.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Proposal 4: For Alt1: the same PRACH configuration index  is selected for both legacy and additional PRACH resources. Introducing a time domain offset for additional PRACH resources.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eastAsia="宋体"/>
          <w:b/>
          <w:bCs/>
          <w:sz w:val="20"/>
          <w:szCs w:val="20"/>
          <w:lang w:val="en-US" w:eastAsia="zh-CN"/>
        </w:rPr>
      </w:pPr>
      <w:r>
        <w:rPr>
          <w:rFonts w:hint="eastAsia" w:eastAsia="宋体"/>
          <w:b/>
          <w:bCs/>
          <w:sz w:val="20"/>
          <w:szCs w:val="20"/>
          <w:lang w:val="en-US" w:eastAsia="zh-CN"/>
        </w:rPr>
        <w:t>Proposal 5: For Alt2: d</w:t>
      </w:r>
      <w:r>
        <w:rPr>
          <w:rFonts w:ascii="Times New Roman" w:hAnsi="Times New Roman"/>
          <w:b/>
          <w:bCs/>
          <w:sz w:val="20"/>
          <w:szCs w:val="20"/>
          <w:lang w:val="en-US" w:eastAsia="en-US"/>
        </w:rPr>
        <w:t>ifferent PRACH configuration index for additional and legacy PRACH resources</w:t>
      </w:r>
      <w:r>
        <w:rPr>
          <w:rFonts w:hint="eastAsia" w:eastAsia="宋体"/>
          <w:b/>
          <w:bCs/>
          <w:sz w:val="20"/>
          <w:szCs w:val="20"/>
          <w:lang w:val="en-US" w:eastAsia="zh-CN"/>
        </w:rPr>
        <w:t xml:space="preserve">. Introducing Muting/Masking ROs to the additional PRACH resources. </w:t>
      </w:r>
    </w:p>
    <w:p>
      <w:pPr>
        <w:pStyle w:val="4"/>
        <w:rPr>
          <w:rFonts w:hint="default" w:ascii="Times New Roman" w:hAnsi="Times New Roman" w:eastAsia="等线" w:cs="Times New Roman"/>
          <w:b/>
          <w:bCs/>
          <w:szCs w:val="20"/>
          <w:lang w:val="en-US" w:eastAsia="zh-CN"/>
        </w:rPr>
      </w:pPr>
    </w:p>
    <w:p>
      <w:pPr>
        <w:pStyle w:val="4"/>
        <w:rPr>
          <w:rFonts w:hint="default" w:ascii="Times New Roman" w:hAnsi="Times New Roman" w:eastAsia="等线" w:cs="Times New Roman"/>
          <w:szCs w:val="20"/>
          <w:lang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rPr>
          <w:rFonts w:hint="eastAsia" w:eastAsia="宋体" w:cs="Times New Roman"/>
          <w:b/>
          <w:bCs/>
          <w:szCs w:val="28"/>
          <w:lang w:val="en-US" w:eastAsia="zh-CN"/>
        </w:rPr>
      </w:pPr>
      <w:r>
        <w:rPr>
          <w:rFonts w:hint="eastAsia" w:eastAsia="宋体" w:cs="Times New Roman"/>
          <w:b/>
          <w:bCs/>
          <w:szCs w:val="28"/>
          <w:lang w:val="en-US" w:eastAsia="zh-CN"/>
        </w:rPr>
        <w:t>Observation 1: according to the latest RAN1 discussion progress, the SSB adaptation should satisfy the following conditions</w:t>
      </w:r>
    </w:p>
    <w:p>
      <w:pPr>
        <w:pStyle w:val="4"/>
        <w:numPr>
          <w:ilvl w:val="0"/>
          <w:numId w:val="10"/>
        </w:numPr>
        <w:ind w:leftChars="200"/>
        <w:rPr>
          <w:rFonts w:hint="eastAsia" w:eastAsia="等线" w:cs="Times New Roman"/>
          <w:b/>
          <w:bCs/>
          <w:szCs w:val="20"/>
          <w:lang w:val="en-US" w:eastAsia="zh-CN"/>
        </w:rPr>
      </w:pPr>
      <w:r>
        <w:rPr>
          <w:rFonts w:hint="eastAsia" w:eastAsia="等线" w:cs="Times New Roman"/>
          <w:b/>
          <w:bCs/>
          <w:szCs w:val="20"/>
          <w:lang w:val="en-US" w:eastAsia="zh-CN"/>
        </w:rPr>
        <w:t xml:space="preserve">only for connected UE; </w:t>
      </w:r>
    </w:p>
    <w:p>
      <w:pPr>
        <w:pStyle w:val="4"/>
        <w:numPr>
          <w:ilvl w:val="0"/>
          <w:numId w:val="0"/>
        </w:numPr>
        <w:ind w:leftChars="200"/>
        <w:rPr>
          <w:rFonts w:hint="default" w:eastAsia="等线" w:cs="Times New Roman"/>
          <w:b/>
          <w:bCs/>
          <w:szCs w:val="20"/>
          <w:lang w:val="en-US" w:eastAsia="zh-CN"/>
        </w:rPr>
      </w:pPr>
      <w:r>
        <w:rPr>
          <w:rFonts w:hint="eastAsia" w:eastAsia="等线" w:cs="Times New Roman"/>
          <w:b/>
          <w:bCs/>
          <w:szCs w:val="20"/>
          <w:lang w:val="en-US" w:eastAsia="zh-CN"/>
        </w:rPr>
        <w:t xml:space="preserve">2) not CD-SSB; </w:t>
      </w:r>
    </w:p>
    <w:p>
      <w:pPr>
        <w:pStyle w:val="4"/>
        <w:numPr>
          <w:ilvl w:val="0"/>
          <w:numId w:val="0"/>
        </w:numPr>
        <w:ind w:leftChars="200"/>
        <w:rPr>
          <w:rFonts w:hint="default" w:eastAsia="等线" w:cs="Times New Roman"/>
          <w:b/>
          <w:bCs/>
          <w:szCs w:val="20"/>
          <w:lang w:val="en-US" w:eastAsia="zh-CN"/>
        </w:rPr>
      </w:pPr>
      <w:r>
        <w:rPr>
          <w:rFonts w:hint="eastAsia" w:eastAsia="等线" w:cs="Times New Roman"/>
          <w:b/>
          <w:bCs/>
          <w:szCs w:val="20"/>
          <w:lang w:val="en-US" w:eastAsia="zh-CN"/>
        </w:rPr>
        <w:t xml:space="preserve">3) not on sync raster; </w:t>
      </w:r>
    </w:p>
    <w:p>
      <w:pPr>
        <w:pStyle w:val="4"/>
        <w:numPr>
          <w:ilvl w:val="0"/>
          <w:numId w:val="0"/>
        </w:numPr>
        <w:ind w:leftChars="200"/>
        <w:rPr>
          <w:rFonts w:hint="default" w:eastAsia="等线" w:cs="Times New Roman"/>
          <w:b/>
          <w:bCs/>
          <w:szCs w:val="20"/>
          <w:lang w:val="en-US" w:eastAsia="zh-CN"/>
        </w:rPr>
      </w:pPr>
      <w:r>
        <w:rPr>
          <w:rFonts w:hint="eastAsia" w:eastAsia="等线" w:cs="Times New Roman"/>
          <w:b/>
          <w:bCs/>
          <w:szCs w:val="20"/>
          <w:lang w:val="en-US" w:eastAsia="zh-CN"/>
        </w:rPr>
        <w:t xml:space="preserve">4) support for SCell if (1-3) are met; </w:t>
      </w:r>
    </w:p>
    <w:p>
      <w:pPr>
        <w:pStyle w:val="4"/>
        <w:numPr>
          <w:ilvl w:val="0"/>
          <w:numId w:val="0"/>
        </w:numPr>
        <w:ind w:leftChars="200"/>
        <w:rPr>
          <w:rFonts w:hint="default" w:eastAsia="等线" w:cs="Times New Roman"/>
          <w:b/>
          <w:bCs/>
          <w:szCs w:val="20"/>
          <w:lang w:val="en-US" w:eastAsia="zh-CN"/>
        </w:rPr>
      </w:pPr>
      <w:r>
        <w:rPr>
          <w:rFonts w:hint="eastAsia" w:eastAsia="等线" w:cs="Times New Roman"/>
          <w:b/>
          <w:bCs/>
          <w:szCs w:val="20"/>
          <w:lang w:val="en-US" w:eastAsia="zh-CN"/>
        </w:rPr>
        <w:t xml:space="preserve">5) FFS: support for PCell if (1-3) are met </w:t>
      </w:r>
    </w:p>
    <w:p>
      <w:pPr>
        <w:pStyle w:val="4"/>
        <w:rPr>
          <w:rFonts w:hint="eastAsia" w:eastAsia="等线" w:cs="Times New Roman"/>
          <w:b/>
          <w:bCs/>
          <w:szCs w:val="20"/>
          <w:lang w:val="en-US" w:eastAsia="zh-CN"/>
        </w:rPr>
      </w:pPr>
      <w:r>
        <w:rPr>
          <w:rFonts w:hint="eastAsia" w:eastAsia="宋体" w:cs="Times New Roman"/>
          <w:b/>
          <w:bCs/>
          <w:szCs w:val="28"/>
          <w:lang w:val="en-US" w:eastAsia="zh-CN"/>
        </w:rPr>
        <w:t xml:space="preserve">It is therefore observed that </w:t>
      </w:r>
      <w:r>
        <w:rPr>
          <w:rFonts w:hint="eastAsia" w:eastAsia="等线" w:cs="Times New Roman"/>
          <w:b/>
          <w:bCs/>
          <w:szCs w:val="20"/>
          <w:lang w:val="en-US" w:eastAsia="zh-CN"/>
        </w:rPr>
        <w:t xml:space="preserve">the on-demand SSB mechanism can be used to adapt the SSB in time domain, provided that the applicability conditions are almost the same.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2: according to the specification for connected UE monitoring paging, the connected UE does not monitor paging in every paging occasion. Therefore, in order to ensure that the connected UE will get the adaptation message, gNB has to transmit the DCI in every paging occasions. This may result in a negative impact to the network energy saving.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 xml:space="preserve">Observation 3: For time domain, first of all, Alt1 and Alt2 are targeting two different cases.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 xml:space="preserve">Observation 4: For Alt1: the same PRACH configuration index  is selected for both legacy and additional PRACH resources. Introducing a time domain offset seems a cleaner and more flexible solution instead of modifying the PRACH configuration table.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5: For Alt2: d</w:t>
      </w:r>
      <w:r>
        <w:rPr>
          <w:rFonts w:ascii="Times New Roman" w:hAnsi="Times New Roman"/>
          <w:b/>
          <w:bCs/>
          <w:sz w:val="20"/>
          <w:szCs w:val="20"/>
          <w:lang w:val="en-US" w:eastAsia="en-US"/>
        </w:rPr>
        <w:t>ifferent PRACH configuration index for additional and legacy PRACH resources</w:t>
      </w:r>
      <w:r>
        <w:rPr>
          <w:rFonts w:hint="eastAsia" w:eastAsia="宋体"/>
          <w:b/>
          <w:bCs/>
          <w:sz w:val="20"/>
          <w:szCs w:val="20"/>
          <w:lang w:val="en-US" w:eastAsia="zh-CN"/>
        </w:rPr>
        <w:t xml:space="preserve">. Opt 1-3 and Opt 1-5 are enough to differentiate the legacy and additional PRACH resources. No other mechanism is needed. </w:t>
      </w:r>
    </w:p>
    <w:p>
      <w:pPr>
        <w:pStyle w:val="4"/>
        <w:rPr>
          <w:rFonts w:hint="default" w:ascii="Times New Roman" w:hAnsi="Times New Roman" w:cs="Times New Roman" w:eastAsiaTheme="minorEastAsia"/>
          <w:b/>
          <w:bCs/>
          <w:sz w:val="21"/>
          <w:szCs w:val="21"/>
          <w:lang w:val="en-GB" w:eastAsia="zh-CN"/>
        </w:rPr>
      </w:pPr>
      <w:r>
        <w:rPr>
          <w:rFonts w:hint="eastAsia" w:eastAsia="等线" w:cs="Times New Roman"/>
          <w:b/>
          <w:bCs/>
          <w:szCs w:val="20"/>
          <w:lang w:val="en-US" w:eastAsia="zh-CN"/>
        </w:rPr>
        <w:t xml:space="preserve">Proposal 1: RAN1 to discuss whether it is still necessary to continue the discussion for SSB adaptation in objective 3 in parallel to objective 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0"/>
          <w:szCs w:val="20"/>
          <w:lang w:val="en-US" w:eastAsia="zh-CN"/>
        </w:rPr>
        <w:t xml:space="preserve">Proposal 2: change the working assumption for connected UE and let connected UE to monitor in type-3 CSS for DCI-based PRACH adaptation.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lang w:val="en-US" w:eastAsia="zh-CN"/>
        </w:rPr>
      </w:pPr>
      <w:r>
        <w:rPr>
          <w:rFonts w:hint="eastAsia" w:eastAsia="宋体"/>
          <w:b/>
          <w:bCs/>
          <w:lang w:val="en-US" w:eastAsia="zh-CN"/>
        </w:rPr>
        <w:t xml:space="preserve">Proposal 3: for frequency domain resource configuration for additional PRACH resource, option 1 should be supported.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sz w:val="20"/>
          <w:szCs w:val="20"/>
          <w:lang w:val="en-US" w:eastAsia="zh-CN"/>
        </w:rPr>
      </w:pPr>
      <w:r>
        <w:rPr>
          <w:rFonts w:hint="eastAsia" w:eastAsia="宋体"/>
          <w:b/>
          <w:bCs/>
          <w:sz w:val="20"/>
          <w:szCs w:val="20"/>
          <w:lang w:val="en-US" w:eastAsia="zh-CN"/>
        </w:rPr>
        <w:t>Proposal 4: For Alt1: the same PRACH configuration index  is selected for both legacy and additional PRACH resources. Introducing a time domain offset for additional PRACH resources.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eastAsia="宋体"/>
          <w:b/>
          <w:bCs/>
          <w:sz w:val="20"/>
          <w:szCs w:val="20"/>
          <w:lang w:val="en-US" w:eastAsia="zh-CN"/>
        </w:rPr>
      </w:pPr>
      <w:r>
        <w:rPr>
          <w:rFonts w:hint="eastAsia" w:eastAsia="宋体"/>
          <w:b/>
          <w:bCs/>
          <w:sz w:val="20"/>
          <w:szCs w:val="20"/>
          <w:lang w:val="en-US" w:eastAsia="zh-CN"/>
        </w:rPr>
        <w:t>Proposal 5: For Alt2: d</w:t>
      </w:r>
      <w:r>
        <w:rPr>
          <w:rFonts w:ascii="Times New Roman" w:hAnsi="Times New Roman"/>
          <w:b/>
          <w:bCs/>
          <w:sz w:val="20"/>
          <w:szCs w:val="20"/>
          <w:lang w:val="en-US" w:eastAsia="en-US"/>
        </w:rPr>
        <w:t>ifferent PRACH configuration index for additional and legacy PRACH resources</w:t>
      </w:r>
      <w:r>
        <w:rPr>
          <w:rFonts w:hint="eastAsia" w:eastAsia="宋体"/>
          <w:b/>
          <w:bCs/>
          <w:sz w:val="20"/>
          <w:szCs w:val="20"/>
          <w:lang w:val="en-US" w:eastAsia="zh-CN"/>
        </w:rPr>
        <w:t xml:space="preserve">. Introducing Muting/Masking ROs to the additional PRACH resources. </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5"/>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4A67707"/>
    <w:multiLevelType w:val="multilevel"/>
    <w:tmpl w:val="04A677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99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F71395"/>
    <w:multiLevelType w:val="multilevel"/>
    <w:tmpl w:val="65F71395"/>
    <w:lvl w:ilvl="0" w:tentative="0">
      <w:start w:val="1"/>
      <w:numFmt w:val="bullet"/>
      <w:lvlText w:val=""/>
      <w:lvlJc w:val="left"/>
      <w:pPr>
        <w:ind w:left="772" w:hanging="360"/>
      </w:pPr>
      <w:rPr>
        <w:rFonts w:hint="default" w:ascii="Symbol" w:hAnsi="Symbol"/>
      </w:rPr>
    </w:lvl>
    <w:lvl w:ilvl="1" w:tentative="0">
      <w:start w:val="1"/>
      <w:numFmt w:val="bullet"/>
      <w:lvlText w:val="o"/>
      <w:lvlJc w:val="left"/>
      <w:pPr>
        <w:ind w:left="1492" w:hanging="360"/>
      </w:pPr>
      <w:rPr>
        <w:rFonts w:hint="default" w:ascii="Courier New" w:hAnsi="Courier New" w:cs="Courier New"/>
      </w:rPr>
    </w:lvl>
    <w:lvl w:ilvl="2" w:tentative="0">
      <w:start w:val="1"/>
      <w:numFmt w:val="bullet"/>
      <w:lvlText w:val=""/>
      <w:lvlJc w:val="left"/>
      <w:pPr>
        <w:ind w:left="2212" w:hanging="360"/>
      </w:pPr>
      <w:rPr>
        <w:rFonts w:hint="default" w:ascii="Wingdings" w:hAnsi="Wingdings"/>
      </w:rPr>
    </w:lvl>
    <w:lvl w:ilvl="3" w:tentative="0">
      <w:start w:val="1"/>
      <w:numFmt w:val="bullet"/>
      <w:lvlText w:val=""/>
      <w:lvlJc w:val="left"/>
      <w:pPr>
        <w:ind w:left="2932" w:hanging="360"/>
      </w:pPr>
      <w:rPr>
        <w:rFonts w:hint="default" w:ascii="Symbol" w:hAnsi="Symbol"/>
      </w:rPr>
    </w:lvl>
    <w:lvl w:ilvl="4" w:tentative="0">
      <w:start w:val="1"/>
      <w:numFmt w:val="bullet"/>
      <w:lvlText w:val="o"/>
      <w:lvlJc w:val="left"/>
      <w:pPr>
        <w:ind w:left="3652" w:hanging="360"/>
      </w:pPr>
      <w:rPr>
        <w:rFonts w:hint="default" w:ascii="Courier New" w:hAnsi="Courier New" w:cs="Courier New"/>
      </w:rPr>
    </w:lvl>
    <w:lvl w:ilvl="5" w:tentative="0">
      <w:start w:val="1"/>
      <w:numFmt w:val="bullet"/>
      <w:lvlText w:val=""/>
      <w:lvlJc w:val="left"/>
      <w:pPr>
        <w:ind w:left="4372" w:hanging="360"/>
      </w:pPr>
      <w:rPr>
        <w:rFonts w:hint="default" w:ascii="Wingdings" w:hAnsi="Wingdings"/>
      </w:rPr>
    </w:lvl>
    <w:lvl w:ilvl="6" w:tentative="0">
      <w:start w:val="1"/>
      <w:numFmt w:val="bullet"/>
      <w:lvlText w:val=""/>
      <w:lvlJc w:val="left"/>
      <w:pPr>
        <w:ind w:left="5092" w:hanging="360"/>
      </w:pPr>
      <w:rPr>
        <w:rFonts w:hint="default" w:ascii="Symbol" w:hAnsi="Symbol"/>
      </w:rPr>
    </w:lvl>
    <w:lvl w:ilvl="7" w:tentative="0">
      <w:start w:val="1"/>
      <w:numFmt w:val="bullet"/>
      <w:lvlText w:val="o"/>
      <w:lvlJc w:val="left"/>
      <w:pPr>
        <w:ind w:left="5812" w:hanging="360"/>
      </w:pPr>
      <w:rPr>
        <w:rFonts w:hint="default" w:ascii="Courier New" w:hAnsi="Courier New" w:cs="Courier New"/>
      </w:rPr>
    </w:lvl>
    <w:lvl w:ilvl="8" w:tentative="0">
      <w:start w:val="1"/>
      <w:numFmt w:val="bullet"/>
      <w:lvlText w:val=""/>
      <w:lvlJc w:val="left"/>
      <w:pPr>
        <w:ind w:left="6532" w:hanging="360"/>
      </w:pPr>
      <w:rPr>
        <w:rFonts w:hint="default" w:ascii="Wingdings" w:hAnsi="Wingdings"/>
      </w:rPr>
    </w:lvl>
  </w:abstractNum>
  <w:abstractNum w:abstractNumId="11">
    <w:nsid w:val="672CBF5A"/>
    <w:multiLevelType w:val="singleLevel"/>
    <w:tmpl w:val="672CBF5A"/>
    <w:lvl w:ilvl="0" w:tentative="0">
      <w:start w:val="1"/>
      <w:numFmt w:val="decimal"/>
      <w:suff w:val="space"/>
      <w:lvlText w:val="%1)"/>
      <w:lvlJc w:val="left"/>
    </w:lvl>
  </w:abstractNum>
  <w:abstractNum w:abstractNumId="12">
    <w:nsid w:val="672CC0C5"/>
    <w:multiLevelType w:val="singleLevel"/>
    <w:tmpl w:val="672CC0C5"/>
    <w:lvl w:ilvl="0" w:tentative="0">
      <w:start w:val="1"/>
      <w:numFmt w:val="decimal"/>
      <w:suff w:val="space"/>
      <w:lvlText w:val="%1)"/>
      <w:lvlJc w:val="left"/>
    </w:lvl>
  </w:abstractNum>
  <w:abstractNum w:abstractNumId="13">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4"/>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9"/>
  </w:num>
  <w:num w:numId="4">
    <w:abstractNumId w:val="5"/>
  </w:num>
  <w:num w:numId="5">
    <w:abstractNumId w:val="4"/>
  </w:num>
  <w:num w:numId="6">
    <w:abstractNumId w:val="7"/>
  </w:num>
  <w:num w:numId="7">
    <w:abstractNumId w:val="13"/>
  </w:num>
  <w:num w:numId="8">
    <w:abstractNumId w:val="3"/>
  </w:num>
  <w:num w:numId="9">
    <w:abstractNumId w:val="11"/>
  </w:num>
  <w:num w:numId="10">
    <w:abstractNumId w:val="12"/>
  </w:num>
  <w:num w:numId="11">
    <w:abstractNumId w:val="6"/>
  </w:num>
  <w:num w:numId="12">
    <w:abstractNumId w:val="10"/>
  </w:num>
  <w:num w:numId="13">
    <w:abstractNumId w:val="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0C7C4810"/>
    <w:rsid w:val="0FAC1251"/>
    <w:rsid w:val="100A447D"/>
    <w:rsid w:val="134277FC"/>
    <w:rsid w:val="14486D32"/>
    <w:rsid w:val="156B2636"/>
    <w:rsid w:val="1830272A"/>
    <w:rsid w:val="18A6265E"/>
    <w:rsid w:val="18AF707B"/>
    <w:rsid w:val="1DAC05E3"/>
    <w:rsid w:val="1E85739C"/>
    <w:rsid w:val="207850EF"/>
    <w:rsid w:val="21A56BE3"/>
    <w:rsid w:val="221B4A06"/>
    <w:rsid w:val="22271F3E"/>
    <w:rsid w:val="22942696"/>
    <w:rsid w:val="253C10D3"/>
    <w:rsid w:val="2781337C"/>
    <w:rsid w:val="2A923319"/>
    <w:rsid w:val="2A947376"/>
    <w:rsid w:val="2C8622C4"/>
    <w:rsid w:val="2DBF09AB"/>
    <w:rsid w:val="2E8259FF"/>
    <w:rsid w:val="2F9F402B"/>
    <w:rsid w:val="2FB358A5"/>
    <w:rsid w:val="2FFA6931"/>
    <w:rsid w:val="345937CE"/>
    <w:rsid w:val="3595172F"/>
    <w:rsid w:val="36A51BF4"/>
    <w:rsid w:val="380F45CC"/>
    <w:rsid w:val="3A981197"/>
    <w:rsid w:val="3B5F663F"/>
    <w:rsid w:val="3C1515AA"/>
    <w:rsid w:val="3F752FB3"/>
    <w:rsid w:val="3FD7004F"/>
    <w:rsid w:val="40C66F18"/>
    <w:rsid w:val="432E4AC9"/>
    <w:rsid w:val="471B610B"/>
    <w:rsid w:val="4AD86832"/>
    <w:rsid w:val="4ADD0CE6"/>
    <w:rsid w:val="4BC86638"/>
    <w:rsid w:val="4DB06F45"/>
    <w:rsid w:val="4E5527F6"/>
    <w:rsid w:val="4ECA54CC"/>
    <w:rsid w:val="55423750"/>
    <w:rsid w:val="55A253EC"/>
    <w:rsid w:val="579E0CAF"/>
    <w:rsid w:val="5BFA42C1"/>
    <w:rsid w:val="5DF60ACB"/>
    <w:rsid w:val="60025EA2"/>
    <w:rsid w:val="66403909"/>
    <w:rsid w:val="68EC0320"/>
    <w:rsid w:val="6AF76AD3"/>
    <w:rsid w:val="6C0A130D"/>
    <w:rsid w:val="6CE92D12"/>
    <w:rsid w:val="6DBE4BE1"/>
    <w:rsid w:val="6E1F57B3"/>
    <w:rsid w:val="6E3851B0"/>
    <w:rsid w:val="6E8700BC"/>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2024-11-08T13:40:53Z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