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napToGrid/>
        <w:spacing w:before="0" w:beforeLines="0" w:after="0" w:line="240" w:lineRule="auto"/>
        <w:ind w:right="2"/>
        <w:jc w:val="left"/>
        <w:rPr>
          <w:rFonts w:hint="default" w:ascii="Arial" w:hAnsi="Arial" w:eastAsia="宋体" w:cs="Arial"/>
          <w:b/>
          <w:bCs/>
          <w:sz w:val="24"/>
          <w:lang w:val="en-US" w:eastAsia="zh-CN"/>
        </w:rPr>
      </w:pPr>
      <w:bookmarkStart w:id="0" w:name="_Hlk145670493"/>
      <w:bookmarkStart w:id="1" w:name="_Hlk117841894"/>
      <w:bookmarkStart w:id="2" w:name="OLE_LINK13"/>
      <w:bookmarkStart w:id="3" w:name="OLE_LINK12"/>
      <w:r>
        <w:rPr>
          <w:rFonts w:ascii="Arial" w:hAnsi="Arial" w:eastAsia="Batang" w:cs="Arial"/>
          <w:b/>
          <w:bCs/>
          <w:sz w:val="24"/>
          <w:lang w:val="en-GB" w:eastAsia="en-US"/>
        </w:rPr>
        <w:t>3GPP TSG RAN WG1 #11</w:t>
      </w:r>
      <w:r>
        <w:rPr>
          <w:rFonts w:hint="eastAsia" w:ascii="Arial" w:hAnsi="Arial" w:cs="Arial"/>
          <w:b/>
          <w:bCs/>
          <w:sz w:val="24"/>
          <w:lang w:val="en-US" w:eastAsia="zh-CN"/>
        </w:rPr>
        <w:t>9</w:t>
      </w:r>
      <w:r>
        <w:rPr>
          <w:rFonts w:hint="eastAsia" w:ascii="Arial" w:hAnsi="Arial" w:cs="Arial"/>
          <w:b/>
          <w:bCs/>
          <w:sz w:val="24"/>
        </w:rPr>
        <w:t xml:space="preserve">  </w:t>
      </w:r>
      <w:r>
        <w:rPr>
          <w:rFonts w:ascii="Arial" w:hAnsi="Arial" w:cs="Arial"/>
          <w:b/>
          <w:bCs/>
          <w:sz w:val="24"/>
        </w:rPr>
        <w:t xml:space="preserve"> </w:t>
      </w:r>
      <w:r>
        <w:rPr>
          <w:rFonts w:hint="eastAsia" w:ascii="Arial" w:hAnsi="Arial" w:cs="Arial"/>
          <w:b/>
          <w:bCs/>
          <w:sz w:val="24"/>
        </w:rPr>
        <w:t xml:space="preserve">          </w:t>
      </w:r>
      <w:r>
        <w:rPr>
          <w:rFonts w:ascii="Arial" w:hAnsi="Arial" w:eastAsia="Batang" w:cs="Arial"/>
          <w:b/>
          <w:bCs/>
          <w:sz w:val="24"/>
          <w:lang w:val="en-GB" w:eastAsia="en-US"/>
        </w:rPr>
        <w:tab/>
      </w:r>
      <w:r>
        <w:rPr>
          <w:rFonts w:hint="eastAsia" w:ascii="Arial" w:hAnsi="Arial" w:cs="Arial"/>
          <w:b/>
          <w:bCs/>
          <w:sz w:val="24"/>
        </w:rPr>
        <w:t xml:space="preserve">                      </w:t>
      </w:r>
      <w:r>
        <w:rPr>
          <w:rFonts w:hint="eastAsia" w:ascii="Arial" w:hAnsi="Arial" w:eastAsia="Batang" w:cs="Arial"/>
          <w:b/>
          <w:bCs/>
          <w:sz w:val="24"/>
          <w:lang w:val="en-GB" w:eastAsia="en-US"/>
        </w:rPr>
        <w:t>R1-2409560</w:t>
      </w:r>
    </w:p>
    <w:p>
      <w:pPr>
        <w:tabs>
          <w:tab w:val="center" w:pos="4536"/>
          <w:tab w:val="right" w:pos="9072"/>
        </w:tabs>
        <w:snapToGrid/>
        <w:spacing w:before="0" w:beforeLines="0" w:after="0" w:line="240" w:lineRule="auto"/>
        <w:jc w:val="left"/>
        <w:rPr>
          <w:rFonts w:ascii="Arial" w:hAnsi="Arial" w:eastAsia="MS Mincho" w:cs="Arial"/>
          <w:b/>
          <w:bCs/>
          <w:sz w:val="24"/>
          <w:lang w:val="en-GB" w:eastAsia="ja-JP"/>
        </w:rPr>
      </w:pPr>
      <w:r>
        <w:rPr>
          <w:rFonts w:hint="eastAsia" w:ascii="Arial" w:hAnsi="Arial" w:eastAsia="MS Mincho" w:cs="Arial"/>
          <w:b/>
          <w:bCs/>
          <w:sz w:val="24"/>
          <w:lang w:val="en-GB" w:eastAsia="ja-JP"/>
        </w:rPr>
        <w:t xml:space="preserve">Orlando , US, </w:t>
      </w:r>
      <w:r>
        <w:rPr>
          <w:rFonts w:hint="eastAsia" w:ascii="Arial" w:hAnsi="Arial" w:cs="Arial"/>
          <w:b/>
          <w:bCs/>
          <w:sz w:val="24"/>
          <w:lang w:val="en-US" w:eastAsia="zh-CN"/>
        </w:rPr>
        <w:t xml:space="preserve">November </w:t>
      </w:r>
      <w:r>
        <w:rPr>
          <w:rFonts w:hint="eastAsia" w:ascii="Arial" w:hAnsi="Arial" w:eastAsia="MS Mincho" w:cs="Arial"/>
          <w:b/>
          <w:bCs/>
          <w:sz w:val="24"/>
          <w:lang w:val="en-GB" w:eastAsia="ja-JP"/>
        </w:rPr>
        <w:t>1</w:t>
      </w:r>
      <w:r>
        <w:rPr>
          <w:rFonts w:hint="eastAsia" w:ascii="Arial" w:hAnsi="Arial" w:cs="Arial"/>
          <w:b/>
          <w:bCs/>
          <w:sz w:val="24"/>
          <w:lang w:val="en-US" w:eastAsia="zh-CN"/>
        </w:rPr>
        <w:t>8</w:t>
      </w:r>
      <w:r>
        <w:rPr>
          <w:rFonts w:hint="eastAsia" w:ascii="Arial" w:hAnsi="Arial" w:eastAsia="MS Mincho" w:cs="Arial"/>
          <w:b/>
          <w:bCs/>
          <w:sz w:val="24"/>
          <w:vertAlign w:val="superscript"/>
          <w:lang w:val="en-GB" w:eastAsia="ja-JP"/>
        </w:rPr>
        <w:t>th</w:t>
      </w:r>
      <w:r>
        <w:rPr>
          <w:rFonts w:hint="eastAsia" w:ascii="Arial" w:hAnsi="Arial" w:eastAsia="MS Mincho" w:cs="Arial"/>
          <w:b/>
          <w:bCs/>
          <w:sz w:val="24"/>
          <w:lang w:val="en-GB" w:eastAsia="ja-JP"/>
        </w:rPr>
        <w:t xml:space="preserve"> – </w:t>
      </w:r>
      <w:r>
        <w:rPr>
          <w:rFonts w:hint="eastAsia" w:ascii="Arial" w:hAnsi="Arial" w:cs="Arial"/>
          <w:b/>
          <w:bCs/>
          <w:sz w:val="24"/>
          <w:lang w:val="en-US" w:eastAsia="zh-CN"/>
        </w:rPr>
        <w:t>22</w:t>
      </w:r>
      <w:r>
        <w:rPr>
          <w:rFonts w:hint="eastAsia" w:ascii="Arial" w:hAnsi="Arial" w:cs="Arial"/>
          <w:b/>
          <w:bCs/>
          <w:sz w:val="24"/>
          <w:vertAlign w:val="superscript"/>
          <w:lang w:val="en-US" w:eastAsia="zh-CN"/>
        </w:rPr>
        <w:t>nd</w:t>
      </w:r>
      <w:r>
        <w:rPr>
          <w:rFonts w:hint="eastAsia" w:ascii="Arial" w:hAnsi="Arial" w:eastAsia="MS Mincho" w:cs="Arial"/>
          <w:b/>
          <w:bCs/>
          <w:sz w:val="24"/>
          <w:lang w:val="en-GB" w:eastAsia="ja-JP"/>
        </w:rPr>
        <w:t>, 2024</w:t>
      </w:r>
    </w:p>
    <w:bookmarkEnd w:id="0"/>
    <w:p>
      <w:pPr>
        <w:spacing w:before="120" w:after="0"/>
        <w:jc w:val="left"/>
        <w:rPr>
          <w:szCs w:val="20"/>
        </w:rPr>
      </w:pP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r>
        <w:rPr>
          <w:rFonts w:ascii="Arial" w:hAnsi="Arial" w:eastAsia="Batang"/>
          <w:b/>
          <w:sz w:val="22"/>
          <w:szCs w:val="20"/>
          <w:lang w:bidi="ar"/>
        </w:rPr>
        <w:t>ZTE</w:t>
      </w:r>
      <w:r>
        <w:rPr>
          <w:rFonts w:hint="eastAsia" w:ascii="Arial" w:hAnsi="Arial"/>
          <w:b/>
          <w:sz w:val="22"/>
          <w:szCs w:val="20"/>
          <w:lang w:val="en-US" w:eastAsia="zh-CN" w:bidi="ar"/>
        </w:rPr>
        <w:t xml:space="preserve"> Corporation</w:t>
      </w:r>
      <w:r>
        <w:rPr>
          <w:rFonts w:ascii="Arial" w:hAnsi="Arial" w:eastAsia="Batang"/>
          <w:b/>
          <w:sz w:val="22"/>
          <w:szCs w:val="20"/>
          <w:lang w:bidi="ar"/>
        </w:rPr>
        <w:t>, Sanechips</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ascii="Arial" w:hAnsi="Arial" w:eastAsia="Batang"/>
          <w:b/>
          <w:sz w:val="22"/>
          <w:szCs w:val="20"/>
          <w:lang w:val="en-GB" w:eastAsia="en-US"/>
        </w:rPr>
        <w:t>Title:</w:t>
      </w:r>
      <w:bookmarkStart w:id="4" w:name="Title"/>
      <w:bookmarkEnd w:id="4"/>
      <w:r>
        <w:rPr>
          <w:rFonts w:ascii="Arial" w:hAnsi="Arial" w:eastAsia="Batang"/>
          <w:b/>
          <w:sz w:val="22"/>
          <w:szCs w:val="20"/>
          <w:lang w:val="en-GB" w:eastAsia="en-US"/>
        </w:rPr>
        <w:tab/>
      </w:r>
      <w:r>
        <w:rPr>
          <w:rFonts w:hint="eastAsia" w:ascii="Arial" w:hAnsi="Arial"/>
          <w:b/>
          <w:sz w:val="22"/>
          <w:szCs w:val="20"/>
          <w:lang w:bidi="ar"/>
        </w:rPr>
        <w:t xml:space="preserve">Discussion on </w:t>
      </w:r>
      <w:r>
        <w:rPr>
          <w:rFonts w:ascii="Arial" w:hAnsi="Arial" w:eastAsia="Batang"/>
          <w:b/>
          <w:sz w:val="22"/>
          <w:szCs w:val="20"/>
          <w:lang w:bidi="ar"/>
        </w:rPr>
        <w:t xml:space="preserve">LP-WUS </w:t>
      </w:r>
      <w:r>
        <w:rPr>
          <w:rFonts w:hint="eastAsia" w:ascii="Arial" w:hAnsi="Arial"/>
          <w:b/>
          <w:sz w:val="22"/>
          <w:szCs w:val="20"/>
          <w:lang w:bidi="ar"/>
        </w:rPr>
        <w:t>operation in IDLE/INACTIVE mode</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val="en-GB" w:eastAsia="en-US"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GB" w:eastAsia="en-US" w:bidi="ar"/>
        </w:rPr>
        <w:t>9.6.2</w:t>
      </w: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5" w:name="DocumentFor"/>
      <w:bookmarkEnd w:id="5"/>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3"/>
        <w:spacing w:before="120"/>
        <w:rPr>
          <w:lang w:val="en-US"/>
        </w:rPr>
      </w:pPr>
      <w:r>
        <w:rPr>
          <w:rFonts w:hint="eastAsia"/>
          <w:lang w:val="en-US"/>
        </w:rPr>
        <w:t>Introduction</w:t>
      </w:r>
    </w:p>
    <w:bookmarkEnd w:id="1"/>
    <w:p>
      <w:pPr>
        <w:overflowPunct w:val="0"/>
        <w:autoSpaceDE w:val="0"/>
        <w:autoSpaceDN w:val="0"/>
        <w:adjustRightInd w:val="0"/>
        <w:spacing w:before="120" w:beforeLines="0" w:line="276" w:lineRule="auto"/>
        <w:ind w:right="-96"/>
        <w:textAlignment w:val="baseline"/>
        <w:rPr>
          <w:szCs w:val="20"/>
        </w:rPr>
      </w:pPr>
      <w:bookmarkStart w:id="6" w:name="OLE_LINK3"/>
      <w:r>
        <w:rPr>
          <w:szCs w:val="20"/>
          <w:lang w:eastAsia="ja-JP"/>
        </w:rPr>
        <w:t xml:space="preserve">In </w:t>
      </w:r>
      <w:r>
        <w:rPr>
          <w:szCs w:val="20"/>
        </w:rPr>
        <w:t>RAN #</w:t>
      </w:r>
      <w:r>
        <w:rPr>
          <w:rFonts w:hint="eastAsia"/>
          <w:szCs w:val="20"/>
        </w:rPr>
        <w:t>10</w:t>
      </w:r>
      <w:r>
        <w:rPr>
          <w:rFonts w:hint="eastAsia"/>
          <w:szCs w:val="20"/>
          <w:lang w:val="en-US" w:eastAsia="zh-CN"/>
        </w:rPr>
        <w:t>5</w:t>
      </w:r>
      <w:r>
        <w:rPr>
          <w:szCs w:val="20"/>
        </w:rPr>
        <w:t xml:space="preserve"> meeting</w:t>
      </w:r>
      <w:bookmarkEnd w:id="6"/>
      <w:r>
        <w:rPr>
          <w:rFonts w:hint="eastAsia"/>
          <w:szCs w:val="20"/>
        </w:rPr>
        <w:t xml:space="preserve">, a </w:t>
      </w:r>
      <w:r>
        <w:rPr>
          <w:rFonts w:hint="eastAsia"/>
          <w:szCs w:val="20"/>
          <w:lang w:val="en-US" w:eastAsia="zh-CN"/>
        </w:rPr>
        <w:t xml:space="preserve">updated </w:t>
      </w:r>
      <w:r>
        <w:rPr>
          <w:rFonts w:hint="eastAsia"/>
          <w:szCs w:val="20"/>
        </w:rPr>
        <w:t xml:space="preserve">WID </w:t>
      </w:r>
      <w:r>
        <w:rPr>
          <w:szCs w:val="20"/>
        </w:rPr>
        <w:t xml:space="preserve">on </w:t>
      </w:r>
      <w:r>
        <w:t>low-power Wake-up Signal and Receiver for NR</w:t>
      </w:r>
      <w:r>
        <w:rPr>
          <w:rFonts w:hint="eastAsia"/>
        </w:rPr>
        <w:t xml:space="preserve"> </w:t>
      </w:r>
      <w:r>
        <w:rPr>
          <w:szCs w:val="20"/>
        </w:rPr>
        <w:t>was revised</w:t>
      </w:r>
      <w:r>
        <w:rPr>
          <w:rFonts w:hint="eastAsia"/>
          <w:szCs w:val="20"/>
        </w:rPr>
        <w:t xml:space="preserve"> in [1]</w:t>
      </w:r>
      <w:r>
        <w:rPr>
          <w:szCs w:val="20"/>
        </w:rPr>
        <w:t>.</w:t>
      </w:r>
      <w:r>
        <w:rPr>
          <w:rFonts w:hint="eastAsia"/>
          <w:szCs w:val="20"/>
          <w:lang w:val="en-US" w:eastAsia="zh-CN"/>
        </w:rPr>
        <w:t xml:space="preserve"> </w:t>
      </w:r>
      <w:r>
        <w:rPr>
          <w:szCs w:val="20"/>
          <w:lang w:eastAsia="ja-JP"/>
        </w:rPr>
        <w:t xml:space="preserve">In </w:t>
      </w:r>
      <w:r>
        <w:rPr>
          <w:szCs w:val="20"/>
        </w:rPr>
        <w:t>RAN</w:t>
      </w:r>
      <w:r>
        <w:rPr>
          <w:rFonts w:hint="eastAsia"/>
          <w:szCs w:val="20"/>
        </w:rPr>
        <w:t>1</w:t>
      </w:r>
      <w:r>
        <w:rPr>
          <w:szCs w:val="20"/>
        </w:rPr>
        <w:t xml:space="preserve"> #</w:t>
      </w:r>
      <w:r>
        <w:rPr>
          <w:rFonts w:hint="eastAsia"/>
          <w:szCs w:val="20"/>
        </w:rPr>
        <w:t>11</w:t>
      </w:r>
      <w:r>
        <w:rPr>
          <w:rFonts w:hint="eastAsia"/>
          <w:szCs w:val="20"/>
          <w:lang w:val="en-US" w:eastAsia="zh-CN"/>
        </w:rPr>
        <w:t>8bis</w:t>
      </w:r>
      <w:r>
        <w:rPr>
          <w:szCs w:val="20"/>
        </w:rPr>
        <w:t xml:space="preserve"> meeting</w:t>
      </w:r>
      <w:r>
        <w:rPr>
          <w:rFonts w:hint="eastAsia"/>
          <w:szCs w:val="20"/>
        </w:rPr>
        <w:t>, the following agreements were made [2].</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186" w:type="dxa"/>
          </w:tcPr>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Confirm the following working assumption for iDRX: For each UE, the periodicity of LO is the same as its iDRX cycle.</w:t>
            </w:r>
          </w:p>
          <w:p>
            <w:pPr>
              <w:snapToGrid/>
              <w:spacing w:before="0" w:beforeLines="-2147483648" w:after="0" w:line="240" w:lineRule="auto"/>
              <w:jc w:val="left"/>
              <w:rPr>
                <w:rFonts w:ascii="Times" w:hAnsi="Times" w:eastAsia="Batang"/>
                <w:szCs w:val="24"/>
                <w:lang w:val="en-GB" w:eastAsia="en-US"/>
              </w:rPr>
            </w:pPr>
          </w:p>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For the mapping between LO and PO, supports at least Option 1 (UEs monitoring the same PO monitor the same LO).</w:t>
            </w:r>
          </w:p>
          <w:p>
            <w:pPr>
              <w:snapToGrid/>
              <w:spacing w:before="0" w:beforeLines="-2147483648" w:after="0" w:line="240" w:lineRule="auto"/>
              <w:jc w:val="left"/>
              <w:rPr>
                <w:rFonts w:ascii="Times" w:hAnsi="Times" w:eastAsia="等线"/>
                <w:szCs w:val="24"/>
                <w:lang w:val="en-GB" w:eastAsia="ko-KR" w:bidi="ar"/>
              </w:rPr>
            </w:pPr>
          </w:p>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jc w:val="left"/>
              <w:rPr>
                <w:rFonts w:ascii="Times" w:hAnsi="Times" w:eastAsia="Batang"/>
                <w:szCs w:val="24"/>
                <w:lang w:val="en-GB" w:eastAsia="en-US"/>
              </w:rPr>
            </w:pPr>
            <w:r>
              <w:rPr>
                <w:rFonts w:hint="eastAsia" w:ascii="Times" w:hAnsi="Times" w:eastAsia="Batang"/>
                <w:szCs w:val="24"/>
                <w:lang w:val="en-GB" w:eastAsia="ko-KR"/>
              </w:rPr>
              <w:t>From RAN1 perspective, w</w:t>
            </w:r>
            <w:r>
              <w:rPr>
                <w:rFonts w:ascii="Times" w:hAnsi="Times" w:eastAsia="Batang"/>
                <w:szCs w:val="24"/>
                <w:lang w:val="en-GB" w:eastAsia="en-US"/>
              </w:rPr>
              <w:t>hen a UE is monitoring LP-WUS</w:t>
            </w:r>
            <w:r>
              <w:rPr>
                <w:rFonts w:hint="eastAsia" w:ascii="Times" w:hAnsi="Times" w:eastAsia="Batang"/>
                <w:szCs w:val="24"/>
                <w:lang w:val="en-GB" w:eastAsia="ko-KR"/>
              </w:rPr>
              <w:t xml:space="preserve"> (based on the entry/exit condition for LP-WUS)</w:t>
            </w:r>
            <w:r>
              <w:rPr>
                <w:rFonts w:ascii="Times" w:hAnsi="Times" w:eastAsia="Batang"/>
                <w:szCs w:val="24"/>
                <w:lang w:val="en-GB" w:eastAsia="en-US"/>
              </w:rPr>
              <w:t xml:space="preserve">, a UE is not required to monitor a PO if </w:t>
            </w:r>
          </w:p>
          <w:p>
            <w:pPr>
              <w:numPr>
                <w:ilvl w:val="0"/>
                <w:numId w:val="7"/>
              </w:numPr>
              <w:snapToGrid/>
              <w:spacing w:before="0" w:beforeLines="-2147483648" w:after="0" w:line="240" w:lineRule="auto"/>
              <w:ind w:left="720" w:leftChars="0" w:hanging="360"/>
              <w:jc w:val="left"/>
              <w:rPr>
                <w:rFonts w:ascii="Times" w:hAnsi="Times" w:eastAsia="Batang" w:cs="Times New Roman"/>
                <w:szCs w:val="24"/>
                <w:lang w:val="en-GB" w:eastAsia="ko-KR" w:bidi="ar-SA"/>
              </w:rPr>
            </w:pPr>
            <w:r>
              <w:rPr>
                <w:rFonts w:ascii="Times" w:hAnsi="Times" w:eastAsia="Batang" w:cs="Times New Roman"/>
                <w:szCs w:val="24"/>
                <w:lang w:val="en-GB" w:eastAsia="zh-CN" w:bidi="ar-SA"/>
              </w:rPr>
              <w:t xml:space="preserve">it does not detect a LP-WUS on the monitored LO </w:t>
            </w:r>
          </w:p>
          <w:p>
            <w:pPr>
              <w:numPr>
                <w:ilvl w:val="0"/>
                <w:numId w:val="7"/>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or the LP-WUS does not indicate a wake-up indication </w:t>
            </w:r>
            <w:r>
              <w:rPr>
                <w:rFonts w:hint="eastAsia" w:ascii="Times" w:hAnsi="Times" w:eastAsia="Batang" w:cs="Times New Roman"/>
                <w:szCs w:val="24"/>
                <w:lang w:val="en-GB" w:eastAsia="ko-KR" w:bidi="ar-SA"/>
              </w:rPr>
              <w:t xml:space="preserve">for </w:t>
            </w:r>
            <w:r>
              <w:rPr>
                <w:rFonts w:ascii="Times" w:hAnsi="Times" w:eastAsia="Batang" w:cs="Times New Roman"/>
                <w:szCs w:val="24"/>
                <w:lang w:val="en-GB" w:eastAsia="zh-CN" w:bidi="ar-SA"/>
              </w:rPr>
              <w:t xml:space="preserve">the </w:t>
            </w:r>
            <w:r>
              <w:rPr>
                <w:rFonts w:hint="eastAsia" w:ascii="Times" w:hAnsi="Times" w:eastAsia="Batang" w:cs="Times New Roman"/>
                <w:szCs w:val="24"/>
                <w:lang w:val="en-GB" w:eastAsia="ko-KR" w:bidi="ar-SA"/>
              </w:rPr>
              <w:t>UE</w:t>
            </w:r>
            <w:r>
              <w:rPr>
                <w:rFonts w:ascii="Times" w:hAnsi="Times" w:eastAsia="Batang" w:cs="Times New Roman"/>
                <w:szCs w:val="24"/>
                <w:lang w:val="en-GB" w:eastAsia="ko-KR" w:bidi="ar-SA"/>
              </w:rPr>
              <w:t>’</w:t>
            </w:r>
            <w:r>
              <w:rPr>
                <w:rFonts w:hint="eastAsia" w:ascii="Times" w:hAnsi="Times" w:eastAsia="Batang" w:cs="Times New Roman"/>
                <w:szCs w:val="24"/>
                <w:lang w:val="en-GB" w:eastAsia="ko-KR" w:bidi="ar-SA"/>
              </w:rPr>
              <w:t xml:space="preserve">s corresponding </w:t>
            </w:r>
            <w:r>
              <w:rPr>
                <w:rFonts w:ascii="Times" w:hAnsi="Times" w:eastAsia="Batang" w:cs="Times New Roman"/>
                <w:szCs w:val="24"/>
                <w:lang w:val="en-GB" w:eastAsia="zh-CN" w:bidi="ar-SA"/>
              </w:rPr>
              <w:t>subgroup</w:t>
            </w:r>
          </w:p>
          <w:p>
            <w:pPr>
              <w:snapToGrid/>
              <w:spacing w:before="0" w:beforeLines="-2147483648" w:after="0" w:line="240" w:lineRule="auto"/>
              <w:jc w:val="left"/>
              <w:rPr>
                <w:rFonts w:ascii="Times" w:hAnsi="Times" w:eastAsia="Batang"/>
                <w:szCs w:val="24"/>
                <w:lang w:val="en-GB" w:eastAsia="en-US"/>
              </w:rPr>
            </w:pPr>
          </w:p>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For the offset value(s) between an LO and a reference PO/PF, consider the following options:</w:t>
            </w:r>
          </w:p>
          <w:p>
            <w:pPr>
              <w:numPr>
                <w:ilvl w:val="0"/>
                <w:numId w:val="8"/>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Definition: The gap between an LO and a PO is considered to be no less than the wake-up delay a UE supports if the gap between the end of the last LP-WUS MO the UE monitors in the LO and the start of the PO is no less than the wake-up delay.</w:t>
            </w:r>
          </w:p>
          <w:p>
            <w:pPr>
              <w:numPr>
                <w:ilvl w:val="0"/>
                <w:numId w:val="8"/>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1: gNB configures a single offset value.</w:t>
            </w:r>
          </w:p>
          <w:p>
            <w:pPr>
              <w:numPr>
                <w:ilvl w:val="1"/>
                <w:numId w:val="8"/>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If the gap between an LO and the PO</w:t>
            </w:r>
            <w:r>
              <w:rPr>
                <w:rFonts w:hint="eastAsia" w:ascii="Times" w:hAnsi="Times" w:eastAsia="Batang" w:cs="Times New Roman"/>
                <w:szCs w:val="24"/>
                <w:lang w:val="en-GB" w:eastAsia="zh-CN" w:bidi="ar-SA"/>
              </w:rPr>
              <w:t xml:space="preserve"> </w:t>
            </w:r>
            <w:r>
              <w:rPr>
                <w:rFonts w:ascii="Times" w:hAnsi="Times" w:eastAsia="Batang" w:cs="Times New Roman"/>
                <w:szCs w:val="24"/>
                <w:lang w:val="en-US" w:eastAsia="zh-CN" w:bidi="ar-SA"/>
              </w:rPr>
              <w:t>associated with the offset</w:t>
            </w:r>
            <w:r>
              <w:rPr>
                <w:rFonts w:hint="eastAsia" w:ascii="Times" w:hAnsi="Times" w:eastAsia="Batang" w:cs="Times New Roman"/>
                <w:szCs w:val="24"/>
                <w:lang w:val="en-GB" w:eastAsia="zh-CN" w:bidi="ar-SA"/>
              </w:rPr>
              <w:t xml:space="preserve"> </w:t>
            </w:r>
            <w:r>
              <w:rPr>
                <w:rFonts w:ascii="Times" w:hAnsi="Times" w:eastAsia="Batang" w:cs="Times New Roman"/>
                <w:szCs w:val="24"/>
                <w:lang w:val="en-GB" w:eastAsia="zh-CN" w:bidi="ar-SA"/>
              </w:rPr>
              <w:t>is no less than the wake-up delay a UE supports, the UE monitors the PO associated with the offset after receiving a wake-up indication in a LP-WUS.</w:t>
            </w:r>
          </w:p>
          <w:p>
            <w:pPr>
              <w:numPr>
                <w:ilvl w:val="1"/>
                <w:numId w:val="8"/>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Otherwise,</w:t>
            </w:r>
          </w:p>
          <w:p>
            <w:pPr>
              <w:numPr>
                <w:ilvl w:val="2"/>
                <w:numId w:val="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1-1: the UE follows the legacy paging monitoring procedure.</w:t>
            </w:r>
          </w:p>
          <w:p>
            <w:pPr>
              <w:numPr>
                <w:ilvl w:val="2"/>
                <w:numId w:val="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1-2: the UE monitors LP-WUS. If it receives a wake-up indication in a LP-WUS, it monitors the first PO after its reported wake-up delay.</w:t>
            </w:r>
          </w:p>
          <w:p>
            <w:pPr>
              <w:numPr>
                <w:ilvl w:val="0"/>
                <w:numId w:val="8"/>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2: gNB configures one or multiple offset values.</w:t>
            </w:r>
          </w:p>
          <w:p>
            <w:pPr>
              <w:numPr>
                <w:ilvl w:val="1"/>
                <w:numId w:val="8"/>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For the same PO, each offset corresponds to a LO.</w:t>
            </w:r>
          </w:p>
          <w:p>
            <w:pPr>
              <w:numPr>
                <w:ilvl w:val="2"/>
                <w:numId w:val="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This does not preclude the possibility that the same LO may correspond to different POs with different offset values.</w:t>
            </w:r>
          </w:p>
          <w:p>
            <w:pPr>
              <w:numPr>
                <w:ilvl w:val="1"/>
                <w:numId w:val="8"/>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pPr>
              <w:numPr>
                <w:ilvl w:val="2"/>
                <w:numId w:val="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This implies that the gNB needs to configure at least one offset value that is no less than the largest wake-up delay supported by the UEs.</w:t>
            </w:r>
          </w:p>
          <w:p>
            <w:pPr>
              <w:numPr>
                <w:ilvl w:val="2"/>
                <w:numId w:val="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exactly how to choose the offset</w:t>
            </w:r>
          </w:p>
          <w:p>
            <w:pPr>
              <w:numPr>
                <w:ilvl w:val="1"/>
                <w:numId w:val="8"/>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2B:</w:t>
            </w:r>
          </w:p>
          <w:p>
            <w:pPr>
              <w:numPr>
                <w:ilvl w:val="2"/>
                <w:numId w:val="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pPr>
              <w:numPr>
                <w:ilvl w:val="3"/>
                <w:numId w:val="8"/>
              </w:numPr>
              <w:snapToGrid/>
              <w:spacing w:before="0" w:beforeLines="-2147483648" w:after="0" w:line="240" w:lineRule="auto"/>
              <w:ind w:left="288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exactly how to choose the offset</w:t>
            </w:r>
          </w:p>
          <w:p>
            <w:pPr>
              <w:numPr>
                <w:ilvl w:val="2"/>
                <w:numId w:val="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Otherwise,</w:t>
            </w:r>
          </w:p>
          <w:p>
            <w:pPr>
              <w:numPr>
                <w:ilvl w:val="3"/>
                <w:numId w:val="8"/>
              </w:numPr>
              <w:snapToGrid/>
              <w:spacing w:before="0" w:beforeLines="-2147483648" w:after="0" w:line="240" w:lineRule="auto"/>
              <w:ind w:left="288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2B-1: the UE follows the legacy paging monitoring procedure.</w:t>
            </w:r>
          </w:p>
          <w:p>
            <w:pPr>
              <w:numPr>
                <w:ilvl w:val="3"/>
                <w:numId w:val="8"/>
              </w:numPr>
              <w:snapToGrid/>
              <w:spacing w:before="0" w:beforeLines="-2147483648" w:after="0" w:line="240" w:lineRule="auto"/>
              <w:ind w:left="288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2B-2: the UE monitors LP-WUS. If it receives a wake-up indication in a LP-WUS, it monitors the first PO after its reported wake-up delay.</w:t>
            </w:r>
          </w:p>
          <w:p>
            <w:pPr>
              <w:numPr>
                <w:ilvl w:val="4"/>
                <w:numId w:val="8"/>
              </w:numPr>
              <w:snapToGrid/>
              <w:spacing w:before="0" w:beforeLines="-2147483648" w:after="0" w:line="240" w:lineRule="auto"/>
              <w:ind w:left="360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exactly how to choose the offset</w:t>
            </w:r>
          </w:p>
          <w:p>
            <w:pPr>
              <w:numPr>
                <w:ilvl w:val="1"/>
                <w:numId w:val="8"/>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the UE shall monitor the LO associated with additional offset(s)</w:t>
            </w:r>
          </w:p>
          <w:p>
            <w:pPr>
              <w:tabs>
                <w:tab w:val="left" w:pos="1440"/>
              </w:tabs>
              <w:snapToGrid/>
              <w:spacing w:before="0" w:beforeLines="-2147483648" w:after="0" w:line="240" w:lineRule="auto"/>
              <w:jc w:val="left"/>
              <w:rPr>
                <w:rFonts w:ascii="Times" w:hAnsi="Times" w:eastAsia="Batang"/>
                <w:szCs w:val="20"/>
                <w:lang w:val="en-GB" w:eastAsia="en-US"/>
              </w:rPr>
            </w:pPr>
            <w:r>
              <w:rPr>
                <w:rFonts w:ascii="Times" w:hAnsi="Times" w:eastAsia="Batang"/>
                <w:szCs w:val="20"/>
                <w:lang w:val="en-GB" w:eastAsia="en-US"/>
              </w:rPr>
              <w:t>Note: The PO mentioned above refers to legacy PO configured for the UE.</w:t>
            </w:r>
          </w:p>
          <w:p>
            <w:pPr>
              <w:snapToGrid/>
              <w:spacing w:before="0" w:beforeLines="-2147483648" w:after="0" w:line="240" w:lineRule="auto"/>
              <w:jc w:val="left"/>
              <w:rPr>
                <w:rFonts w:ascii="Times" w:hAnsi="Times" w:eastAsia="Batang"/>
                <w:szCs w:val="24"/>
                <w:lang w:val="en-GB" w:eastAsia="en-US"/>
              </w:rPr>
            </w:pPr>
          </w:p>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At least the following codepoints are supported for LP-WUS:</w:t>
            </w:r>
          </w:p>
          <w:p>
            <w:pPr>
              <w:numPr>
                <w:ilvl w:val="0"/>
                <w:numId w:val="9"/>
              </w:numPr>
              <w:snapToGrid/>
              <w:spacing w:before="0" w:beforeLines="-2147483648" w:after="0" w:line="240" w:lineRule="auto"/>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One codepoint corresponding to each of the subgroups that can be indicated by LP-WUS</w:t>
            </w:r>
          </w:p>
          <w:p>
            <w:pPr>
              <w:numPr>
                <w:ilvl w:val="0"/>
                <w:numId w:val="9"/>
              </w:numPr>
              <w:snapToGrid/>
              <w:spacing w:before="0" w:beforeLines="-2147483648" w:after="0" w:line="240" w:lineRule="auto"/>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One codepoint corresponding to all the subgroups that can be indicated by LP-WUS</w:t>
            </w:r>
          </w:p>
          <w:p>
            <w:pPr>
              <w:numPr>
                <w:ilvl w:val="0"/>
                <w:numId w:val="9"/>
              </w:numPr>
              <w:snapToGrid/>
              <w:spacing w:before="0" w:beforeLines="-2147483648" w:after="0" w:line="240" w:lineRule="auto"/>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Additional codepoints</w:t>
            </w:r>
          </w:p>
          <w:p>
            <w:pPr>
              <w:snapToGrid/>
              <w:spacing w:before="0" w:beforeLines="-2147483648" w:after="0" w:line="240" w:lineRule="auto"/>
              <w:jc w:val="left"/>
              <w:rPr>
                <w:rFonts w:ascii="Times" w:hAnsi="Times" w:eastAsia="Batang"/>
                <w:szCs w:val="24"/>
                <w:lang w:val="en-GB" w:eastAsia="en-US"/>
              </w:rPr>
            </w:pPr>
          </w:p>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Support 3 candidate values for the wake-up delay capability a UE reports, two values for ultra-deep sleep state and one value for deep sleep state.</w:t>
            </w:r>
          </w:p>
          <w:p>
            <w:pPr>
              <w:numPr>
                <w:ilvl w:val="0"/>
                <w:numId w:val="10"/>
              </w:numPr>
              <w:snapToGrid/>
              <w:spacing w:before="0" w:beforeLines="-2147483648" w:after="0" w:line="240" w:lineRule="auto"/>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the values</w:t>
            </w:r>
          </w:p>
          <w:p>
            <w:pPr>
              <w:numPr>
                <w:ilvl w:val="0"/>
                <w:numId w:val="10"/>
              </w:numPr>
              <w:snapToGrid/>
              <w:spacing w:before="0" w:beforeLines="-2147483648" w:after="0" w:line="240" w:lineRule="auto"/>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Note: Ultra-deep sleep state and deep sleep state are mentioned above solely for the purpose of RAN1 discussions and it is not intended to be captured in specifications from RAN1 perspective</w:t>
            </w:r>
          </w:p>
          <w:p>
            <w:pPr>
              <w:snapToGrid/>
              <w:spacing w:before="0" w:beforeLines="-2147483648" w:after="0" w:line="240" w:lineRule="auto"/>
              <w:jc w:val="left"/>
              <w:rPr>
                <w:rFonts w:ascii="Times" w:hAnsi="Times" w:eastAsia="等线"/>
                <w:szCs w:val="24"/>
                <w:lang w:val="en-GB" w:eastAsia="ko-KR" w:bidi="ar"/>
              </w:rPr>
            </w:pPr>
          </w:p>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Each LP-WUS is QCLed with one SSB. Each LP-SS is QCLed with one SSB.</w:t>
            </w:r>
          </w:p>
          <w:p>
            <w:pPr>
              <w:numPr>
                <w:ilvl w:val="0"/>
                <w:numId w:val="11"/>
              </w:numPr>
              <w:snapToGrid/>
              <w:spacing w:before="0" w:beforeLines="-2147483648" w:after="0" w:line="240" w:lineRule="auto"/>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FFS QCL Type A or Type C and/or Type D</w:t>
            </w:r>
          </w:p>
          <w:p>
            <w:pPr>
              <w:numPr>
                <w:ilvl w:val="0"/>
                <w:numId w:val="11"/>
              </w:numPr>
              <w:snapToGrid/>
              <w:spacing w:before="0" w:beforeLines="-2147483648" w:after="0" w:line="240" w:lineRule="auto"/>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FFS implicit QCL determination or some signaling is required</w:t>
            </w:r>
          </w:p>
          <w:p>
            <w:pPr>
              <w:snapToGrid/>
              <w:spacing w:before="0" w:beforeLines="-2147483648" w:after="0" w:line="240" w:lineRule="auto"/>
              <w:jc w:val="left"/>
              <w:rPr>
                <w:rFonts w:ascii="Times" w:hAnsi="Times" w:eastAsia="等线"/>
                <w:szCs w:val="24"/>
                <w:lang w:val="en-US" w:eastAsia="ko-KR" w:bidi="ar"/>
              </w:rPr>
            </w:pPr>
          </w:p>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jc w:val="left"/>
              <w:rPr>
                <w:rFonts w:ascii="Times New Roman" w:hAnsi="Times New Roman" w:eastAsia="Times New Roman" w:cs="Times New Roman"/>
                <w:szCs w:val="20"/>
                <w:lang w:val="en-US" w:eastAsia="zh-CN" w:bidi="ar-SA"/>
              </w:rPr>
            </w:pPr>
            <w:r>
              <w:rPr>
                <w:rFonts w:ascii="Times New Roman" w:hAnsi="Times New Roman" w:eastAsia="Times New Roman" w:cs="Times New Roman"/>
                <w:szCs w:val="20"/>
                <w:lang w:val="en-US" w:eastAsia="zh-CN" w:bidi="ar-SA"/>
              </w:rPr>
              <w:t xml:space="preserve">The number of beams for LP-SS is the same as the number of beams for the LP-WUS MOs in an LO. </w:t>
            </w:r>
          </w:p>
          <w:p>
            <w:pPr>
              <w:snapToGrid/>
              <w:spacing w:before="0" w:beforeLines="-2147483648" w:after="0" w:line="240" w:lineRule="auto"/>
              <w:jc w:val="left"/>
              <w:rPr>
                <w:rFonts w:ascii="Times" w:hAnsi="Times" w:eastAsia="等线"/>
                <w:szCs w:val="24"/>
                <w:lang w:val="en-US" w:eastAsia="ko-KR" w:bidi="ar"/>
              </w:rPr>
            </w:pPr>
          </w:p>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jc w:val="left"/>
              <w:rPr>
                <w:rFonts w:ascii="Times New Roman" w:hAnsi="Times New Roman" w:eastAsia="等线" w:cs="Times New Roman"/>
                <w:szCs w:val="20"/>
                <w:lang w:val="en-US" w:eastAsia="zh-CN" w:bidi="ar-SA"/>
              </w:rPr>
            </w:pPr>
            <w:r>
              <w:rPr>
                <w:rFonts w:ascii="Times New Roman" w:hAnsi="Times New Roman" w:eastAsia="等线" w:cs="Times New Roman"/>
                <w:szCs w:val="20"/>
                <w:lang w:val="en-US" w:eastAsia="zh-CN" w:bidi="ar-SA"/>
              </w:rPr>
              <w:t>When K (K&gt;1) LP-WUS MOs are configured for each beam in an LO, down select between</w:t>
            </w:r>
          </w:p>
          <w:p>
            <w:pPr>
              <w:numPr>
                <w:ilvl w:val="0"/>
                <w:numId w:val="10"/>
              </w:numPr>
              <w:snapToGrid/>
              <w:spacing w:before="0" w:beforeLines="-2147483648" w:after="0" w:line="240" w:lineRule="auto"/>
              <w:ind w:left="720" w:hanging="360"/>
              <w:jc w:val="left"/>
              <w:rPr>
                <w:rFonts w:ascii="Times New Roman" w:hAnsi="Times New Roman" w:eastAsia="等线" w:cs="Times New Roman"/>
                <w:szCs w:val="20"/>
                <w:lang w:val="en-US" w:eastAsia="zh-CN" w:bidi="ar-SA"/>
              </w:rPr>
            </w:pPr>
            <w:r>
              <w:rPr>
                <w:rFonts w:ascii="Times New Roman" w:hAnsi="Times New Roman" w:eastAsia="等线" w:cs="Times New Roman"/>
                <w:szCs w:val="20"/>
                <w:lang w:val="en-US" w:eastAsia="zh-CN" w:bidi="ar-SA"/>
              </w:rPr>
              <w:t>Option A: K LP-WUS MOs for a beam are divided into M (M &gt;=1) groups of R LP-WUS MOs. A UE monitors all or some of the MO(s) within the K LP-WUS MOs.</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For each group of R LP-WUS MOs, the same LP-WUS information is transmitted.</w:t>
            </w:r>
          </w:p>
          <w:p>
            <w:pPr>
              <w:numPr>
                <w:ilvl w:val="2"/>
                <w:numId w:val="12"/>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how the same LP-WUS information is transmitted in the R LP-WUS MOs</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Different LP-WUS information can be transmitted in different groups of R LP-WUS MOs.</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M = 1 and M &gt; 1 is supported.</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detailed UE monitoring behavior</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R=1 or R&gt;= 1</w:t>
            </w:r>
          </w:p>
          <w:p>
            <w:pPr>
              <w:numPr>
                <w:ilvl w:val="0"/>
                <w:numId w:val="10"/>
              </w:numPr>
              <w:snapToGrid/>
              <w:spacing w:before="0" w:beforeLines="-2147483648" w:after="0" w:line="240" w:lineRule="auto"/>
              <w:ind w:left="720" w:hanging="360"/>
              <w:jc w:val="left"/>
              <w:rPr>
                <w:rFonts w:ascii="Times New Roman" w:hAnsi="Times New Roman" w:eastAsia="等线" w:cs="Times New Roman"/>
                <w:szCs w:val="20"/>
                <w:lang w:val="en-US" w:eastAsia="zh-CN" w:bidi="ar-SA"/>
              </w:rPr>
            </w:pPr>
            <w:r>
              <w:rPr>
                <w:rFonts w:ascii="Times New Roman" w:hAnsi="Times New Roman" w:eastAsia="等线" w:cs="Times New Roman"/>
                <w:szCs w:val="20"/>
                <w:lang w:val="en-US" w:eastAsia="zh-CN" w:bidi="ar-SA"/>
              </w:rPr>
              <w:t>Option B: K LP-WUS MOs for a beam are divided into G (G &gt;= 1) groups of R*M (M &gt;= 1) LP-WUS MOs. A UE monitors all or some of the MO(s) within one group of R*M LP-WUS MOs based on its subgroup ID.</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Each group of R*M LP-WUS MOs is further divided into M groups of R LP-WUS MOs.</w:t>
            </w:r>
          </w:p>
          <w:p>
            <w:pPr>
              <w:numPr>
                <w:ilvl w:val="2"/>
                <w:numId w:val="12"/>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For each group of R LP-WUS MOs, the same LP-WUS information is transmitted.</w:t>
            </w:r>
          </w:p>
          <w:p>
            <w:pPr>
              <w:numPr>
                <w:ilvl w:val="3"/>
                <w:numId w:val="12"/>
              </w:numPr>
              <w:snapToGrid/>
              <w:spacing w:before="0" w:beforeLines="-2147483648" w:after="0" w:line="240" w:lineRule="auto"/>
              <w:ind w:left="288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how the same LP-WUS information is transmitted in the R LP-WUS MOs</w:t>
            </w:r>
          </w:p>
          <w:p>
            <w:pPr>
              <w:numPr>
                <w:ilvl w:val="2"/>
                <w:numId w:val="12"/>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Different LP-WUS information can be transmitted in different groups of R LP-WUS MOs.</w:t>
            </w:r>
          </w:p>
          <w:p>
            <w:pPr>
              <w:numPr>
                <w:ilvl w:val="2"/>
                <w:numId w:val="12"/>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detailed UE monitoring behavior</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M = 1 and M &gt; 1 is supported.</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R=1 or R&gt;=1</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Note: this achieves the same purpose as “Option 3: UEs monitoring the same PO are divided into multiple sets of subgroups, with UEs within each set of subgroups monitoring the same LO.”</w:t>
            </w:r>
          </w:p>
          <w:p>
            <w:pPr>
              <w:snapToGrid/>
              <w:spacing w:before="0" w:beforeLines="-2147483648" w:after="0" w:line="240" w:lineRule="auto"/>
              <w:jc w:val="left"/>
              <w:rPr>
                <w:rFonts w:ascii="Times" w:hAnsi="Times" w:eastAsia="Batang"/>
                <w:szCs w:val="24"/>
                <w:lang w:val="en-GB" w:eastAsia="en-US"/>
              </w:rPr>
            </w:pPr>
          </w:p>
          <w:p>
            <w:pPr>
              <w:snapToGrid/>
              <w:spacing w:before="0" w:beforeLines="-2147483648" w:after="0" w:line="240" w:lineRule="auto"/>
              <w:jc w:val="both"/>
              <w:rPr>
                <w:rFonts w:ascii="Times" w:hAnsi="Times" w:eastAsia="Batang" w:cs="Times New Roman"/>
                <w:b/>
                <w:bCs/>
                <w:szCs w:val="24"/>
                <w:lang w:val="en-GB" w:eastAsia="zh-CN" w:bidi="ar-SA"/>
              </w:rPr>
            </w:pPr>
            <w:r>
              <w:rPr>
                <w:rFonts w:ascii="Times" w:hAnsi="Times" w:eastAsia="Batang" w:cs="Times New Roman"/>
                <w:b/>
                <w:bCs/>
                <w:szCs w:val="24"/>
                <w:highlight w:val="darkYellow"/>
                <w:lang w:val="en-GB" w:eastAsia="zh-CN" w:bidi="ar-SA"/>
              </w:rPr>
              <w:t>Working Assumption</w:t>
            </w:r>
          </w:p>
          <w:p>
            <w:pPr>
              <w:snapToGrid/>
              <w:spacing w:before="0" w:beforeLines="-2147483648" w:after="0" w:line="240" w:lineRule="auto"/>
              <w:jc w:val="both"/>
              <w:rPr>
                <w:szCs w:val="20"/>
              </w:rPr>
            </w:pPr>
            <w:r>
              <w:rPr>
                <w:rFonts w:ascii="Times" w:hAnsi="Times" w:eastAsia="Batang" w:cs="Times New Roman"/>
                <w:szCs w:val="24"/>
                <w:lang w:val="en-GB" w:eastAsia="zh-CN" w:bidi="ar-SA"/>
              </w:rPr>
              <w:t>The maximum number of subgroups per PO supported in Rel-19 is 32.</w:t>
            </w:r>
          </w:p>
        </w:tc>
      </w:tr>
    </w:tbl>
    <w:p>
      <w:pPr>
        <w:spacing w:before="120" w:afterLines="50" w:line="276" w:lineRule="auto"/>
        <w:rPr>
          <w:rFonts w:hint="eastAsia" w:eastAsia="宋体"/>
          <w:b/>
          <w:i/>
          <w:iCs/>
          <w:lang w:val="en-US" w:eastAsia="zh-CN" w:bidi="ar"/>
        </w:rPr>
      </w:pPr>
      <w:r>
        <w:rPr>
          <w:szCs w:val="20"/>
        </w:rPr>
        <w:t xml:space="preserve">In this contribution, </w:t>
      </w:r>
      <w:bookmarkStart w:id="7" w:name="OLE_LINK22"/>
      <w:r>
        <w:rPr>
          <w:rFonts w:hint="eastAsia"/>
          <w:szCs w:val="20"/>
        </w:rPr>
        <w:t>open issues on</w:t>
      </w:r>
      <w:bookmarkStart w:id="8" w:name="OLE_LINK1"/>
      <w:r>
        <w:rPr>
          <w:rFonts w:hint="eastAsia"/>
          <w:szCs w:val="20"/>
        </w:rPr>
        <w:t xml:space="preserve"> LP-WUS operation in IDLE/INACTIVE mode</w:t>
      </w:r>
      <w:r>
        <w:rPr>
          <w:szCs w:val="20"/>
        </w:rPr>
        <w:t xml:space="preserve"> </w:t>
      </w:r>
      <w:bookmarkEnd w:id="8"/>
      <w:r>
        <w:rPr>
          <w:szCs w:val="20"/>
        </w:rPr>
        <w:t>are discussed</w:t>
      </w:r>
      <w:r>
        <w:rPr>
          <w:rFonts w:hint="eastAsia"/>
          <w:szCs w:val="20"/>
        </w:rPr>
        <w:t>.</w:t>
      </w:r>
      <w:bookmarkEnd w:id="7"/>
      <w:bookmarkStart w:id="9" w:name="OLE_LINK5"/>
      <w:r>
        <w:rPr>
          <w:rFonts w:hint="eastAsia"/>
          <w:szCs w:val="20"/>
          <w:lang w:val="en-US" w:eastAsia="zh-CN"/>
        </w:rPr>
        <w:t xml:space="preserve"> </w:t>
      </w:r>
    </w:p>
    <w:p>
      <w:pPr>
        <w:pStyle w:val="3"/>
        <w:spacing w:before="120"/>
        <w:rPr>
          <w:lang w:val="en-US"/>
        </w:rPr>
      </w:pPr>
      <w:bookmarkStart w:id="10" w:name="OLE_LINK20"/>
      <w:r>
        <w:rPr>
          <w:rFonts w:hint="eastAsia"/>
          <w:lang w:val="en-US" w:eastAsia="zh-CN"/>
        </w:rPr>
        <w:t>Entry</w:t>
      </w:r>
      <w:r>
        <w:rPr>
          <w:rFonts w:hint="eastAsia"/>
          <w:lang w:val="en-US"/>
        </w:rPr>
        <w:t>/</w:t>
      </w:r>
      <w:bookmarkEnd w:id="10"/>
      <w:r>
        <w:rPr>
          <w:rFonts w:hint="eastAsia"/>
          <w:lang w:val="en-US" w:eastAsia="zh-CN"/>
        </w:rPr>
        <w:t>exit for LP-WUS monitoring</w:t>
      </w:r>
    </w:p>
    <w:p>
      <w:pPr>
        <w:spacing w:before="120" w:beforeLines="0" w:line="276" w:lineRule="auto"/>
        <w:rPr>
          <w:rFonts w:hint="eastAsia" w:cs="Times"/>
        </w:rPr>
      </w:pPr>
      <w:r>
        <w:rPr>
          <w:rFonts w:hint="eastAsia" w:cs="Malgun Gothic"/>
          <w:lang w:bidi="ar"/>
        </w:rPr>
        <w:t xml:space="preserve">For LP-WUS in IDLE/INACTIVE mode, regarding </w:t>
      </w:r>
      <w:r>
        <w:rPr>
          <w:rFonts w:hint="eastAsia" w:cs="Times"/>
        </w:rPr>
        <w:t>a</w:t>
      </w:r>
      <w:r>
        <w:rPr>
          <w:rFonts w:cs="Times"/>
        </w:rPr>
        <w:t>ctivation and deactivation of LP-WUS monitoring by LP-WUR for a UE</w:t>
      </w:r>
      <w:r>
        <w:rPr>
          <w:rFonts w:hint="eastAsia" w:cs="Times"/>
        </w:rPr>
        <w:t>, there remains a working assumption for confirmation and some other details may also requires clarification.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Malgun Gothic"/>
                <w:b/>
                <w:bCs/>
                <w:szCs w:val="20"/>
                <w:highlight w:val="darkYellow"/>
                <w:lang w:val="en-GB" w:eastAsia="ko-KR"/>
              </w:rPr>
            </w:pPr>
            <w:r>
              <w:rPr>
                <w:rFonts w:ascii="Times" w:hAnsi="Times" w:eastAsia="Malgun Gothic"/>
                <w:b/>
                <w:bCs/>
                <w:szCs w:val="20"/>
                <w:highlight w:val="darkYellow"/>
                <w:lang w:val="en-GB" w:eastAsia="ko-KR"/>
              </w:rPr>
              <w:t>Working Assumption</w:t>
            </w:r>
          </w:p>
          <w:p>
            <w:pPr>
              <w:snapToGrid/>
              <w:spacing w:before="0" w:beforeLines="-2147483648" w:after="0" w:line="240" w:lineRule="auto"/>
              <w:jc w:val="left"/>
              <w:rPr>
                <w:rFonts w:ascii="Times" w:hAnsi="Times" w:eastAsia="Malgun Gothic"/>
                <w:szCs w:val="20"/>
                <w:lang w:val="en-GB" w:eastAsia="ko-KR"/>
              </w:rPr>
            </w:pPr>
            <w:r>
              <w:rPr>
                <w:rFonts w:ascii="Times" w:hAnsi="Times" w:eastAsia="Malgun Gothic"/>
                <w:szCs w:val="20"/>
                <w:lang w:val="en-GB" w:eastAsia="ko-KR"/>
              </w:rPr>
              <w:t>From RAN1 perspective, for the entry/exit conditions for LP-WUS monitoring in IDLE/inactive mode,</w:t>
            </w:r>
          </w:p>
          <w:p>
            <w:pPr>
              <w:numPr>
                <w:ilvl w:val="0"/>
                <w:numId w:val="13"/>
              </w:numPr>
              <w:snapToGrid/>
              <w:spacing w:before="0" w:beforeLines="-2147483648" w:after="0" w:line="240" w:lineRule="auto"/>
              <w:ind w:left="72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The UE may start LP-WUS monitoring if</w:t>
            </w:r>
          </w:p>
          <w:p>
            <w:pPr>
              <w:numPr>
                <w:ilvl w:val="1"/>
                <w:numId w:val="13"/>
              </w:numPr>
              <w:snapToGrid/>
              <w:spacing w:before="0" w:beforeLines="-2147483648" w:after="0" w:line="240" w:lineRule="auto"/>
              <w:ind w:left="144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the serving cell measurement performed by the MR is above entry threshold</w:t>
            </w:r>
            <w:r>
              <w:rPr>
                <w:rFonts w:ascii="Times New Roman" w:hAnsi="Times New Roman" w:eastAsia="Batang" w:cs="Times New Roman"/>
                <w:color w:val="FF0000"/>
                <w:szCs w:val="24"/>
                <w:lang w:val="en-GB" w:eastAsia="ko-KR" w:bidi="ar-SA"/>
              </w:rPr>
              <w:t xml:space="preserve">(s), if </w:t>
            </w:r>
            <w:r>
              <w:rPr>
                <w:rFonts w:ascii="Times New Roman" w:hAnsi="Times New Roman" w:eastAsia="Batang" w:cs="Times New Roman"/>
                <w:szCs w:val="24"/>
                <w:lang w:val="en-GB" w:eastAsia="ko-KR" w:bidi="ar-SA"/>
              </w:rPr>
              <w:t>configured by the gNB</w:t>
            </w:r>
            <w:r>
              <w:rPr>
                <w:rFonts w:ascii="Times New Roman" w:hAnsi="Times New Roman" w:eastAsia="Batang" w:cs="Times New Roman"/>
                <w:strike/>
                <w:color w:val="FF0000"/>
                <w:szCs w:val="24"/>
                <w:lang w:val="en-GB" w:eastAsia="ko-KR" w:bidi="ar-SA"/>
              </w:rPr>
              <w:t>, and/or</w:t>
            </w:r>
          </w:p>
          <w:p>
            <w:pPr>
              <w:numPr>
                <w:ilvl w:val="1"/>
                <w:numId w:val="13"/>
              </w:numPr>
              <w:snapToGrid/>
              <w:spacing w:before="0" w:beforeLines="-2147483648" w:after="0" w:line="240" w:lineRule="auto"/>
              <w:ind w:left="144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FFS other conditions</w:t>
            </w:r>
            <w:r>
              <w:rPr>
                <w:rFonts w:ascii="Times New Roman" w:hAnsi="Times New Roman" w:eastAsia="Batang" w:cs="Times New Roman"/>
                <w:color w:val="FF0000"/>
                <w:szCs w:val="24"/>
                <w:lang w:val="en-GB" w:eastAsia="ko-KR" w:bidi="ar-SA"/>
              </w:rPr>
              <w:t>, and if any, whether all or one or some of the conditions need to be satisfied</w:t>
            </w:r>
          </w:p>
          <w:p>
            <w:pPr>
              <w:numPr>
                <w:ilvl w:val="0"/>
                <w:numId w:val="13"/>
              </w:numPr>
              <w:snapToGrid/>
              <w:spacing w:before="0" w:beforeLines="-2147483648" w:after="0" w:line="240" w:lineRule="auto"/>
              <w:ind w:left="72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 xml:space="preserve">If UE starts LP-WUS monitoring, it may stop the legacy PO monitoring </w:t>
            </w:r>
            <w:r>
              <w:rPr>
                <w:rFonts w:ascii="Times New Roman" w:hAnsi="Times New Roman" w:eastAsia="Batang" w:cs="Times New Roman"/>
                <w:color w:val="FF0000"/>
                <w:szCs w:val="24"/>
                <w:lang w:val="en-GB" w:eastAsia="ko-KR" w:bidi="ar-SA"/>
              </w:rPr>
              <w:t>before UE receives LP-WUS indicating wake-up</w:t>
            </w:r>
          </w:p>
          <w:p>
            <w:pPr>
              <w:numPr>
                <w:ilvl w:val="0"/>
                <w:numId w:val="13"/>
              </w:numPr>
              <w:snapToGrid/>
              <w:spacing w:before="0" w:beforeLines="-2147483648" w:after="0" w:line="240" w:lineRule="auto"/>
              <w:ind w:left="72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The UE monitors the legacy PO (and may monitor PEI) and may stop LP-WUS monitoring if</w:t>
            </w:r>
          </w:p>
          <w:p>
            <w:pPr>
              <w:numPr>
                <w:ilvl w:val="1"/>
                <w:numId w:val="13"/>
              </w:numPr>
              <w:snapToGrid/>
              <w:spacing w:before="0" w:beforeLines="-2147483648" w:after="0" w:line="240" w:lineRule="auto"/>
              <w:ind w:left="144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the serving cell measurement performed by the LR is below exit threshold</w:t>
            </w:r>
            <w:r>
              <w:rPr>
                <w:rFonts w:ascii="Times New Roman" w:hAnsi="Times New Roman" w:eastAsia="Batang" w:cs="Times New Roman"/>
                <w:color w:val="FF0000"/>
                <w:szCs w:val="24"/>
                <w:lang w:val="en-GB" w:eastAsia="ko-KR" w:bidi="ar-SA"/>
              </w:rPr>
              <w:t xml:space="preserve">(s), if </w:t>
            </w:r>
            <w:r>
              <w:rPr>
                <w:rFonts w:ascii="Times New Roman" w:hAnsi="Times New Roman" w:eastAsia="Batang" w:cs="Times New Roman"/>
                <w:szCs w:val="24"/>
                <w:lang w:val="en-GB" w:eastAsia="ko-KR" w:bidi="ar-SA"/>
              </w:rPr>
              <w:t>configured by the gNB</w:t>
            </w:r>
            <w:r>
              <w:rPr>
                <w:rFonts w:ascii="Times New Roman" w:hAnsi="Times New Roman" w:eastAsia="Batang" w:cs="Times New Roman"/>
                <w:strike/>
                <w:color w:val="FF0000"/>
                <w:szCs w:val="24"/>
                <w:lang w:val="en-GB" w:eastAsia="ko-KR" w:bidi="ar-SA"/>
              </w:rPr>
              <w:t>, and/or</w:t>
            </w:r>
          </w:p>
          <w:p>
            <w:pPr>
              <w:numPr>
                <w:ilvl w:val="1"/>
                <w:numId w:val="13"/>
              </w:numPr>
              <w:snapToGrid/>
              <w:spacing w:before="0" w:beforeLines="-2147483648" w:after="0" w:line="240" w:lineRule="auto"/>
              <w:ind w:left="144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FFS other conditions</w:t>
            </w:r>
            <w:r>
              <w:rPr>
                <w:rFonts w:ascii="Times New Roman" w:hAnsi="Times New Roman" w:eastAsia="Batang" w:cs="Times New Roman"/>
                <w:color w:val="FF0000"/>
                <w:szCs w:val="24"/>
                <w:lang w:val="en-GB" w:eastAsia="ko-KR" w:bidi="ar-SA"/>
              </w:rPr>
              <w:t>, and if any, whether all or one or some of the conditions need to be satisfied</w:t>
            </w:r>
          </w:p>
          <w:p>
            <w:pPr>
              <w:numPr>
                <w:ilvl w:val="0"/>
                <w:numId w:val="13"/>
              </w:numPr>
              <w:snapToGrid/>
              <w:spacing w:before="0" w:beforeLines="-2147483648" w:after="0" w:line="240" w:lineRule="auto"/>
              <w:ind w:left="72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FFS the serving cell measurement metrics</w:t>
            </w:r>
          </w:p>
          <w:p>
            <w:pPr>
              <w:numPr>
                <w:ilvl w:val="0"/>
                <w:numId w:val="13"/>
              </w:numPr>
              <w:snapToGrid/>
              <w:spacing w:before="0" w:beforeLines="-2147483648" w:after="0" w:line="240" w:lineRule="auto"/>
              <w:ind w:left="72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GB" w:eastAsia="ko-KR" w:bidi="ar-SA"/>
              </w:rPr>
              <w:t>The entry/exit thresholds can be configured separately for different types of LR</w:t>
            </w:r>
          </w:p>
          <w:p>
            <w:pPr>
              <w:numPr>
                <w:ilvl w:val="0"/>
                <w:numId w:val="13"/>
              </w:numPr>
              <w:snapToGrid/>
              <w:spacing w:before="0" w:beforeLines="-2147483648" w:after="0" w:line="240" w:lineRule="auto"/>
              <w:ind w:left="720" w:leftChars="0" w:hanging="360"/>
              <w:jc w:val="left"/>
              <w:rPr>
                <w:rFonts w:ascii="Times New Roman" w:hAnsi="Times New Roman" w:eastAsia="Batang" w:cs="Times New Roman"/>
                <w:szCs w:val="24"/>
                <w:lang w:val="en-GB" w:eastAsia="ko-KR" w:bidi="ar-SA"/>
              </w:rPr>
            </w:pPr>
            <w:r>
              <w:rPr>
                <w:rFonts w:ascii="Times New Roman" w:hAnsi="Times New Roman" w:eastAsia="Batang" w:cs="Times New Roman"/>
                <w:szCs w:val="24"/>
                <w:lang w:val="en-US" w:eastAsia="ko-KR" w:bidi="ar-SA"/>
              </w:rPr>
              <w:t>It is left to RAN2 discussion</w:t>
            </w:r>
            <w:r>
              <w:rPr>
                <w:rFonts w:ascii="Times New Roman" w:hAnsi="Times New Roman" w:eastAsia="Batang" w:cs="Times New Roman"/>
                <w:szCs w:val="24"/>
                <w:lang w:val="en-GB" w:eastAsia="ko-KR" w:bidi="ar-SA"/>
              </w:rPr>
              <w:t xml:space="preserve"> whether </w:t>
            </w:r>
            <w:r>
              <w:rPr>
                <w:rFonts w:ascii="Times New Roman" w:hAnsi="Times New Roman" w:eastAsia="Batang" w:cs="Times New Roman"/>
                <w:szCs w:val="24"/>
                <w:lang w:val="en-US" w:eastAsia="ko-KR" w:bidi="ar-SA"/>
              </w:rPr>
              <w:t xml:space="preserve">the threshold(s) are always configured by the gNB. </w:t>
            </w:r>
          </w:p>
          <w:p>
            <w:pPr>
              <w:numPr>
                <w:ilvl w:val="0"/>
                <w:numId w:val="13"/>
              </w:numPr>
              <w:snapToGrid/>
              <w:spacing w:before="0" w:beforeLines="-2147483648" w:after="0" w:line="240" w:lineRule="auto"/>
              <w:ind w:left="720" w:leftChars="0" w:hanging="360"/>
              <w:jc w:val="left"/>
              <w:rPr>
                <w:rFonts w:hint="eastAsia" w:cs="Times"/>
                <w:vertAlign w:val="baseline"/>
              </w:rPr>
            </w:pPr>
            <w:r>
              <w:rPr>
                <w:rFonts w:ascii="Times New Roman" w:hAnsi="Times New Roman" w:eastAsia="Batang" w:cs="Times New Roman"/>
                <w:szCs w:val="24"/>
                <w:lang w:val="en-GB" w:eastAsia="ko-KR" w:bidi="ar-SA"/>
              </w:rPr>
              <w:t>Note: This may be revisited based on the RAN2/RAN4 discussion.</w:t>
            </w:r>
          </w:p>
        </w:tc>
      </w:tr>
    </w:tbl>
    <w:p>
      <w:pPr>
        <w:spacing w:before="120" w:beforeLines="0" w:line="276" w:lineRule="auto"/>
        <w:rPr>
          <w:rFonts w:hint="eastAsia"/>
          <w:szCs w:val="24"/>
          <w:lang w:val="en-US" w:eastAsia="zh-CN"/>
        </w:rPr>
      </w:pPr>
      <w:r>
        <w:rPr>
          <w:rFonts w:hint="eastAsia"/>
          <w:szCs w:val="24"/>
        </w:rPr>
        <w:t xml:space="preserve">Additionally, for the exit condition, </w:t>
      </w:r>
      <w:r>
        <w:rPr>
          <w:rFonts w:hint="eastAsia"/>
          <w:szCs w:val="24"/>
          <w:lang w:val="en-US" w:eastAsia="zh-CN"/>
        </w:rPr>
        <w:t>if the LP-WUS can not be received for a long time, but the LP-SS, especially for SSS, measurement still satisfies the requirement, the following situations may happen</w:t>
      </w:r>
    </w:p>
    <w:p>
      <w:pPr>
        <w:numPr>
          <w:ilvl w:val="0"/>
          <w:numId w:val="14"/>
        </w:numPr>
        <w:spacing w:before="120" w:beforeLines="0" w:line="276" w:lineRule="auto"/>
        <w:ind w:left="420" w:leftChars="0" w:hanging="420" w:firstLineChars="0"/>
        <w:rPr>
          <w:rFonts w:hint="default"/>
          <w:szCs w:val="24"/>
          <w:lang w:val="en-US" w:eastAsia="zh-CN"/>
        </w:rPr>
      </w:pPr>
      <w:r>
        <w:rPr>
          <w:rFonts w:hint="eastAsia"/>
          <w:szCs w:val="24"/>
          <w:lang w:val="en-US" w:eastAsia="zh-CN"/>
        </w:rPr>
        <w:t>The NW has updated the configuration, e.g., threshold, but the UE is in LP-WUS mode and did not receive the SIB update, or the LP-WUS wake-up indication can not reach every UE.</w:t>
      </w:r>
    </w:p>
    <w:p>
      <w:pPr>
        <w:numPr>
          <w:ilvl w:val="0"/>
          <w:numId w:val="14"/>
        </w:numPr>
        <w:spacing w:before="120" w:beforeLines="0" w:line="276" w:lineRule="auto"/>
        <w:ind w:left="420" w:leftChars="0" w:hanging="420" w:firstLineChars="0"/>
        <w:rPr>
          <w:rFonts w:hint="default"/>
          <w:szCs w:val="24"/>
          <w:lang w:val="en-US" w:eastAsia="zh-CN"/>
        </w:rPr>
      </w:pPr>
      <w:r>
        <w:rPr>
          <w:rFonts w:hint="eastAsia"/>
          <w:szCs w:val="24"/>
          <w:lang w:val="en-US" w:eastAsia="zh-CN"/>
        </w:rPr>
        <w:t>The measurement threshold for SSS/LP-SS can not match the LP-WUS coverage due to the measurement uncertainty especially when the SSS and LP-WUS is not in the same frequency location.</w:t>
      </w:r>
    </w:p>
    <w:p>
      <w:pPr>
        <w:numPr>
          <w:ilvl w:val="0"/>
          <w:numId w:val="0"/>
        </w:numPr>
        <w:spacing w:before="120" w:beforeLines="0" w:line="276" w:lineRule="auto"/>
        <w:ind w:leftChars="0"/>
        <w:rPr>
          <w:rFonts w:hint="default"/>
          <w:szCs w:val="24"/>
          <w:lang w:val="en-US" w:eastAsia="zh-CN"/>
        </w:rPr>
      </w:pPr>
      <w:r>
        <w:rPr>
          <w:rFonts w:hint="eastAsia"/>
          <w:szCs w:val="24"/>
          <w:lang w:val="en-US" w:eastAsia="zh-CN"/>
        </w:rPr>
        <w:t>Therefore, to solve above issue, the UE shall fallback to legacy PO monitoring if LP-WUS has not been received for a long time.</w:t>
      </w:r>
    </w:p>
    <w:p>
      <w:pPr>
        <w:numPr>
          <w:ilvl w:val="255"/>
          <w:numId w:val="0"/>
        </w:numPr>
        <w:spacing w:before="120" w:beforeLines="0" w:line="276" w:lineRule="auto"/>
        <w:rPr>
          <w:rFonts w:hint="default" w:eastAsia="宋体"/>
          <w:b/>
          <w:bCs/>
          <w:i/>
          <w:iCs/>
          <w:szCs w:val="24"/>
          <w:lang w:val="en-US" w:eastAsia="zh-CN"/>
        </w:rPr>
      </w:pPr>
      <w:r>
        <w:rPr>
          <w:rFonts w:hint="eastAsia" w:cs="Times"/>
          <w:b/>
          <w:bCs/>
          <w:i/>
          <w:iCs/>
        </w:rPr>
        <w:t xml:space="preserve">Proposal </w:t>
      </w:r>
      <w:r>
        <w:rPr>
          <w:rFonts w:hint="eastAsia" w:cs="Times"/>
          <w:b/>
          <w:bCs/>
          <w:i/>
          <w:iCs/>
          <w:lang w:val="en-US" w:eastAsia="zh-CN"/>
        </w:rPr>
        <w:t>1</w:t>
      </w:r>
      <w:r>
        <w:rPr>
          <w:rFonts w:hint="eastAsia" w:cs="Times"/>
          <w:b/>
          <w:bCs/>
          <w:i/>
          <w:iCs/>
        </w:rPr>
        <w:t>:</w:t>
      </w:r>
      <w:r>
        <w:rPr>
          <w:rFonts w:eastAsia="Batang"/>
          <w:b/>
          <w:bCs/>
          <w:i/>
          <w:iCs/>
          <w:szCs w:val="24"/>
          <w:lang w:val="en-GB" w:eastAsia="ko-KR"/>
        </w:rPr>
        <w:t xml:space="preserve"> </w:t>
      </w:r>
      <w:r>
        <w:rPr>
          <w:rFonts w:hint="eastAsia" w:eastAsia="宋体"/>
          <w:b/>
          <w:bCs/>
          <w:i/>
          <w:iCs/>
          <w:szCs w:val="24"/>
          <w:lang w:val="en-US" w:eastAsia="zh-CN"/>
        </w:rPr>
        <w:t xml:space="preserve">Consider another exit condition in the WA, </w:t>
      </w:r>
      <w:r>
        <w:rPr>
          <w:rFonts w:hint="default" w:eastAsia="Batang"/>
          <w:b/>
          <w:bCs/>
          <w:i/>
          <w:iCs/>
          <w:szCs w:val="24"/>
          <w:lang w:val="en-US" w:eastAsia="ko-KR"/>
        </w:rPr>
        <w:t>UE monitors the legacy PO (and may monitor PEI) and may stop LP-WUS monitoring if</w:t>
      </w:r>
    </w:p>
    <w:p>
      <w:pPr>
        <w:numPr>
          <w:ilvl w:val="0"/>
          <w:numId w:val="13"/>
        </w:numPr>
        <w:spacing w:before="0" w:beforeLines="0" w:line="240" w:lineRule="auto"/>
        <w:rPr>
          <w:rFonts w:cs="Times"/>
          <w:i/>
          <w:iCs/>
        </w:rPr>
      </w:pPr>
      <w:r>
        <w:rPr>
          <w:rFonts w:hint="eastAsia"/>
          <w:b/>
          <w:bCs/>
          <w:i/>
          <w:iCs/>
          <w:szCs w:val="24"/>
        </w:rPr>
        <w:t>The UE has not received LP-WUS for a long time</w:t>
      </w:r>
    </w:p>
    <w:p>
      <w:pPr>
        <w:pStyle w:val="3"/>
        <w:spacing w:before="120" w:beforeLines="0" w:line="240" w:lineRule="auto"/>
        <w:rPr>
          <w:rFonts w:hint="default" w:ascii="Arial" w:hAnsi="Arial" w:eastAsia="黑体"/>
          <w:b/>
          <w:bCs/>
          <w:sz w:val="30"/>
          <w:szCs w:val="30"/>
          <w:lang w:val="en-US" w:eastAsia="zh-CN"/>
        </w:rPr>
      </w:pPr>
      <w:r>
        <w:rPr>
          <w:rFonts w:hint="eastAsia"/>
          <w:b/>
          <w:bCs/>
          <w:sz w:val="30"/>
          <w:szCs w:val="30"/>
          <w:lang w:val="en-US" w:eastAsia="zh-CN"/>
        </w:rPr>
        <w:t>RRM measurement</w:t>
      </w:r>
    </w:p>
    <w:p>
      <w:pPr>
        <w:bidi w:val="0"/>
        <w:rPr>
          <w:rFonts w:hint="default"/>
          <w:lang w:val="en-US" w:eastAsia="zh-CN"/>
        </w:rPr>
      </w:pPr>
      <w:r>
        <w:rPr>
          <w:rFonts w:hint="eastAsia"/>
          <w:lang w:val="en-US" w:eastAsia="zh-CN"/>
        </w:rPr>
        <w:t>In RAN1 117 meeting, we have the following WA</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rFonts w:eastAsia="等线"/>
                <w:b/>
                <w:bCs/>
                <w:lang w:eastAsia="zh-CN" w:bidi="ar"/>
              </w:rPr>
            </w:pPr>
            <w:r>
              <w:rPr>
                <w:rFonts w:eastAsia="等线"/>
                <w:b/>
                <w:bCs/>
                <w:highlight w:val="darkYellow"/>
                <w:lang w:eastAsia="zh-CN" w:bidi="ar"/>
              </w:rPr>
              <w:t>Working Assumption</w:t>
            </w:r>
          </w:p>
          <w:p>
            <w:pPr>
              <w:rPr>
                <w:szCs w:val="20"/>
              </w:rPr>
            </w:pPr>
            <w:r>
              <w:rPr>
                <w:szCs w:val="20"/>
              </w:rPr>
              <w:t>From RAN1 perspective, for the RRM measurement metrics based on SSS for OFDM-based LP-WUR, use the same definition of SS-RSRP and SS-RSRQ for LP-SSS-RSRP and LP-SSS-RSRQ, respectively.</w:t>
            </w:r>
          </w:p>
          <w:p>
            <w:pPr>
              <w:numPr>
                <w:ilvl w:val="0"/>
                <w:numId w:val="15"/>
              </w:numPr>
              <w:ind w:left="720" w:leftChars="0" w:hanging="360"/>
              <w:rPr>
                <w:rFonts w:ascii="Times" w:hAnsi="Times" w:eastAsia="Batang" w:cs="Times New Roman"/>
                <w:szCs w:val="20"/>
                <w:lang w:val="en-GB" w:eastAsia="zh-CN" w:bidi="ar-SA"/>
              </w:rPr>
            </w:pPr>
            <w:r>
              <w:rPr>
                <w:rFonts w:hint="eastAsia" w:ascii="Times" w:hAnsi="Times" w:eastAsia="Batang" w:cs="Times New Roman"/>
                <w:szCs w:val="20"/>
                <w:lang w:val="en-GB" w:eastAsia="ko-KR" w:bidi="ar-SA"/>
              </w:rPr>
              <w:t>A</w:t>
            </w:r>
            <w:r>
              <w:rPr>
                <w:rFonts w:ascii="Times" w:hAnsi="Times" w:eastAsia="Batang" w:cs="Times New Roman"/>
                <w:szCs w:val="20"/>
                <w:lang w:val="en-GB" w:eastAsia="ko-KR" w:bidi="ar-SA"/>
              </w:rPr>
              <w:t xml:space="preserve">bove is applicable for both </w:t>
            </w:r>
            <w:r>
              <w:rPr>
                <w:rFonts w:ascii="Times" w:hAnsi="Times" w:eastAsia="Batang" w:cs="Times New Roman"/>
                <w:szCs w:val="20"/>
                <w:lang w:val="en-GB" w:eastAsia="zh-CN" w:bidi="ar-SA"/>
              </w:rPr>
              <w:t>time-domain processing or frequency-domain processing</w:t>
            </w:r>
          </w:p>
          <w:p>
            <w:pPr>
              <w:numPr>
                <w:ilvl w:val="0"/>
                <w:numId w:val="15"/>
              </w:numPr>
              <w:ind w:left="720" w:leftChars="0" w:hanging="360"/>
              <w:rPr>
                <w:rFonts w:hint="default"/>
                <w:vertAlign w:val="baseline"/>
                <w:lang w:val="en-US" w:eastAsia="zh-CN"/>
              </w:rPr>
            </w:pPr>
            <w:r>
              <w:rPr>
                <w:rFonts w:hint="eastAsia" w:ascii="Times" w:hAnsi="Times" w:eastAsia="Batang" w:cs="Times New Roman"/>
                <w:szCs w:val="24"/>
                <w:lang w:val="en-GB" w:eastAsia="zh-CN" w:bidi="ar-SA"/>
              </w:rPr>
              <w:t>A</w:t>
            </w:r>
            <w:r>
              <w:rPr>
                <w:rFonts w:ascii="Times" w:hAnsi="Times" w:eastAsia="Batang" w:cs="Times New Roman"/>
                <w:szCs w:val="24"/>
                <w:lang w:val="en-GB" w:eastAsia="zh-CN" w:bidi="ar-SA"/>
              </w:rPr>
              <w:t>bove does not imply that RAN1 will introduce LP-SSS-RSRP and LP-SSS-RSRQ in the specifications</w:t>
            </w:r>
          </w:p>
        </w:tc>
      </w:tr>
    </w:tbl>
    <w:p>
      <w:pPr>
        <w:bidi w:val="0"/>
        <w:rPr>
          <w:rFonts w:hint="eastAsia"/>
          <w:lang w:val="en-US" w:eastAsia="zh-CN"/>
        </w:rPr>
      </w:pPr>
      <w:r>
        <w:rPr>
          <w:rFonts w:hint="eastAsia"/>
          <w:lang w:val="en-US" w:eastAsia="zh-CN"/>
        </w:rPr>
        <w:t xml:space="preserve">During the discussion and FL summary, some contributions think the current definition for RSRP and RSRP means we need to continue to use SMTC for OFDM WUR according to TS 38.215, </w:t>
      </w:r>
    </w:p>
    <w:tbl>
      <w:tblPr>
        <w:tblStyle w:val="30"/>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763"/>
        <w:gridCol w:w="6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63" w:type="dxa"/>
          </w:tcPr>
          <w:p>
            <w:pPr>
              <w:pStyle w:val="101"/>
              <w:rPr>
                <w:b/>
              </w:rPr>
            </w:pPr>
            <w:r>
              <w:rPr>
                <w:b/>
              </w:rPr>
              <w:t>Definition</w:t>
            </w:r>
          </w:p>
        </w:tc>
        <w:tc>
          <w:tcPr>
            <w:tcW w:w="6856" w:type="dxa"/>
          </w:tcPr>
          <w:p>
            <w:pPr>
              <w:pStyle w:val="101"/>
            </w:pPr>
            <w: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If SS-RSRP is used for L1-RSRP as configured by reporting configurations as defined in TS 38.214 [6], the measurement time resources(s) restriction by SMTC window duration is not applicable.</w:t>
            </w:r>
          </w:p>
          <w:p>
            <w:pPr>
              <w:pStyle w:val="101"/>
            </w:pPr>
          </w:p>
          <w:p>
            <w:pPr>
              <w:pStyle w:val="101"/>
            </w:pPr>
            <w: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pPr>
              <w:pStyle w:val="101"/>
            </w:pPr>
          </w:p>
          <w:p>
            <w:pPr>
              <w:pStyle w:val="101"/>
            </w:pPr>
            <w:r>
              <w:t>SS-RSRP shall be measured only among the reference signals corresponding to SS/PBCH blocks with the same SS/PBCH block index and the same physical-layer cell identity.</w:t>
            </w:r>
          </w:p>
          <w:p>
            <w:pPr>
              <w:pStyle w:val="101"/>
            </w:pPr>
          </w:p>
          <w:p>
            <w:pPr>
              <w:pStyle w:val="101"/>
            </w:pPr>
            <w:r>
              <w:t>If SS-RSRP is not used for L1-RSRP and higher-layers indicate certain SS/PBCH blocks for performing SS-RSRP measurements, then SS-RSRP is measured only from the indicated set of SS/PBCH block(s).</w:t>
            </w:r>
          </w:p>
          <w:p>
            <w:pPr>
              <w:pStyle w:val="101"/>
            </w:pPr>
          </w:p>
          <w:p>
            <w:pPr>
              <w:pStyle w:val="101"/>
            </w:pPr>
            <w:r>
              <w:t>For frequency range 1, the reference point for the SS-RS</w:t>
            </w:r>
            <w:r>
              <w:rPr>
                <w:rFonts w:hint="eastAsia"/>
              </w:rPr>
              <w:t>R</w:t>
            </w:r>
            <w:r>
              <w:t>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63" w:type="dxa"/>
          </w:tcPr>
          <w:p>
            <w:pPr>
              <w:pStyle w:val="101"/>
              <w:rPr>
                <w:b/>
              </w:rPr>
            </w:pPr>
            <w:r>
              <w:rPr>
                <w:b/>
              </w:rPr>
              <w:t>Applicable for</w:t>
            </w:r>
          </w:p>
        </w:tc>
        <w:tc>
          <w:tcPr>
            <w:tcW w:w="6856" w:type="dxa"/>
          </w:tcPr>
          <w:p>
            <w:pPr>
              <w:keepNext/>
              <w:keepLines/>
              <w:overflowPunct/>
              <w:autoSpaceDE/>
              <w:autoSpaceDN/>
              <w:adjustRightInd/>
              <w:spacing w:after="0"/>
              <w:textAlignment w:val="auto"/>
              <w:rPr>
                <w:rFonts w:ascii="Arial" w:hAnsi="Arial"/>
                <w:sz w:val="18"/>
                <w:szCs w:val="18"/>
              </w:rPr>
            </w:pPr>
            <w:r>
              <w:rPr>
                <w:rFonts w:ascii="Arial" w:hAnsi="Arial"/>
                <w:sz w:val="18"/>
                <w:szCs w:val="18"/>
              </w:rPr>
              <w:t>If SS-RSRP is used for L1-RSRP,</w:t>
            </w:r>
          </w:p>
          <w:p>
            <w:pPr>
              <w:keepNext/>
              <w:keepLines/>
              <w:overflowPunct/>
              <w:autoSpaceDE/>
              <w:autoSpaceDN/>
              <w:adjustRightInd/>
              <w:spacing w:after="0"/>
              <w:textAlignment w:val="auto"/>
              <w:rPr>
                <w:rFonts w:ascii="Arial" w:hAnsi="Arial"/>
                <w:sz w:val="18"/>
                <w:szCs w:val="18"/>
              </w:rPr>
            </w:pPr>
            <w:r>
              <w:rPr>
                <w:rFonts w:ascii="Arial" w:hAnsi="Arial"/>
                <w:sz w:val="18"/>
                <w:szCs w:val="18"/>
              </w:rPr>
              <w:t>RRC_CONNECTED intra-frequency.</w:t>
            </w:r>
          </w:p>
          <w:p>
            <w:pPr>
              <w:keepNext/>
              <w:keepLines/>
              <w:overflowPunct/>
              <w:autoSpaceDE/>
              <w:autoSpaceDN/>
              <w:adjustRightInd/>
              <w:spacing w:after="0"/>
              <w:textAlignment w:val="auto"/>
              <w:rPr>
                <w:rFonts w:ascii="Arial" w:hAnsi="Arial"/>
                <w:sz w:val="18"/>
                <w:szCs w:val="18"/>
              </w:rPr>
            </w:pPr>
          </w:p>
          <w:p>
            <w:pPr>
              <w:keepNext/>
              <w:keepLines/>
              <w:overflowPunct/>
              <w:autoSpaceDE/>
              <w:autoSpaceDN/>
              <w:adjustRightInd/>
              <w:spacing w:after="0"/>
              <w:textAlignment w:val="auto"/>
              <w:rPr>
                <w:rFonts w:ascii="Arial" w:hAnsi="Arial"/>
                <w:sz w:val="18"/>
                <w:szCs w:val="18"/>
              </w:rPr>
            </w:pPr>
            <w:r>
              <w:rPr>
                <w:rFonts w:ascii="Arial" w:hAnsi="Arial"/>
                <w:sz w:val="18"/>
                <w:szCs w:val="18"/>
              </w:rPr>
              <w:t>Otherwise,</w:t>
            </w:r>
          </w:p>
          <w:p>
            <w:pPr>
              <w:pStyle w:val="101"/>
            </w:pPr>
            <w:r>
              <w:t>RRC_IDLE intra-frequency,</w:t>
            </w:r>
          </w:p>
          <w:p>
            <w:pPr>
              <w:pStyle w:val="101"/>
            </w:pPr>
            <w:r>
              <w:t>RRC_IDLE inter-frequency,</w:t>
            </w:r>
          </w:p>
          <w:p>
            <w:pPr>
              <w:pStyle w:val="101"/>
            </w:pPr>
            <w:r>
              <w:t>RRC_INACTIVE intra-frequency,</w:t>
            </w:r>
          </w:p>
          <w:p>
            <w:pPr>
              <w:pStyle w:val="101"/>
            </w:pPr>
            <w:r>
              <w:t>RRC_INACTIVE inter-frequency,</w:t>
            </w:r>
          </w:p>
          <w:p>
            <w:pPr>
              <w:pStyle w:val="101"/>
            </w:pPr>
            <w:r>
              <w:t>RRC_CONNECTED intra-frequency,</w:t>
            </w:r>
          </w:p>
          <w:p>
            <w:pPr>
              <w:pStyle w:val="101"/>
            </w:pPr>
            <w:r>
              <w:t>RRC_CONNECTED inter-frequency</w:t>
            </w:r>
          </w:p>
        </w:tc>
      </w:tr>
    </w:tbl>
    <w:p>
      <w:pPr>
        <w:bidi w:val="0"/>
        <w:rPr>
          <w:rFonts w:hint="default"/>
          <w:lang w:val="en-US" w:eastAsia="zh-CN"/>
        </w:rPr>
      </w:pPr>
      <w:r>
        <w:rPr>
          <w:rFonts w:hint="eastAsia"/>
          <w:lang w:val="en-US" w:eastAsia="zh-CN"/>
        </w:rPr>
        <w:t>However, the RSRP definition just refer to the following sentence</w:t>
      </w:r>
    </w:p>
    <w:p>
      <w:pPr>
        <w:bidi w:val="0"/>
        <w:rPr>
          <w:rFonts w:hint="default"/>
          <w:lang w:val="en-US" w:eastAsia="zh-CN"/>
        </w:rPr>
      </w:pPr>
      <w:r>
        <w:rPr>
          <w:rFonts w:hint="default"/>
          <w:lang w:val="en-US" w:eastAsia="zh-CN"/>
        </w:rPr>
        <w:t>“</w:t>
      </w:r>
      <w:r>
        <w:t xml:space="preserve">SS reference signal received power (SS-RSRP) is defined as the linear average over the power contributions (in [W]) of the resource elements that carry secondary synchronization signals. </w:t>
      </w:r>
      <w:r>
        <w:rPr>
          <w:rFonts w:hint="default"/>
          <w:lang w:val="en-US" w:eastAsia="zh-CN"/>
        </w:rPr>
        <w:t>”</w:t>
      </w:r>
    </w:p>
    <w:p>
      <w:pPr>
        <w:bidi w:val="0"/>
        <w:rPr>
          <w:rFonts w:hint="eastAsia"/>
          <w:lang w:val="en-US" w:eastAsia="zh-CN"/>
        </w:rPr>
      </w:pPr>
      <w:r>
        <w:rPr>
          <w:rFonts w:hint="eastAsia"/>
          <w:lang w:val="en-US" w:eastAsia="zh-CN"/>
        </w:rPr>
        <w:t>The reasons include:</w:t>
      </w:r>
    </w:p>
    <w:p>
      <w:pPr>
        <w:numPr>
          <w:ilvl w:val="0"/>
          <w:numId w:val="16"/>
        </w:numPr>
        <w:bidi w:val="0"/>
        <w:ind w:left="420" w:leftChars="0" w:hanging="420" w:firstLineChars="0"/>
        <w:rPr>
          <w:rFonts w:hint="eastAsia"/>
          <w:lang w:val="en-US" w:eastAsia="zh-CN"/>
        </w:rPr>
      </w:pPr>
      <w:r>
        <w:rPr>
          <w:rFonts w:hint="eastAsia"/>
          <w:lang w:val="en-US" w:eastAsia="zh-CN"/>
        </w:rPr>
        <w:t>LP-RSRP and LP-RSRQ are defined as the same way. The above assumption only refer to the RSRP and RSRP definition which is only based on linear average.</w:t>
      </w:r>
    </w:p>
    <w:p>
      <w:pPr>
        <w:numPr>
          <w:ilvl w:val="0"/>
          <w:numId w:val="16"/>
        </w:numPr>
        <w:bidi w:val="0"/>
        <w:ind w:left="420" w:leftChars="0" w:hanging="420" w:firstLineChars="0"/>
        <w:rPr>
          <w:rFonts w:hint="default"/>
          <w:lang w:val="en-US" w:eastAsia="zh-CN"/>
        </w:rPr>
      </w:pPr>
      <w:r>
        <w:rPr>
          <w:rFonts w:hint="eastAsia"/>
          <w:lang w:val="en-US" w:eastAsia="zh-CN"/>
        </w:rPr>
        <w:t>If all the paragraphs are referred, obviously, SSB related description is not applied for OFDM WUR.</w:t>
      </w:r>
    </w:p>
    <w:p>
      <w:pPr>
        <w:pStyle w:val="2"/>
        <w:rPr>
          <w:rFonts w:hint="eastAsia"/>
          <w:lang w:val="en-US" w:eastAsia="zh-CN"/>
        </w:rPr>
      </w:pPr>
    </w:p>
    <w:p>
      <w:pPr>
        <w:pStyle w:val="2"/>
        <w:rPr>
          <w:rFonts w:hint="eastAsia"/>
          <w:b/>
          <w:bCs/>
          <w:i/>
          <w:iCs/>
          <w:sz w:val="20"/>
          <w:szCs w:val="18"/>
          <w:lang w:val="en-US" w:eastAsia="zh-CN"/>
        </w:rPr>
      </w:pPr>
      <w:r>
        <w:rPr>
          <w:rFonts w:hint="eastAsia"/>
          <w:b/>
          <w:bCs/>
          <w:i/>
          <w:iCs/>
          <w:sz w:val="20"/>
          <w:szCs w:val="18"/>
          <w:lang w:val="en-US" w:eastAsia="zh-CN"/>
        </w:rPr>
        <w:t xml:space="preserve">Observation 1: Using the same </w:t>
      </w:r>
      <w:r>
        <w:rPr>
          <w:b/>
          <w:bCs/>
          <w:i/>
          <w:iCs/>
          <w:sz w:val="20"/>
          <w:szCs w:val="18"/>
        </w:rPr>
        <w:t>definition of SS-RSRP and SS-RSRQ</w:t>
      </w:r>
      <w:r>
        <w:rPr>
          <w:rFonts w:hint="eastAsia"/>
          <w:b/>
          <w:bCs/>
          <w:i/>
          <w:iCs/>
          <w:sz w:val="20"/>
          <w:szCs w:val="18"/>
          <w:lang w:val="en-US" w:eastAsia="zh-CN"/>
        </w:rPr>
        <w:t xml:space="preserve"> for OFDM WUR only means the following is reused</w:t>
      </w:r>
    </w:p>
    <w:p>
      <w:pPr>
        <w:pStyle w:val="2"/>
        <w:numPr>
          <w:ilvl w:val="0"/>
          <w:numId w:val="17"/>
        </w:numPr>
        <w:ind w:left="420" w:leftChars="0" w:hanging="420" w:firstLineChars="0"/>
        <w:rPr>
          <w:b/>
          <w:bCs/>
          <w:i/>
          <w:iCs/>
          <w:sz w:val="20"/>
          <w:szCs w:val="18"/>
        </w:rPr>
      </w:pPr>
      <w:r>
        <w:rPr>
          <w:b/>
          <w:bCs/>
          <w:i/>
          <w:iCs/>
          <w:sz w:val="20"/>
          <w:szCs w:val="18"/>
        </w:rPr>
        <w:t xml:space="preserve">SS reference signal received power (SS-RSRP) is defined as the linear average over the power contributions (in [W]) of the resource elements that carry secondary synchronization signals. </w:t>
      </w:r>
    </w:p>
    <w:p>
      <w:pPr>
        <w:pStyle w:val="2"/>
        <w:numPr>
          <w:ilvl w:val="0"/>
          <w:numId w:val="17"/>
        </w:numPr>
        <w:ind w:left="420" w:leftChars="0" w:hanging="420" w:firstLineChars="0"/>
        <w:rPr>
          <w:rFonts w:hint="default"/>
          <w:b/>
          <w:bCs/>
          <w:i/>
          <w:iCs/>
          <w:sz w:val="20"/>
          <w:szCs w:val="18"/>
          <w:lang w:val="en-US" w:eastAsia="zh-CN"/>
        </w:rPr>
      </w:pPr>
      <w:r>
        <w:rPr>
          <w:b/>
          <w:bCs/>
          <w:i/>
          <w:iCs/>
          <w:sz w:val="20"/>
          <w:szCs w:val="18"/>
          <w:lang w:val="en-US"/>
        </w:rPr>
        <w:t xml:space="preserve">Secondary synchronization signal </w:t>
      </w:r>
      <w:r>
        <w:rPr>
          <w:b/>
          <w:bCs/>
          <w:i/>
          <w:iCs/>
          <w:sz w:val="20"/>
          <w:szCs w:val="18"/>
        </w:rPr>
        <w:t>reference signal received quality (SS-RSRQ) is defined as the ratio of N×SS-RSRP / NR carrier RSSI, where N is the number of resource blocks in the NR carrier RSSI measurement bandwidth.</w:t>
      </w:r>
    </w:p>
    <w:p>
      <w:pPr>
        <w:pStyle w:val="2"/>
        <w:rPr>
          <w:rFonts w:hint="default"/>
          <w:sz w:val="20"/>
          <w:szCs w:val="18"/>
          <w:lang w:val="en-US" w:eastAsia="zh-CN"/>
        </w:rPr>
      </w:pPr>
      <w:r>
        <w:rPr>
          <w:rFonts w:hint="eastAsia"/>
          <w:sz w:val="20"/>
          <w:szCs w:val="18"/>
          <w:lang w:val="en-US" w:eastAsia="zh-CN"/>
        </w:rPr>
        <w:t>Regarding SMTC introduction for OFDM WUR, we do not think it is necessary. In the WID, it is stated that the serving cell measurement can be offloaded to WUR, instead of neighbor cell measurement. Moreover, it would be infeasible for OFDM WUR to do the neighbor cell measurement due to the coverage limitation.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numPr>
                <w:ilvl w:val="1"/>
                <w:numId w:val="18"/>
              </w:numPr>
              <w:spacing w:before="120" w:beforeLines="50" w:after="0"/>
              <w:ind w:hanging="357"/>
              <w:rPr>
                <w:rFonts w:hint="default"/>
                <w:szCs w:val="20"/>
                <w:vertAlign w:val="baseline"/>
                <w:lang w:val="en-US" w:eastAsia="zh-CN"/>
              </w:rPr>
            </w:pPr>
            <w:r>
              <w:rPr>
                <w:bCs/>
                <w:lang w:val="en-US" w:eastAsia="zh-CN" w:bidi="ar"/>
              </w:rPr>
              <w:t>Specify further RRM relaxation of UE MR for both serving and neighbor cell measurements, and UE serving cell RRM measurement offloaded from MR to LP-WUR, including the necessary conditions (RAN4, RAN2)</w:t>
            </w:r>
          </w:p>
        </w:tc>
      </w:tr>
    </w:tbl>
    <w:p>
      <w:pPr>
        <w:pStyle w:val="2"/>
        <w:rPr>
          <w:rFonts w:hint="default"/>
          <w:b/>
          <w:bCs/>
          <w:i/>
          <w:iCs/>
          <w:sz w:val="20"/>
          <w:szCs w:val="18"/>
          <w:lang w:val="en-US" w:eastAsia="zh-CN"/>
        </w:rPr>
      </w:pPr>
      <w:r>
        <w:rPr>
          <w:rFonts w:hint="eastAsia"/>
          <w:b/>
          <w:bCs/>
          <w:i/>
          <w:iCs/>
          <w:sz w:val="20"/>
          <w:szCs w:val="18"/>
          <w:lang w:val="en-US" w:eastAsia="zh-CN"/>
        </w:rPr>
        <w:t>Observation 2: OFDM WUR only perform serving cell measurement and neighbor cell measurement by WUR is not considered in Rel-19.</w:t>
      </w:r>
    </w:p>
    <w:p>
      <w:pPr>
        <w:pStyle w:val="2"/>
        <w:rPr>
          <w:rFonts w:hint="eastAsia"/>
          <w:sz w:val="20"/>
          <w:szCs w:val="18"/>
          <w:lang w:val="en-US" w:eastAsia="zh-CN"/>
        </w:rPr>
      </w:pPr>
      <w:r>
        <w:rPr>
          <w:rFonts w:hint="eastAsia"/>
          <w:sz w:val="20"/>
          <w:szCs w:val="18"/>
          <w:lang w:val="en-US" w:eastAsia="zh-CN"/>
        </w:rPr>
        <w:t>Additionally, the measurement based on OFDM WUR or OOK WUR could be applied for different scenarios.  As shown in the following, for WUR, it is needed to determine which scenario is supported.</w:t>
      </w:r>
    </w:p>
    <w:p>
      <w:pPr>
        <w:rPr>
          <w:rFonts w:hint="eastAsia"/>
          <w:lang w:val="en-US" w:eastAsia="zh-CN"/>
        </w:rPr>
      </w:pPr>
      <w:r>
        <w:rPr>
          <w:rFonts w:hint="eastAsia"/>
          <w:lang w:val="en-US" w:eastAsia="zh-CN"/>
        </w:rPr>
        <w:br w:type="page"/>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pStyle w:val="101"/>
            </w:pPr>
            <w:r>
              <w:t>RRC_IDLE intra-frequency,</w:t>
            </w:r>
          </w:p>
          <w:p>
            <w:pPr>
              <w:pStyle w:val="101"/>
            </w:pPr>
            <w:r>
              <w:t>RRC_IDLE inter-frequency,</w:t>
            </w:r>
          </w:p>
          <w:p>
            <w:pPr>
              <w:pStyle w:val="101"/>
            </w:pPr>
            <w:r>
              <w:t>RRC_INACTIVE intra-frequency,</w:t>
            </w:r>
          </w:p>
          <w:p>
            <w:pPr>
              <w:pStyle w:val="101"/>
            </w:pPr>
            <w:r>
              <w:t>RRC_INACTIVE inter-frequency,</w:t>
            </w:r>
          </w:p>
          <w:p>
            <w:pPr>
              <w:pStyle w:val="101"/>
            </w:pPr>
            <w:r>
              <w:t>RRC_CONNECTED intra-frequency,</w:t>
            </w:r>
          </w:p>
          <w:p>
            <w:pPr>
              <w:pStyle w:val="2"/>
              <w:rPr>
                <w:rFonts w:hint="default"/>
                <w:vertAlign w:val="baseline"/>
                <w:lang w:val="en-US" w:eastAsia="zh-CN"/>
              </w:rPr>
            </w:pPr>
            <w:r>
              <w:t>RRC_CONNECTED inter-frequency</w:t>
            </w:r>
          </w:p>
        </w:tc>
      </w:tr>
    </w:tbl>
    <w:p>
      <w:pPr>
        <w:pStyle w:val="2"/>
        <w:rPr>
          <w:rFonts w:hint="default"/>
          <w:sz w:val="20"/>
          <w:szCs w:val="18"/>
          <w:lang w:val="en-US" w:eastAsia="zh-CN"/>
        </w:rPr>
      </w:pPr>
      <w:r>
        <w:rPr>
          <w:rFonts w:hint="eastAsia"/>
          <w:sz w:val="20"/>
          <w:szCs w:val="18"/>
          <w:lang w:val="en-US" w:eastAsia="zh-CN"/>
        </w:rPr>
        <w:t>Currently RRC_IDLE intra-frequency and RRC_INACTIVE intra-frequency can be supported. If separate band is supported, then RRC_IDLE inter-frequency, and RRC_INACTIVE inter-frequency can be further considered.</w:t>
      </w:r>
    </w:p>
    <w:p>
      <w:pPr>
        <w:pStyle w:val="2"/>
        <w:rPr>
          <w:rFonts w:hint="eastAsia"/>
          <w:b/>
          <w:bCs/>
          <w:i/>
          <w:iCs/>
          <w:sz w:val="20"/>
          <w:szCs w:val="18"/>
          <w:lang w:val="en-US" w:eastAsia="zh-CN"/>
        </w:rPr>
      </w:pPr>
      <w:r>
        <w:rPr>
          <w:rFonts w:hint="eastAsia"/>
          <w:b/>
          <w:bCs/>
          <w:i/>
          <w:iCs/>
          <w:sz w:val="20"/>
          <w:szCs w:val="18"/>
          <w:lang w:val="en-US" w:eastAsia="zh-CN"/>
        </w:rPr>
        <w:t xml:space="preserve">Proposal 2: </w:t>
      </w:r>
    </w:p>
    <w:p>
      <w:pPr>
        <w:pStyle w:val="2"/>
        <w:numPr>
          <w:ilvl w:val="0"/>
          <w:numId w:val="19"/>
        </w:numPr>
        <w:ind w:left="420" w:leftChars="0" w:hanging="420" w:firstLineChars="0"/>
        <w:rPr>
          <w:b/>
          <w:bCs/>
          <w:i/>
          <w:iCs/>
          <w:sz w:val="20"/>
          <w:szCs w:val="18"/>
        </w:rPr>
      </w:pPr>
      <w:r>
        <w:rPr>
          <w:rFonts w:hint="eastAsia"/>
          <w:b/>
          <w:bCs/>
          <w:i/>
          <w:iCs/>
          <w:sz w:val="20"/>
          <w:szCs w:val="18"/>
          <w:lang w:val="en-US" w:eastAsia="zh-CN"/>
        </w:rPr>
        <w:t xml:space="preserve">For OFDM WUR, </w:t>
      </w:r>
    </w:p>
    <w:p>
      <w:pPr>
        <w:pStyle w:val="2"/>
        <w:numPr>
          <w:ilvl w:val="0"/>
          <w:numId w:val="20"/>
        </w:numPr>
        <w:ind w:left="840" w:leftChars="0" w:hanging="420" w:firstLineChars="0"/>
        <w:rPr>
          <w:rFonts w:hint="default"/>
          <w:b/>
          <w:bCs/>
          <w:i/>
          <w:iCs/>
          <w:sz w:val="20"/>
          <w:szCs w:val="18"/>
          <w:lang w:val="en-US" w:eastAsia="zh-CN"/>
        </w:rPr>
      </w:pPr>
      <w:r>
        <w:rPr>
          <w:rFonts w:ascii="Times" w:hAnsi="Times" w:eastAsia="Batang" w:cs="Times New Roman"/>
          <w:b/>
          <w:bCs/>
          <w:i/>
          <w:iCs/>
          <w:sz w:val="20"/>
          <w:szCs w:val="22"/>
          <w:lang w:val="en-GB" w:eastAsia="zh-CN" w:bidi="ar-SA"/>
        </w:rPr>
        <w:t>LP-SSS-RSRP</w:t>
      </w:r>
      <w:r>
        <w:rPr>
          <w:rFonts w:hint="eastAsia" w:ascii="Times" w:hAnsi="Times" w:eastAsia="Batang" w:cs="Times New Roman"/>
          <w:b/>
          <w:bCs/>
          <w:i/>
          <w:iCs/>
          <w:sz w:val="20"/>
          <w:szCs w:val="22"/>
          <w:lang w:val="en-US" w:eastAsia="zh-CN" w:bidi="ar-SA"/>
        </w:rPr>
        <w:t xml:space="preserve"> is defined as</w:t>
      </w:r>
      <w:r>
        <w:rPr>
          <w:b/>
          <w:bCs/>
          <w:i/>
          <w:iCs/>
          <w:sz w:val="20"/>
          <w:szCs w:val="18"/>
        </w:rPr>
        <w:t xml:space="preserve"> the linear average over the power contributions (in [W]) of the resource elements that carry secondary synchronization signals.</w:t>
      </w:r>
    </w:p>
    <w:p>
      <w:pPr>
        <w:pStyle w:val="2"/>
        <w:numPr>
          <w:ilvl w:val="0"/>
          <w:numId w:val="20"/>
        </w:numPr>
        <w:ind w:left="840" w:leftChars="0" w:hanging="420" w:firstLineChars="0"/>
        <w:rPr>
          <w:rFonts w:hint="default"/>
          <w:b/>
          <w:bCs/>
          <w:i/>
          <w:iCs/>
          <w:sz w:val="20"/>
          <w:szCs w:val="18"/>
          <w:lang w:val="en-US" w:eastAsia="zh-CN"/>
        </w:rPr>
      </w:pPr>
      <w:r>
        <w:rPr>
          <w:rFonts w:ascii="Times" w:hAnsi="Times" w:eastAsia="Batang" w:cs="Times New Roman"/>
          <w:b/>
          <w:bCs/>
          <w:i/>
          <w:iCs/>
          <w:sz w:val="20"/>
          <w:szCs w:val="22"/>
          <w:lang w:val="en-GB" w:eastAsia="zh-CN" w:bidi="ar-SA"/>
        </w:rPr>
        <w:t>LP-SSS-RSR</w:t>
      </w:r>
      <w:r>
        <w:rPr>
          <w:rFonts w:hint="eastAsia" w:ascii="Times" w:hAnsi="Times" w:eastAsia="Batang" w:cs="Times New Roman"/>
          <w:b/>
          <w:bCs/>
          <w:i/>
          <w:iCs/>
          <w:sz w:val="20"/>
          <w:szCs w:val="22"/>
          <w:lang w:val="en-US" w:eastAsia="zh-CN" w:bidi="ar-SA"/>
        </w:rPr>
        <w:t xml:space="preserve">Q is </w:t>
      </w:r>
      <w:r>
        <w:rPr>
          <w:b/>
          <w:bCs/>
          <w:i/>
          <w:iCs/>
          <w:sz w:val="20"/>
          <w:szCs w:val="18"/>
        </w:rPr>
        <w:t>defined as the ratio of N×SS-RSRP / NR carrier RSSI</w:t>
      </w:r>
    </w:p>
    <w:p>
      <w:pPr>
        <w:pStyle w:val="2"/>
        <w:numPr>
          <w:ilvl w:val="0"/>
          <w:numId w:val="19"/>
        </w:numPr>
        <w:ind w:left="420" w:leftChars="0" w:hanging="420" w:firstLineChars="0"/>
        <w:rPr>
          <w:rFonts w:hint="eastAsia"/>
          <w:b/>
          <w:bCs/>
          <w:i/>
          <w:iCs/>
          <w:sz w:val="20"/>
          <w:szCs w:val="18"/>
          <w:lang w:val="en-US" w:eastAsia="zh-CN"/>
        </w:rPr>
      </w:pPr>
      <w:r>
        <w:rPr>
          <w:rFonts w:hint="eastAsia"/>
          <w:b/>
          <w:bCs/>
          <w:i/>
          <w:iCs/>
          <w:sz w:val="20"/>
          <w:szCs w:val="18"/>
          <w:lang w:val="en-US" w:eastAsia="zh-CN"/>
        </w:rPr>
        <w:t>SMTC is not needed for OFDM WUR and OOK WUR for serving cell measurement</w:t>
      </w:r>
    </w:p>
    <w:p>
      <w:pPr>
        <w:pStyle w:val="2"/>
        <w:numPr>
          <w:ilvl w:val="0"/>
          <w:numId w:val="19"/>
        </w:numPr>
        <w:ind w:left="420" w:leftChars="0" w:hanging="420" w:firstLineChars="0"/>
        <w:rPr>
          <w:rFonts w:hint="eastAsia"/>
          <w:b/>
          <w:bCs/>
          <w:i/>
          <w:iCs/>
          <w:sz w:val="20"/>
          <w:szCs w:val="18"/>
          <w:lang w:val="en-US" w:eastAsia="zh-CN"/>
        </w:rPr>
      </w:pPr>
      <w:r>
        <w:rPr>
          <w:rFonts w:hint="eastAsia"/>
          <w:b/>
          <w:bCs/>
          <w:i/>
          <w:iCs/>
          <w:sz w:val="20"/>
          <w:szCs w:val="18"/>
          <w:lang w:val="en-US" w:eastAsia="zh-CN"/>
        </w:rPr>
        <w:t>OFDM WUR and OOK WUR serving cell measurement can be applied at least for RRC_IDLE intra-frequency and RRC_INACTIVE intra-frequency</w:t>
      </w:r>
    </w:p>
    <w:p>
      <w:pPr>
        <w:pStyle w:val="2"/>
        <w:rPr>
          <w:rFonts w:hint="default"/>
          <w:lang w:val="en-US" w:eastAsia="zh-CN"/>
        </w:rPr>
      </w:pPr>
    </w:p>
    <w:p>
      <w:pPr>
        <w:pStyle w:val="3"/>
        <w:spacing w:before="120"/>
        <w:rPr>
          <w:lang w:val="en-US"/>
        </w:rPr>
      </w:pPr>
      <w:bookmarkStart w:id="11" w:name="OLE_LINK4"/>
      <w:r>
        <w:rPr>
          <w:rFonts w:hint="eastAsia"/>
          <w:lang w:val="en-US" w:eastAsia="zh-CN"/>
        </w:rPr>
        <w:t>LP-WUS subgroup indication</w:t>
      </w:r>
    </w:p>
    <w:p>
      <w:pPr>
        <w:spacing w:before="120" w:afterLines="50" w:line="276" w:lineRule="auto"/>
        <w:rPr>
          <w:rFonts w:hint="eastAsia"/>
          <w:lang w:val="en-US" w:eastAsia="zh-CN"/>
        </w:rPr>
      </w:pPr>
      <w:r>
        <w:rPr>
          <w:rFonts w:hint="eastAsia"/>
          <w:lang w:val="en-US" w:eastAsia="zh-CN"/>
        </w:rPr>
        <w:t xml:space="preserve">When we design the LP-WUS subgroup indication in idle/inactive mode, we need to consider the compatibility for the following cases. </w:t>
      </w:r>
    </w:p>
    <w:p>
      <w:pPr>
        <w:numPr>
          <w:ilvl w:val="0"/>
          <w:numId w:val="21"/>
        </w:numPr>
        <w:spacing w:before="120" w:afterLines="50" w:line="276" w:lineRule="auto"/>
        <w:ind w:left="420" w:leftChars="0" w:hanging="420" w:firstLineChars="0"/>
        <w:rPr>
          <w:rFonts w:hint="eastAsia"/>
          <w:lang w:val="en-US" w:eastAsia="zh-CN"/>
        </w:rPr>
      </w:pPr>
      <w:r>
        <w:rPr>
          <w:rFonts w:hint="eastAsia"/>
          <w:lang w:val="en-US" w:eastAsia="zh-CN"/>
        </w:rPr>
        <w:t>Multiple POs is supported to be associated with LO</w:t>
      </w:r>
    </w:p>
    <w:p>
      <w:pPr>
        <w:numPr>
          <w:ilvl w:val="0"/>
          <w:numId w:val="21"/>
        </w:numPr>
        <w:spacing w:before="120" w:afterLines="50" w:line="276" w:lineRule="auto"/>
        <w:ind w:left="420" w:leftChars="0" w:hanging="420" w:firstLineChars="0"/>
        <w:rPr>
          <w:rFonts w:hint="eastAsia"/>
          <w:lang w:val="en-US" w:eastAsia="zh-CN"/>
        </w:rPr>
      </w:pPr>
      <w:r>
        <w:rPr>
          <w:rFonts w:hint="eastAsia"/>
          <w:lang w:val="en-US" w:eastAsia="zh-CN"/>
        </w:rPr>
        <w:t>Subgroup information could be offloaded to LO segments</w:t>
      </w:r>
    </w:p>
    <w:p>
      <w:pPr>
        <w:numPr>
          <w:ilvl w:val="0"/>
          <w:numId w:val="21"/>
        </w:numPr>
        <w:spacing w:before="120" w:afterLines="50" w:line="276" w:lineRule="auto"/>
        <w:ind w:left="420" w:leftChars="0" w:hanging="420" w:firstLineChars="0"/>
        <w:rPr>
          <w:rFonts w:hint="eastAsia"/>
          <w:lang w:val="en-US" w:eastAsia="zh-CN"/>
        </w:rPr>
      </w:pPr>
      <w:r>
        <w:rPr>
          <w:rFonts w:hint="eastAsia"/>
          <w:lang w:val="en-US" w:eastAsia="zh-CN"/>
        </w:rPr>
        <w:t>Configurable number of subgroups which may result in different LP-WUS payload size.</w:t>
      </w:r>
    </w:p>
    <w:p>
      <w:pPr>
        <w:numPr>
          <w:ilvl w:val="0"/>
          <w:numId w:val="21"/>
        </w:numPr>
        <w:spacing w:before="120" w:afterLines="50" w:line="276" w:lineRule="auto"/>
        <w:ind w:left="420" w:leftChars="0" w:hanging="420" w:firstLineChars="0"/>
        <w:rPr>
          <w:rFonts w:hint="eastAsia"/>
          <w:lang w:val="en-US" w:eastAsia="zh-CN"/>
        </w:rPr>
      </w:pPr>
      <w:r>
        <w:rPr>
          <w:rFonts w:hint="eastAsia"/>
          <w:lang w:val="en-US" w:eastAsia="zh-CN"/>
        </w:rPr>
        <w:t>Extended function, e.g., maximum number of subgroups is considered in future release.</w:t>
      </w:r>
    </w:p>
    <w:p>
      <w:pPr>
        <w:pStyle w:val="2"/>
        <w:rPr>
          <w:rFonts w:hint="eastAsia" w:ascii="Times New Roman" w:hAnsi="Times New Roman" w:eastAsia="宋体"/>
          <w:b/>
          <w:bCs/>
          <w:i/>
          <w:iCs/>
          <w:sz w:val="20"/>
          <w:szCs w:val="22"/>
          <w:lang w:val="en-US" w:eastAsia="zh-CN"/>
        </w:rPr>
      </w:pPr>
      <w:r>
        <w:rPr>
          <w:rFonts w:hint="eastAsia" w:ascii="Times New Roman" w:hAnsi="Times New Roman" w:eastAsia="宋体"/>
          <w:b/>
          <w:bCs/>
          <w:i/>
          <w:iCs/>
          <w:sz w:val="20"/>
          <w:szCs w:val="22"/>
          <w:lang w:val="en-US" w:eastAsia="zh-CN"/>
        </w:rPr>
        <w:t>Proposal 3: LP-WUS subgroup indication in idle/inactive mode should keep forward compatibility</w:t>
      </w:r>
    </w:p>
    <w:p>
      <w:pPr>
        <w:spacing w:before="120"/>
        <w:rPr>
          <w:rFonts w:hint="default" w:eastAsia="宋体"/>
          <w:lang w:val="en-US" w:eastAsia="zh-CN"/>
        </w:rPr>
      </w:pPr>
      <w:r>
        <w:rPr>
          <w:rFonts w:hint="eastAsia"/>
          <w:lang w:val="en-US" w:eastAsia="zh-CN"/>
        </w:rPr>
        <w:t>Additionally, based on the working assumption of 32subgroups, further clarification regarding LP-WUS subgroup indication is needed.</w:t>
      </w:r>
    </w:p>
    <w:p>
      <w:pPr>
        <w:spacing w:before="120" w:afterLines="50" w:line="276" w:lineRule="auto"/>
        <w:jc w:val="both"/>
        <w:rPr>
          <w:rFonts w:hint="eastAsia"/>
        </w:rPr>
      </w:pPr>
      <w:bookmarkStart w:id="12" w:name="OLE_LINK150"/>
    </w:p>
    <w:p>
      <w:pPr>
        <w:spacing w:before="120" w:afterLines="50" w:line="276" w:lineRule="auto"/>
        <w:jc w:val="center"/>
      </w:pPr>
      <w:r>
        <w:rPr>
          <w:rFonts w:hint="eastAsia"/>
        </w:rPr>
        <w:t xml:space="preserve">Table </w:t>
      </w:r>
      <w:r>
        <w:rPr>
          <w:rFonts w:hint="eastAsia"/>
          <w:lang w:val="en-US" w:eastAsia="zh-CN"/>
        </w:rPr>
        <w:t>1</w:t>
      </w:r>
      <w:r>
        <w:rPr>
          <w:rFonts w:hint="eastAsia"/>
        </w:rPr>
        <w:t>. Probability for multi-subgroups wake-up per PO</w:t>
      </w:r>
    </w:p>
    <w:tbl>
      <w:tblPr>
        <w:tblStyle w:val="31"/>
        <w:tblW w:w="7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88" w:type="dxa"/>
          </w:tcPr>
          <w:p>
            <w:pPr>
              <w:keepNext/>
              <w:keepLines/>
              <w:spacing w:before="120" w:after="0"/>
            </w:pPr>
            <w:r>
              <w:rPr>
                <w:rFonts w:hint="eastAsia" w:eastAsia="等线"/>
                <w:sz w:val="18"/>
                <w:szCs w:val="18"/>
              </w:rPr>
              <w:t>Number of subgroups:32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6" w:hRule="atLeast"/>
          <w:jc w:val="center"/>
        </w:trPr>
        <w:tc>
          <w:tcPr>
            <w:tcW w:w="7488" w:type="dxa"/>
          </w:tcPr>
          <w:p>
            <w:pPr>
              <w:pStyle w:val="19"/>
              <w:spacing w:before="120"/>
              <w:rPr>
                <w:rFonts w:eastAsia="等线"/>
                <w:sz w:val="18"/>
                <w:szCs w:val="18"/>
              </w:rPr>
            </w:pPr>
          </w:p>
          <w:p>
            <w:pPr>
              <w:pStyle w:val="19"/>
              <w:spacing w:before="120"/>
            </w:pPr>
            <w:r>
              <w:drawing>
                <wp:inline distT="0" distB="0" distL="114300" distR="114300">
                  <wp:extent cx="4616450" cy="2954655"/>
                  <wp:effectExtent l="4445" t="4445" r="8255" b="12700"/>
                  <wp:docPr id="4"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19"/>
              <w:spacing w:before="120"/>
              <w:rPr>
                <w:rFonts w:hint="eastAsia"/>
                <w:lang w:val="en-US" w:eastAsia="zh-CN"/>
              </w:rPr>
            </w:pPr>
            <w:r>
              <w:rPr>
                <w:rFonts w:hint="eastAsia"/>
                <w:lang w:val="en-US" w:eastAsia="zh-CN"/>
              </w:rPr>
              <w:t>The first cluster assumes per subgroup paging rate 3%</w:t>
            </w:r>
          </w:p>
          <w:p>
            <w:pPr>
              <w:pStyle w:val="19"/>
              <w:spacing w:before="120"/>
            </w:pPr>
            <w:r>
              <w:rPr>
                <w:rFonts w:hint="eastAsia"/>
                <w:lang w:val="en-US" w:eastAsia="zh-CN"/>
              </w:rPr>
              <w:t>The second cluster assumes per subgroup paging rate 1%</w:t>
            </w:r>
          </w:p>
        </w:tc>
      </w:tr>
    </w:tbl>
    <w:p>
      <w:pPr>
        <w:pStyle w:val="2"/>
        <w:rPr>
          <w:rFonts w:hint="eastAsia"/>
          <w:sz w:val="20"/>
          <w:szCs w:val="20"/>
          <w:lang w:val="en-US" w:eastAsia="zh-CN"/>
        </w:rPr>
      </w:pPr>
      <w:r>
        <w:rPr>
          <w:rFonts w:hint="eastAsia"/>
          <w:sz w:val="20"/>
          <w:szCs w:val="20"/>
          <w:lang w:val="en-US" w:eastAsia="zh-CN"/>
        </w:rPr>
        <w:t xml:space="preserve">In most cases, one or two subgroups wake-up is the main use cases. Therefore, addition to 1 subgroups and all subgroups indicated by LP-WUS, 2 subgroups wake-up should be also considered. </w:t>
      </w:r>
    </w:p>
    <w:p>
      <w:pPr>
        <w:pStyle w:val="2"/>
        <w:rPr>
          <w:rFonts w:hint="eastAsia"/>
          <w:sz w:val="20"/>
          <w:szCs w:val="20"/>
          <w:lang w:val="en-US" w:eastAsia="zh-CN"/>
        </w:rPr>
      </w:pPr>
      <w:r>
        <w:rPr>
          <w:rFonts w:hint="eastAsia"/>
          <w:sz w:val="20"/>
          <w:szCs w:val="20"/>
          <w:lang w:val="en-US" w:eastAsia="zh-CN"/>
        </w:rPr>
        <w:t>However, supporting two attribute subgroups combinations would require additional 496 codepints and correspondingly additional payload size would be needed. That</w:t>
      </w:r>
      <w:r>
        <w:rPr>
          <w:rFonts w:hint="default"/>
          <w:sz w:val="20"/>
          <w:szCs w:val="20"/>
          <w:lang w:val="en-US" w:eastAsia="zh-CN"/>
        </w:rPr>
        <w:t>’</w:t>
      </w:r>
      <w:r>
        <w:rPr>
          <w:rFonts w:hint="eastAsia"/>
          <w:sz w:val="20"/>
          <w:szCs w:val="20"/>
          <w:lang w:val="en-US" w:eastAsia="zh-CN"/>
        </w:rPr>
        <w:t xml:space="preserve">s to say, in total, including one subgroup codepoints, all subgroups codepoint, and two subgroups codepoints, 496+32+1=529 codepoints are needed. Correspondingly, the LP-WUS layload size should be 10bits. By using one subgroup indication, two LP-WUS would be needed to indicate two attribute subgroups. In this case, 12bits payload in total would be needed. Additionally, if CRC bits is considered, then two LP-WUS may have additional CRC overhead. Therefore, using one LP-WUS to indicate 2 subgroups would be more friendly to the system overhead. </w:t>
      </w:r>
    </w:p>
    <w:p>
      <w:pPr>
        <w:pStyle w:val="2"/>
        <w:rPr>
          <w:rFonts w:hint="eastAsia"/>
          <w:sz w:val="20"/>
          <w:szCs w:val="20"/>
          <w:lang w:val="en-US" w:eastAsia="zh-CN"/>
        </w:rPr>
      </w:pPr>
      <w:r>
        <w:rPr>
          <w:rFonts w:hint="eastAsia"/>
          <w:sz w:val="20"/>
          <w:szCs w:val="20"/>
          <w:lang w:val="en-US" w:eastAsia="zh-CN"/>
        </w:rPr>
        <w:t xml:space="preserve">BWT, if the number of subgroups is configurable, to include two attribute subgroups combination, the payload size would be different </w:t>
      </w:r>
    </w:p>
    <w:p>
      <w:pPr>
        <w:pStyle w:val="2"/>
        <w:jc w:val="center"/>
        <w:rPr>
          <w:rFonts w:hint="default"/>
          <w:sz w:val="20"/>
          <w:szCs w:val="20"/>
          <w:lang w:val="en-US" w:eastAsia="zh-CN"/>
        </w:rPr>
      </w:pPr>
      <w:r>
        <w:rPr>
          <w:rFonts w:hint="eastAsia"/>
          <w:sz w:val="20"/>
          <w:szCs w:val="20"/>
          <w:lang w:val="en-US" w:eastAsia="zh-CN"/>
        </w:rPr>
        <w:t>Table 2. Required payload size for configurable number of subgroups</w:t>
      </w:r>
    </w:p>
    <w:tbl>
      <w:tblPr>
        <w:tblStyle w:val="31"/>
        <w:tblW w:w="0" w:type="auto"/>
        <w:tblInd w:w="9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9"/>
        <w:gridCol w:w="2287"/>
        <w:gridCol w:w="3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9" w:type="dxa"/>
          </w:tcPr>
          <w:p>
            <w:pPr>
              <w:pStyle w:val="2"/>
              <w:rPr>
                <w:rFonts w:hint="default"/>
                <w:sz w:val="20"/>
                <w:szCs w:val="20"/>
                <w:vertAlign w:val="baseline"/>
                <w:lang w:val="en-US" w:eastAsia="zh-CN"/>
              </w:rPr>
            </w:pPr>
            <w:r>
              <w:rPr>
                <w:rFonts w:hint="eastAsia"/>
                <w:sz w:val="20"/>
                <w:szCs w:val="20"/>
                <w:vertAlign w:val="baseline"/>
                <w:lang w:val="en-US" w:eastAsia="zh-CN"/>
              </w:rPr>
              <w:t>Number subgroups per PO</w:t>
            </w:r>
          </w:p>
        </w:tc>
        <w:tc>
          <w:tcPr>
            <w:tcW w:w="2287" w:type="dxa"/>
          </w:tcPr>
          <w:p>
            <w:pPr>
              <w:pStyle w:val="2"/>
              <w:rPr>
                <w:rFonts w:hint="default"/>
                <w:sz w:val="20"/>
                <w:szCs w:val="20"/>
                <w:vertAlign w:val="baseline"/>
                <w:lang w:val="en-US" w:eastAsia="zh-CN"/>
              </w:rPr>
            </w:pPr>
            <w:r>
              <w:rPr>
                <w:rFonts w:hint="eastAsia"/>
                <w:sz w:val="20"/>
                <w:szCs w:val="20"/>
                <w:vertAlign w:val="baseline"/>
                <w:lang w:val="en-US" w:eastAsia="zh-CN"/>
              </w:rPr>
              <w:t>Indicated number of subgroups</w:t>
            </w:r>
          </w:p>
        </w:tc>
        <w:tc>
          <w:tcPr>
            <w:tcW w:w="3428" w:type="dxa"/>
          </w:tcPr>
          <w:p>
            <w:pPr>
              <w:pStyle w:val="2"/>
              <w:rPr>
                <w:rFonts w:hint="default"/>
                <w:sz w:val="20"/>
                <w:szCs w:val="20"/>
                <w:vertAlign w:val="baseline"/>
                <w:lang w:val="en-US" w:eastAsia="zh-CN"/>
              </w:rPr>
            </w:pPr>
            <w:r>
              <w:rPr>
                <w:rFonts w:hint="eastAsia"/>
                <w:sz w:val="20"/>
                <w:szCs w:val="20"/>
                <w:vertAlign w:val="baseline"/>
                <w:lang w:val="en-US" w:eastAsia="zh-CN"/>
              </w:rPr>
              <w:t xml:space="preserve">Number of codepoints and Payload size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9" w:type="dxa"/>
          </w:tcPr>
          <w:p>
            <w:pPr>
              <w:pStyle w:val="2"/>
              <w:rPr>
                <w:rFonts w:hint="default"/>
                <w:sz w:val="20"/>
                <w:szCs w:val="20"/>
                <w:vertAlign w:val="baseline"/>
                <w:lang w:val="en-US" w:eastAsia="zh-CN"/>
              </w:rPr>
            </w:pPr>
            <w:r>
              <w:rPr>
                <w:rFonts w:hint="eastAsia"/>
                <w:sz w:val="20"/>
                <w:szCs w:val="20"/>
                <w:vertAlign w:val="baseline"/>
                <w:lang w:val="en-US" w:eastAsia="zh-CN"/>
              </w:rPr>
              <w:t>32</w:t>
            </w:r>
          </w:p>
        </w:tc>
        <w:tc>
          <w:tcPr>
            <w:tcW w:w="2287" w:type="dxa"/>
          </w:tcPr>
          <w:p>
            <w:pPr>
              <w:pStyle w:val="2"/>
              <w:rPr>
                <w:rFonts w:hint="eastAsia"/>
                <w:sz w:val="20"/>
                <w:szCs w:val="20"/>
                <w:vertAlign w:val="baseline"/>
                <w:lang w:val="en-US" w:eastAsia="zh-CN"/>
              </w:rPr>
            </w:pPr>
            <w:r>
              <w:rPr>
                <w:rFonts w:hint="eastAsia"/>
                <w:sz w:val="20"/>
                <w:szCs w:val="20"/>
                <w:vertAlign w:val="baseline"/>
                <w:lang w:val="en-US" w:eastAsia="zh-CN"/>
              </w:rPr>
              <w:t>1</w:t>
            </w:r>
          </w:p>
          <w:p>
            <w:pPr>
              <w:pStyle w:val="2"/>
              <w:rPr>
                <w:rFonts w:hint="eastAsia"/>
                <w:sz w:val="20"/>
                <w:szCs w:val="20"/>
                <w:vertAlign w:val="baseline"/>
                <w:lang w:val="en-US" w:eastAsia="zh-CN"/>
              </w:rPr>
            </w:pPr>
            <w:r>
              <w:rPr>
                <w:rFonts w:hint="eastAsia"/>
                <w:sz w:val="20"/>
                <w:szCs w:val="20"/>
                <w:vertAlign w:val="baseline"/>
                <w:lang w:val="en-US" w:eastAsia="zh-CN"/>
              </w:rPr>
              <w:t>2</w:t>
            </w:r>
          </w:p>
          <w:p>
            <w:pPr>
              <w:pStyle w:val="2"/>
              <w:rPr>
                <w:rFonts w:hint="default"/>
                <w:sz w:val="20"/>
                <w:szCs w:val="20"/>
                <w:vertAlign w:val="baseline"/>
                <w:lang w:val="en-US" w:eastAsia="zh-CN"/>
              </w:rPr>
            </w:pPr>
            <w:r>
              <w:rPr>
                <w:rFonts w:hint="eastAsia"/>
                <w:sz w:val="20"/>
                <w:szCs w:val="20"/>
                <w:vertAlign w:val="baseline"/>
                <w:lang w:val="en-US" w:eastAsia="zh-CN"/>
              </w:rPr>
              <w:t>32</w:t>
            </w:r>
          </w:p>
        </w:tc>
        <w:tc>
          <w:tcPr>
            <w:tcW w:w="3428" w:type="dxa"/>
          </w:tcPr>
          <w:p>
            <w:pPr>
              <w:pStyle w:val="2"/>
              <w:rPr>
                <w:rFonts w:hint="default"/>
                <w:sz w:val="20"/>
                <w:szCs w:val="20"/>
                <w:vertAlign w:val="baseline"/>
                <w:lang w:val="en-US" w:eastAsia="zh-CN"/>
              </w:rPr>
            </w:pPr>
            <w:r>
              <w:rPr>
                <w:rFonts w:hint="eastAsia"/>
                <w:sz w:val="20"/>
                <w:szCs w:val="20"/>
                <w:vertAlign w:val="baseline"/>
                <w:lang w:val="en-US" w:eastAsia="zh-CN"/>
              </w:rPr>
              <w:t>529 codepoints=32+1+496</w:t>
            </w:r>
          </w:p>
          <w:p>
            <w:pPr>
              <w:pStyle w:val="2"/>
              <w:rPr>
                <w:rFonts w:hint="default"/>
                <w:sz w:val="20"/>
                <w:szCs w:val="20"/>
                <w:vertAlign w:val="baseline"/>
                <w:lang w:val="en-US" w:eastAsia="zh-CN"/>
              </w:rPr>
            </w:pPr>
            <w:r>
              <w:rPr>
                <w:rFonts w:hint="eastAsia"/>
                <w:sz w:val="20"/>
                <w:szCs w:val="20"/>
                <w:vertAlign w:val="baseline"/>
                <w:lang w:val="en-US" w:eastAsia="zh-CN"/>
              </w:rPr>
              <w:t>10bits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9" w:type="dxa"/>
          </w:tcPr>
          <w:p>
            <w:pPr>
              <w:pStyle w:val="2"/>
              <w:rPr>
                <w:rFonts w:hint="default"/>
                <w:sz w:val="20"/>
                <w:szCs w:val="20"/>
                <w:vertAlign w:val="baseline"/>
                <w:lang w:val="en-US" w:eastAsia="zh-CN"/>
              </w:rPr>
            </w:pPr>
            <w:r>
              <w:rPr>
                <w:rFonts w:hint="eastAsia"/>
                <w:sz w:val="20"/>
                <w:szCs w:val="20"/>
                <w:vertAlign w:val="baseline"/>
                <w:lang w:val="en-US" w:eastAsia="zh-CN"/>
              </w:rPr>
              <w:t>16</w:t>
            </w:r>
          </w:p>
        </w:tc>
        <w:tc>
          <w:tcPr>
            <w:tcW w:w="2287" w:type="dxa"/>
          </w:tcPr>
          <w:p>
            <w:pPr>
              <w:pStyle w:val="2"/>
              <w:rPr>
                <w:rFonts w:hint="eastAsia"/>
                <w:sz w:val="20"/>
                <w:szCs w:val="20"/>
                <w:vertAlign w:val="baseline"/>
                <w:lang w:val="en-US" w:eastAsia="zh-CN"/>
              </w:rPr>
            </w:pPr>
            <w:r>
              <w:rPr>
                <w:rFonts w:hint="eastAsia"/>
                <w:sz w:val="20"/>
                <w:szCs w:val="20"/>
                <w:vertAlign w:val="baseline"/>
                <w:lang w:val="en-US" w:eastAsia="zh-CN"/>
              </w:rPr>
              <w:t>1</w:t>
            </w:r>
          </w:p>
          <w:p>
            <w:pPr>
              <w:pStyle w:val="2"/>
              <w:rPr>
                <w:rFonts w:hint="eastAsia"/>
                <w:sz w:val="20"/>
                <w:szCs w:val="20"/>
                <w:vertAlign w:val="baseline"/>
                <w:lang w:val="en-US" w:eastAsia="zh-CN"/>
              </w:rPr>
            </w:pPr>
            <w:r>
              <w:rPr>
                <w:rFonts w:hint="eastAsia"/>
                <w:sz w:val="20"/>
                <w:szCs w:val="20"/>
                <w:vertAlign w:val="baseline"/>
                <w:lang w:val="en-US" w:eastAsia="zh-CN"/>
              </w:rPr>
              <w:t>2</w:t>
            </w:r>
          </w:p>
          <w:p>
            <w:pPr>
              <w:pStyle w:val="2"/>
              <w:rPr>
                <w:rFonts w:hint="default"/>
                <w:sz w:val="20"/>
                <w:szCs w:val="20"/>
                <w:vertAlign w:val="baseline"/>
                <w:lang w:val="en-US" w:eastAsia="zh-CN"/>
              </w:rPr>
            </w:pPr>
            <w:r>
              <w:rPr>
                <w:rFonts w:hint="eastAsia"/>
                <w:sz w:val="20"/>
                <w:szCs w:val="20"/>
                <w:vertAlign w:val="baseline"/>
                <w:lang w:val="en-US" w:eastAsia="zh-CN"/>
              </w:rPr>
              <w:t>16</w:t>
            </w:r>
          </w:p>
        </w:tc>
        <w:tc>
          <w:tcPr>
            <w:tcW w:w="3428" w:type="dxa"/>
          </w:tcPr>
          <w:p>
            <w:pPr>
              <w:pStyle w:val="2"/>
              <w:rPr>
                <w:rFonts w:hint="default"/>
                <w:sz w:val="20"/>
                <w:szCs w:val="20"/>
                <w:vertAlign w:val="baseline"/>
                <w:lang w:val="en-US" w:eastAsia="zh-CN"/>
              </w:rPr>
            </w:pPr>
            <w:r>
              <w:rPr>
                <w:rFonts w:hint="eastAsia"/>
                <w:sz w:val="20"/>
                <w:szCs w:val="20"/>
                <w:vertAlign w:val="baseline"/>
                <w:lang w:val="en-US" w:eastAsia="zh-CN"/>
              </w:rPr>
              <w:t>137 codepoints=16+1+120</w:t>
            </w:r>
          </w:p>
          <w:p>
            <w:pPr>
              <w:pStyle w:val="2"/>
              <w:rPr>
                <w:rFonts w:hint="default"/>
                <w:sz w:val="20"/>
                <w:szCs w:val="20"/>
                <w:vertAlign w:val="baseline"/>
                <w:lang w:val="en-US" w:eastAsia="zh-CN"/>
              </w:rPr>
            </w:pPr>
            <w:r>
              <w:rPr>
                <w:rFonts w:hint="eastAsia"/>
                <w:sz w:val="20"/>
                <w:szCs w:val="20"/>
                <w:vertAlign w:val="baseline"/>
                <w:lang w:val="en-US" w:eastAsia="zh-CN"/>
              </w:rPr>
              <w:t>8bits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9" w:type="dxa"/>
          </w:tcPr>
          <w:p>
            <w:pPr>
              <w:pStyle w:val="2"/>
              <w:rPr>
                <w:rFonts w:hint="default"/>
                <w:sz w:val="20"/>
                <w:szCs w:val="20"/>
                <w:vertAlign w:val="baseline"/>
                <w:lang w:val="en-US" w:eastAsia="zh-CN"/>
              </w:rPr>
            </w:pPr>
            <w:r>
              <w:rPr>
                <w:rFonts w:hint="eastAsia"/>
                <w:sz w:val="20"/>
                <w:szCs w:val="20"/>
                <w:vertAlign w:val="baseline"/>
                <w:lang w:val="en-US" w:eastAsia="zh-CN"/>
              </w:rPr>
              <w:t>8</w:t>
            </w:r>
          </w:p>
        </w:tc>
        <w:tc>
          <w:tcPr>
            <w:tcW w:w="2287" w:type="dxa"/>
          </w:tcPr>
          <w:p>
            <w:pPr>
              <w:pStyle w:val="2"/>
              <w:rPr>
                <w:rFonts w:hint="eastAsia"/>
                <w:sz w:val="20"/>
                <w:szCs w:val="20"/>
                <w:vertAlign w:val="baseline"/>
                <w:lang w:val="en-US" w:eastAsia="zh-CN"/>
              </w:rPr>
            </w:pPr>
            <w:r>
              <w:rPr>
                <w:rFonts w:hint="eastAsia"/>
                <w:sz w:val="20"/>
                <w:szCs w:val="20"/>
                <w:vertAlign w:val="baseline"/>
                <w:lang w:val="en-US" w:eastAsia="zh-CN"/>
              </w:rPr>
              <w:t>1</w:t>
            </w:r>
          </w:p>
          <w:p>
            <w:pPr>
              <w:pStyle w:val="2"/>
              <w:rPr>
                <w:rFonts w:hint="eastAsia"/>
                <w:sz w:val="20"/>
                <w:szCs w:val="20"/>
                <w:vertAlign w:val="baseline"/>
                <w:lang w:val="en-US" w:eastAsia="zh-CN"/>
              </w:rPr>
            </w:pPr>
            <w:r>
              <w:rPr>
                <w:rFonts w:hint="eastAsia"/>
                <w:sz w:val="20"/>
                <w:szCs w:val="20"/>
                <w:vertAlign w:val="baseline"/>
                <w:lang w:val="en-US" w:eastAsia="zh-CN"/>
              </w:rPr>
              <w:t>2</w:t>
            </w:r>
          </w:p>
          <w:p>
            <w:pPr>
              <w:pStyle w:val="2"/>
              <w:rPr>
                <w:rFonts w:hint="default"/>
                <w:sz w:val="20"/>
                <w:szCs w:val="20"/>
                <w:vertAlign w:val="baseline"/>
                <w:lang w:val="en-US" w:eastAsia="zh-CN"/>
              </w:rPr>
            </w:pPr>
            <w:r>
              <w:rPr>
                <w:rFonts w:hint="eastAsia"/>
                <w:sz w:val="20"/>
                <w:szCs w:val="20"/>
                <w:vertAlign w:val="baseline"/>
                <w:lang w:val="en-US" w:eastAsia="zh-CN"/>
              </w:rPr>
              <w:t>8</w:t>
            </w:r>
          </w:p>
        </w:tc>
        <w:tc>
          <w:tcPr>
            <w:tcW w:w="3428" w:type="dxa"/>
          </w:tcPr>
          <w:p>
            <w:pPr>
              <w:pStyle w:val="2"/>
              <w:rPr>
                <w:rFonts w:hint="default"/>
                <w:sz w:val="20"/>
                <w:szCs w:val="20"/>
                <w:vertAlign w:val="baseline"/>
                <w:lang w:val="en-US" w:eastAsia="zh-CN"/>
              </w:rPr>
            </w:pPr>
            <w:r>
              <w:rPr>
                <w:rFonts w:hint="eastAsia"/>
                <w:sz w:val="20"/>
                <w:szCs w:val="20"/>
                <w:vertAlign w:val="baseline"/>
                <w:lang w:val="en-US" w:eastAsia="zh-CN"/>
              </w:rPr>
              <w:t>37 codepoints=8+1+28</w:t>
            </w:r>
          </w:p>
          <w:p>
            <w:pPr>
              <w:pStyle w:val="2"/>
              <w:rPr>
                <w:rFonts w:hint="default"/>
                <w:sz w:val="20"/>
                <w:szCs w:val="20"/>
                <w:vertAlign w:val="baseline"/>
                <w:lang w:val="en-US" w:eastAsia="zh-CN"/>
              </w:rPr>
            </w:pPr>
            <w:r>
              <w:rPr>
                <w:rFonts w:hint="eastAsia"/>
                <w:sz w:val="20"/>
                <w:szCs w:val="20"/>
                <w:vertAlign w:val="baseline"/>
                <w:lang w:val="en-US" w:eastAsia="zh-CN"/>
              </w:rPr>
              <w:t>6bits</w:t>
            </w:r>
          </w:p>
        </w:tc>
      </w:tr>
    </w:tbl>
    <w:p>
      <w:pPr>
        <w:pStyle w:val="2"/>
        <w:rPr>
          <w:rFonts w:hint="eastAsia"/>
          <w:sz w:val="20"/>
          <w:szCs w:val="20"/>
          <w:lang w:val="en-US" w:eastAsia="zh-CN"/>
        </w:rPr>
      </w:pPr>
      <w:r>
        <w:rPr>
          <w:rFonts w:hint="eastAsia"/>
          <w:sz w:val="20"/>
          <w:szCs w:val="20"/>
          <w:lang w:val="en-US" w:eastAsia="zh-CN"/>
        </w:rPr>
        <w:t>In this case, the compatibility should be considered for LP-WUS design especially when we consider some reserved states used for other number subgroups indication.  An example for LP-WUS indication is shown as follows</w:t>
      </w:r>
    </w:p>
    <w:p>
      <w:pPr>
        <w:pStyle w:val="2"/>
        <w:jc w:val="center"/>
        <w:rPr>
          <w:rFonts w:hint="default"/>
          <w:sz w:val="20"/>
          <w:szCs w:val="20"/>
          <w:lang w:val="en-US" w:eastAsia="zh-CN"/>
        </w:rPr>
      </w:pPr>
      <w:r>
        <w:rPr>
          <w:rFonts w:hint="eastAsia"/>
          <w:sz w:val="20"/>
          <w:szCs w:val="20"/>
          <w:lang w:val="en-US" w:eastAsia="zh-CN"/>
        </w:rPr>
        <w:t>Table 3. Example LP-WUS indication for 32 subgroups</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312"/>
        <w:gridCol w:w="848"/>
        <w:gridCol w:w="887"/>
        <w:gridCol w:w="900"/>
        <w:gridCol w:w="1000"/>
        <w:gridCol w:w="950"/>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312" w:type="dxa"/>
          </w:tcPr>
          <w:p>
            <w:pPr>
              <w:pStyle w:val="2"/>
              <w:rPr>
                <w:rFonts w:hint="default"/>
                <w:sz w:val="20"/>
                <w:szCs w:val="20"/>
                <w:vertAlign w:val="baseline"/>
                <w:lang w:val="en-US" w:eastAsia="zh-CN"/>
              </w:rPr>
            </w:pPr>
            <w:r>
              <w:rPr>
                <w:rFonts w:hint="eastAsia"/>
                <w:sz w:val="20"/>
                <w:szCs w:val="20"/>
                <w:vertAlign w:val="baseline"/>
                <w:lang w:val="en-US" w:eastAsia="zh-CN"/>
              </w:rPr>
              <w:t xml:space="preserve">Number of subgroups </w:t>
            </w:r>
          </w:p>
        </w:tc>
        <w:tc>
          <w:tcPr>
            <w:tcW w:w="848" w:type="dxa"/>
          </w:tcPr>
          <w:p>
            <w:pPr>
              <w:pStyle w:val="2"/>
              <w:rPr>
                <w:rFonts w:hint="default"/>
                <w:sz w:val="20"/>
                <w:szCs w:val="20"/>
                <w:vertAlign w:val="baseline"/>
                <w:lang w:val="en-US" w:eastAsia="zh-CN"/>
              </w:rPr>
            </w:pPr>
            <w:r>
              <w:rPr>
                <w:rFonts w:hint="eastAsia"/>
                <w:sz w:val="20"/>
                <w:szCs w:val="20"/>
                <w:vertAlign w:val="baseline"/>
                <w:lang w:val="en-US" w:eastAsia="zh-CN"/>
              </w:rPr>
              <w:t>1bit</w:t>
            </w:r>
          </w:p>
        </w:tc>
        <w:tc>
          <w:tcPr>
            <w:tcW w:w="887" w:type="dxa"/>
          </w:tcPr>
          <w:p>
            <w:pPr>
              <w:pStyle w:val="2"/>
              <w:rPr>
                <w:rFonts w:hint="default"/>
                <w:sz w:val="20"/>
                <w:szCs w:val="20"/>
                <w:vertAlign w:val="baseline"/>
                <w:lang w:val="en-US" w:eastAsia="zh-CN"/>
              </w:rPr>
            </w:pPr>
            <w:r>
              <w:rPr>
                <w:rFonts w:hint="eastAsia"/>
                <w:sz w:val="20"/>
                <w:szCs w:val="20"/>
                <w:vertAlign w:val="baseline"/>
                <w:lang w:val="en-US" w:eastAsia="zh-CN"/>
              </w:rPr>
              <w:t>1bit</w:t>
            </w:r>
          </w:p>
        </w:tc>
        <w:tc>
          <w:tcPr>
            <w:tcW w:w="900" w:type="dxa"/>
          </w:tcPr>
          <w:p>
            <w:pPr>
              <w:pStyle w:val="2"/>
              <w:rPr>
                <w:rFonts w:hint="default"/>
                <w:sz w:val="20"/>
                <w:szCs w:val="20"/>
                <w:vertAlign w:val="baseline"/>
                <w:lang w:val="en-US" w:eastAsia="zh-CN"/>
              </w:rPr>
            </w:pPr>
            <w:r>
              <w:rPr>
                <w:rFonts w:hint="eastAsia"/>
                <w:sz w:val="20"/>
                <w:szCs w:val="20"/>
                <w:vertAlign w:val="baseline"/>
                <w:lang w:val="en-US" w:eastAsia="zh-CN"/>
              </w:rPr>
              <w:t>1bit</w:t>
            </w:r>
          </w:p>
        </w:tc>
        <w:tc>
          <w:tcPr>
            <w:tcW w:w="1000" w:type="dxa"/>
          </w:tcPr>
          <w:p>
            <w:pPr>
              <w:pStyle w:val="2"/>
              <w:rPr>
                <w:rFonts w:hint="default"/>
                <w:sz w:val="20"/>
                <w:szCs w:val="20"/>
                <w:vertAlign w:val="baseline"/>
                <w:lang w:val="en-US" w:eastAsia="zh-CN"/>
              </w:rPr>
            </w:pPr>
            <w:r>
              <w:rPr>
                <w:rFonts w:hint="eastAsia"/>
                <w:sz w:val="20"/>
                <w:szCs w:val="20"/>
                <w:vertAlign w:val="baseline"/>
                <w:lang w:val="en-US" w:eastAsia="zh-CN"/>
              </w:rPr>
              <w:t>1bit</w:t>
            </w:r>
          </w:p>
        </w:tc>
        <w:tc>
          <w:tcPr>
            <w:tcW w:w="950" w:type="dxa"/>
          </w:tcPr>
          <w:p>
            <w:pPr>
              <w:pStyle w:val="2"/>
              <w:rPr>
                <w:rFonts w:hint="default"/>
                <w:sz w:val="20"/>
                <w:szCs w:val="20"/>
                <w:vertAlign w:val="baseline"/>
                <w:lang w:val="en-US" w:eastAsia="zh-CN"/>
              </w:rPr>
            </w:pPr>
            <w:r>
              <w:rPr>
                <w:rFonts w:hint="eastAsia"/>
                <w:sz w:val="20"/>
                <w:szCs w:val="20"/>
                <w:vertAlign w:val="baseline"/>
                <w:lang w:val="en-US" w:eastAsia="zh-CN"/>
              </w:rPr>
              <w:t>1bit</w:t>
            </w:r>
          </w:p>
        </w:tc>
        <w:tc>
          <w:tcPr>
            <w:tcW w:w="1863" w:type="dxa"/>
          </w:tcPr>
          <w:p>
            <w:pPr>
              <w:pStyle w:val="2"/>
              <w:rPr>
                <w:rFonts w:hint="default"/>
                <w:sz w:val="20"/>
                <w:szCs w:val="20"/>
                <w:vertAlign w:val="baseline"/>
                <w:lang w:val="en-US" w:eastAsia="zh-CN"/>
              </w:rPr>
            </w:pPr>
            <w:r>
              <w:rPr>
                <w:rFonts w:hint="eastAsia"/>
                <w:sz w:val="20"/>
                <w:szCs w:val="20"/>
                <w:vertAlign w:val="baseline"/>
                <w:lang w:val="en-US" w:eastAsia="zh-CN"/>
              </w:rPr>
              <w:t>1bit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312" w:type="dxa"/>
          </w:tcPr>
          <w:p>
            <w:pPr>
              <w:pStyle w:val="2"/>
              <w:rPr>
                <w:rFonts w:hint="default"/>
                <w:sz w:val="20"/>
                <w:szCs w:val="20"/>
                <w:vertAlign w:val="baseline"/>
                <w:lang w:val="en-US" w:eastAsia="zh-CN"/>
              </w:rPr>
            </w:pPr>
            <w:r>
              <w:rPr>
                <w:rFonts w:hint="eastAsia"/>
                <w:sz w:val="20"/>
                <w:szCs w:val="20"/>
                <w:vertAlign w:val="baseline"/>
                <w:lang w:val="en-US" w:eastAsia="zh-CN"/>
              </w:rPr>
              <w:t>32</w:t>
            </w:r>
          </w:p>
        </w:tc>
        <w:tc>
          <w:tcPr>
            <w:tcW w:w="848" w:type="dxa"/>
          </w:tcPr>
          <w:p>
            <w:pPr>
              <w:pStyle w:val="2"/>
              <w:rPr>
                <w:rFonts w:hint="default"/>
                <w:sz w:val="20"/>
                <w:szCs w:val="20"/>
                <w:vertAlign w:val="baseline"/>
                <w:lang w:val="en-US" w:eastAsia="zh-CN"/>
              </w:rPr>
            </w:pPr>
            <w:r>
              <w:rPr>
                <w:rFonts w:hint="eastAsia"/>
                <w:sz w:val="20"/>
                <w:szCs w:val="20"/>
                <w:vertAlign w:val="baseline"/>
                <w:lang w:val="en-US" w:eastAsia="zh-CN"/>
              </w:rPr>
              <w:t>0</w:t>
            </w:r>
          </w:p>
        </w:tc>
        <w:tc>
          <w:tcPr>
            <w:tcW w:w="887" w:type="dxa"/>
          </w:tcPr>
          <w:p>
            <w:pPr>
              <w:pStyle w:val="2"/>
              <w:rPr>
                <w:rFonts w:hint="default"/>
                <w:sz w:val="20"/>
                <w:szCs w:val="20"/>
                <w:vertAlign w:val="baseline"/>
                <w:lang w:val="en-US" w:eastAsia="zh-CN"/>
              </w:rPr>
            </w:pPr>
            <w:r>
              <w:rPr>
                <w:rFonts w:hint="eastAsia"/>
                <w:sz w:val="20"/>
                <w:szCs w:val="20"/>
                <w:vertAlign w:val="baseline"/>
                <w:lang w:val="en-US" w:eastAsia="zh-CN"/>
              </w:rPr>
              <w:t>0</w:t>
            </w:r>
          </w:p>
        </w:tc>
        <w:tc>
          <w:tcPr>
            <w:tcW w:w="900" w:type="dxa"/>
          </w:tcPr>
          <w:p>
            <w:pPr>
              <w:pStyle w:val="2"/>
              <w:rPr>
                <w:rFonts w:hint="default"/>
                <w:sz w:val="20"/>
                <w:szCs w:val="20"/>
                <w:vertAlign w:val="baseline"/>
                <w:lang w:val="en-US" w:eastAsia="zh-CN"/>
              </w:rPr>
            </w:pPr>
            <w:r>
              <w:rPr>
                <w:rFonts w:hint="eastAsia"/>
                <w:sz w:val="20"/>
                <w:szCs w:val="20"/>
                <w:vertAlign w:val="baseline"/>
                <w:lang w:val="en-US" w:eastAsia="zh-CN"/>
              </w:rPr>
              <w:t>0</w:t>
            </w:r>
          </w:p>
        </w:tc>
        <w:tc>
          <w:tcPr>
            <w:tcW w:w="1000" w:type="dxa"/>
          </w:tcPr>
          <w:p>
            <w:pPr>
              <w:pStyle w:val="2"/>
              <w:rPr>
                <w:rFonts w:hint="default"/>
                <w:sz w:val="20"/>
                <w:szCs w:val="20"/>
                <w:vertAlign w:val="baseline"/>
                <w:lang w:val="en-US" w:eastAsia="zh-CN"/>
              </w:rPr>
            </w:pPr>
            <w:r>
              <w:rPr>
                <w:rFonts w:hint="eastAsia"/>
                <w:sz w:val="20"/>
                <w:szCs w:val="20"/>
                <w:vertAlign w:val="baseline"/>
                <w:lang w:val="en-US" w:eastAsia="zh-CN"/>
              </w:rPr>
              <w:t>0</w:t>
            </w:r>
          </w:p>
        </w:tc>
        <w:tc>
          <w:tcPr>
            <w:tcW w:w="950" w:type="dxa"/>
          </w:tcPr>
          <w:p>
            <w:pPr>
              <w:pStyle w:val="2"/>
              <w:rPr>
                <w:rFonts w:hint="default"/>
                <w:sz w:val="20"/>
                <w:szCs w:val="20"/>
                <w:vertAlign w:val="baseline"/>
                <w:lang w:val="en-US" w:eastAsia="zh-CN"/>
              </w:rPr>
            </w:pPr>
            <w:r>
              <w:rPr>
                <w:rFonts w:hint="eastAsia"/>
                <w:sz w:val="20"/>
                <w:szCs w:val="20"/>
                <w:vertAlign w:val="baseline"/>
                <w:lang w:val="en-US" w:eastAsia="zh-CN"/>
              </w:rPr>
              <w:t>0</w:t>
            </w:r>
          </w:p>
        </w:tc>
        <w:tc>
          <w:tcPr>
            <w:tcW w:w="1863" w:type="dxa"/>
          </w:tcPr>
          <w:p>
            <w:pPr>
              <w:pStyle w:val="2"/>
              <w:rPr>
                <w:rFonts w:hint="default"/>
                <w:sz w:val="20"/>
                <w:szCs w:val="20"/>
                <w:vertAlign w:val="baseline"/>
                <w:lang w:val="en-US" w:eastAsia="zh-CN"/>
              </w:rPr>
            </w:pPr>
            <w:r>
              <w:rPr>
                <w:rFonts w:hint="eastAsia"/>
                <w:sz w:val="20"/>
                <w:szCs w:val="20"/>
                <w:vertAlign w:val="baseline"/>
                <w:lang w:val="en-US" w:eastAsia="zh-CN"/>
              </w:rPr>
              <w:t>1 (one states for all subgroups wake-up)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312" w:type="dxa"/>
          </w:tcPr>
          <w:p>
            <w:pPr>
              <w:pStyle w:val="2"/>
              <w:rPr>
                <w:rFonts w:hint="default"/>
                <w:sz w:val="20"/>
                <w:szCs w:val="20"/>
                <w:vertAlign w:val="baseline"/>
                <w:lang w:val="en-US" w:eastAsia="zh-CN"/>
              </w:rPr>
            </w:pPr>
            <w:r>
              <w:rPr>
                <w:rFonts w:hint="eastAsia"/>
                <w:sz w:val="20"/>
                <w:szCs w:val="20"/>
                <w:vertAlign w:val="baseline"/>
                <w:lang w:val="en-US" w:eastAsia="zh-CN"/>
              </w:rPr>
              <w:t>16</w:t>
            </w:r>
          </w:p>
        </w:tc>
        <w:tc>
          <w:tcPr>
            <w:tcW w:w="848" w:type="dxa"/>
          </w:tcPr>
          <w:p>
            <w:pPr>
              <w:pStyle w:val="2"/>
              <w:rPr>
                <w:rFonts w:hint="default"/>
                <w:sz w:val="20"/>
                <w:szCs w:val="20"/>
                <w:vertAlign w:val="baseline"/>
                <w:lang w:val="en-US" w:eastAsia="zh-CN"/>
              </w:rPr>
            </w:pPr>
            <w:r>
              <w:rPr>
                <w:rFonts w:hint="eastAsia"/>
                <w:sz w:val="20"/>
                <w:szCs w:val="20"/>
                <w:vertAlign w:val="baseline"/>
                <w:lang w:val="en-US" w:eastAsia="zh-CN"/>
              </w:rPr>
              <w:t>0</w:t>
            </w:r>
          </w:p>
        </w:tc>
        <w:tc>
          <w:tcPr>
            <w:tcW w:w="887" w:type="dxa"/>
          </w:tcPr>
          <w:p>
            <w:pPr>
              <w:pStyle w:val="2"/>
              <w:rPr>
                <w:rFonts w:hint="default"/>
                <w:sz w:val="20"/>
                <w:szCs w:val="20"/>
                <w:vertAlign w:val="baseline"/>
                <w:lang w:val="en-US" w:eastAsia="zh-CN"/>
              </w:rPr>
            </w:pPr>
            <w:r>
              <w:rPr>
                <w:rFonts w:hint="eastAsia"/>
                <w:sz w:val="20"/>
                <w:szCs w:val="20"/>
                <w:vertAlign w:val="baseline"/>
                <w:lang w:val="en-US" w:eastAsia="zh-CN"/>
              </w:rPr>
              <w:t>0</w:t>
            </w:r>
          </w:p>
        </w:tc>
        <w:tc>
          <w:tcPr>
            <w:tcW w:w="900" w:type="dxa"/>
          </w:tcPr>
          <w:p>
            <w:pPr>
              <w:pStyle w:val="2"/>
              <w:rPr>
                <w:rFonts w:hint="default"/>
                <w:sz w:val="20"/>
                <w:szCs w:val="20"/>
                <w:vertAlign w:val="baseline"/>
                <w:lang w:val="en-US" w:eastAsia="zh-CN"/>
              </w:rPr>
            </w:pPr>
            <w:r>
              <w:rPr>
                <w:rFonts w:hint="eastAsia"/>
                <w:sz w:val="20"/>
                <w:szCs w:val="20"/>
                <w:vertAlign w:val="baseline"/>
                <w:lang w:val="en-US" w:eastAsia="zh-CN"/>
              </w:rPr>
              <w:t>0</w:t>
            </w:r>
          </w:p>
        </w:tc>
        <w:tc>
          <w:tcPr>
            <w:tcW w:w="1000" w:type="dxa"/>
          </w:tcPr>
          <w:p>
            <w:pPr>
              <w:pStyle w:val="2"/>
              <w:rPr>
                <w:rFonts w:hint="default"/>
                <w:sz w:val="20"/>
                <w:szCs w:val="20"/>
                <w:vertAlign w:val="baseline"/>
                <w:lang w:val="en-US" w:eastAsia="zh-CN"/>
              </w:rPr>
            </w:pPr>
            <w:r>
              <w:rPr>
                <w:rFonts w:hint="eastAsia"/>
                <w:sz w:val="20"/>
                <w:szCs w:val="20"/>
                <w:vertAlign w:val="baseline"/>
                <w:lang w:val="en-US" w:eastAsia="zh-CN"/>
              </w:rPr>
              <w:t>0</w:t>
            </w:r>
          </w:p>
        </w:tc>
        <w:tc>
          <w:tcPr>
            <w:tcW w:w="950" w:type="dxa"/>
          </w:tcPr>
          <w:p>
            <w:pPr>
              <w:pStyle w:val="2"/>
              <w:rPr>
                <w:rFonts w:hint="default"/>
                <w:sz w:val="20"/>
                <w:szCs w:val="20"/>
                <w:vertAlign w:val="baseline"/>
                <w:lang w:val="en-US" w:eastAsia="zh-CN"/>
              </w:rPr>
            </w:pPr>
            <w:r>
              <w:rPr>
                <w:rFonts w:hint="eastAsia"/>
                <w:sz w:val="20"/>
                <w:szCs w:val="20"/>
                <w:vertAlign w:val="baseline"/>
                <w:lang w:val="en-US" w:eastAsia="zh-CN"/>
              </w:rPr>
              <w:t>1</w:t>
            </w:r>
          </w:p>
        </w:tc>
        <w:tc>
          <w:tcPr>
            <w:tcW w:w="1863" w:type="dxa"/>
          </w:tcPr>
          <w:p>
            <w:pPr>
              <w:pStyle w:val="2"/>
              <w:rPr>
                <w:rFonts w:hint="default"/>
                <w:sz w:val="20"/>
                <w:szCs w:val="20"/>
                <w:vertAlign w:val="baseline"/>
                <w:lang w:val="en-US" w:eastAsia="zh-CN"/>
              </w:rPr>
            </w:pPr>
            <w:r>
              <w:rPr>
                <w:rFonts w:hint="eastAsia"/>
                <w:sz w:val="20"/>
                <w:szCs w:val="20"/>
                <w:vertAlign w:val="baseline"/>
                <w:lang w:val="en-US" w:eastAsia="zh-CN"/>
              </w:rPr>
              <w:t>2states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312" w:type="dxa"/>
          </w:tcPr>
          <w:p>
            <w:pPr>
              <w:pStyle w:val="2"/>
              <w:rPr>
                <w:rFonts w:hint="default"/>
                <w:sz w:val="20"/>
                <w:szCs w:val="20"/>
                <w:vertAlign w:val="baseline"/>
                <w:lang w:val="en-US" w:eastAsia="zh-CN"/>
              </w:rPr>
            </w:pPr>
            <w:r>
              <w:rPr>
                <w:rFonts w:hint="eastAsia"/>
                <w:sz w:val="20"/>
                <w:szCs w:val="20"/>
                <w:vertAlign w:val="baseline"/>
                <w:lang w:val="en-US" w:eastAsia="zh-CN"/>
              </w:rPr>
              <w:t>8</w:t>
            </w:r>
          </w:p>
        </w:tc>
        <w:tc>
          <w:tcPr>
            <w:tcW w:w="848" w:type="dxa"/>
          </w:tcPr>
          <w:p>
            <w:pPr>
              <w:pStyle w:val="2"/>
              <w:rPr>
                <w:rFonts w:hint="default"/>
                <w:sz w:val="20"/>
                <w:szCs w:val="20"/>
                <w:vertAlign w:val="baseline"/>
                <w:lang w:val="en-US" w:eastAsia="zh-CN"/>
              </w:rPr>
            </w:pPr>
            <w:r>
              <w:rPr>
                <w:rFonts w:hint="eastAsia"/>
                <w:sz w:val="20"/>
                <w:szCs w:val="20"/>
                <w:vertAlign w:val="baseline"/>
                <w:lang w:val="en-US" w:eastAsia="zh-CN"/>
              </w:rPr>
              <w:t>0</w:t>
            </w:r>
          </w:p>
        </w:tc>
        <w:tc>
          <w:tcPr>
            <w:tcW w:w="887" w:type="dxa"/>
          </w:tcPr>
          <w:p>
            <w:pPr>
              <w:pStyle w:val="2"/>
              <w:rPr>
                <w:rFonts w:hint="default"/>
                <w:sz w:val="20"/>
                <w:szCs w:val="20"/>
                <w:vertAlign w:val="baseline"/>
                <w:lang w:val="en-US" w:eastAsia="zh-CN"/>
              </w:rPr>
            </w:pPr>
            <w:r>
              <w:rPr>
                <w:rFonts w:hint="eastAsia"/>
                <w:sz w:val="20"/>
                <w:szCs w:val="20"/>
                <w:vertAlign w:val="baseline"/>
                <w:lang w:val="en-US" w:eastAsia="zh-CN"/>
              </w:rPr>
              <w:t>0</w:t>
            </w:r>
          </w:p>
        </w:tc>
        <w:tc>
          <w:tcPr>
            <w:tcW w:w="900" w:type="dxa"/>
          </w:tcPr>
          <w:p>
            <w:pPr>
              <w:pStyle w:val="2"/>
              <w:rPr>
                <w:rFonts w:hint="default"/>
                <w:sz w:val="20"/>
                <w:szCs w:val="20"/>
                <w:vertAlign w:val="baseline"/>
                <w:lang w:val="en-US" w:eastAsia="zh-CN"/>
              </w:rPr>
            </w:pPr>
            <w:r>
              <w:rPr>
                <w:rFonts w:hint="eastAsia"/>
                <w:sz w:val="20"/>
                <w:szCs w:val="20"/>
                <w:vertAlign w:val="baseline"/>
                <w:lang w:val="en-US" w:eastAsia="zh-CN"/>
              </w:rPr>
              <w:t>0</w:t>
            </w:r>
          </w:p>
        </w:tc>
        <w:tc>
          <w:tcPr>
            <w:tcW w:w="1000" w:type="dxa"/>
          </w:tcPr>
          <w:p>
            <w:pPr>
              <w:pStyle w:val="2"/>
              <w:rPr>
                <w:rFonts w:hint="default"/>
                <w:sz w:val="20"/>
                <w:szCs w:val="20"/>
                <w:vertAlign w:val="baseline"/>
                <w:lang w:val="en-US" w:eastAsia="zh-CN"/>
              </w:rPr>
            </w:pPr>
            <w:r>
              <w:rPr>
                <w:rFonts w:hint="eastAsia"/>
                <w:sz w:val="20"/>
                <w:szCs w:val="20"/>
                <w:vertAlign w:val="baseline"/>
                <w:lang w:val="en-US" w:eastAsia="zh-CN"/>
              </w:rPr>
              <w:t>1</w:t>
            </w:r>
          </w:p>
        </w:tc>
        <w:tc>
          <w:tcPr>
            <w:tcW w:w="2813" w:type="dxa"/>
            <w:gridSpan w:val="2"/>
          </w:tcPr>
          <w:p>
            <w:pPr>
              <w:pStyle w:val="2"/>
              <w:rPr>
                <w:rFonts w:hint="default"/>
                <w:sz w:val="20"/>
                <w:szCs w:val="20"/>
                <w:vertAlign w:val="baseline"/>
                <w:lang w:val="en-US" w:eastAsia="zh-CN"/>
              </w:rPr>
            </w:pPr>
            <w:r>
              <w:rPr>
                <w:rFonts w:hint="eastAsia"/>
                <w:sz w:val="20"/>
                <w:szCs w:val="20"/>
                <w:vertAlign w:val="baseline"/>
                <w:lang w:val="en-US" w:eastAsia="zh-CN"/>
              </w:rPr>
              <w:t>4states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312" w:type="dxa"/>
          </w:tcPr>
          <w:p>
            <w:pPr>
              <w:pStyle w:val="2"/>
              <w:rPr>
                <w:rFonts w:hint="default"/>
                <w:sz w:val="20"/>
                <w:szCs w:val="20"/>
                <w:vertAlign w:val="baseline"/>
                <w:lang w:val="en-US" w:eastAsia="zh-CN"/>
              </w:rPr>
            </w:pPr>
            <w:r>
              <w:rPr>
                <w:rFonts w:hint="eastAsia"/>
                <w:sz w:val="20"/>
                <w:szCs w:val="20"/>
                <w:vertAlign w:val="baseline"/>
                <w:lang w:val="en-US" w:eastAsia="zh-CN"/>
              </w:rPr>
              <w:t>4</w:t>
            </w:r>
          </w:p>
        </w:tc>
        <w:tc>
          <w:tcPr>
            <w:tcW w:w="848" w:type="dxa"/>
          </w:tcPr>
          <w:p>
            <w:pPr>
              <w:pStyle w:val="2"/>
              <w:rPr>
                <w:rFonts w:hint="default"/>
                <w:sz w:val="20"/>
                <w:szCs w:val="20"/>
                <w:vertAlign w:val="baseline"/>
                <w:lang w:val="en-US" w:eastAsia="zh-CN"/>
              </w:rPr>
            </w:pPr>
            <w:r>
              <w:rPr>
                <w:rFonts w:hint="eastAsia"/>
                <w:sz w:val="20"/>
                <w:szCs w:val="20"/>
                <w:vertAlign w:val="baseline"/>
                <w:lang w:val="en-US" w:eastAsia="zh-CN"/>
              </w:rPr>
              <w:t>0</w:t>
            </w:r>
          </w:p>
        </w:tc>
        <w:tc>
          <w:tcPr>
            <w:tcW w:w="887" w:type="dxa"/>
          </w:tcPr>
          <w:p>
            <w:pPr>
              <w:pStyle w:val="2"/>
              <w:rPr>
                <w:rFonts w:hint="default"/>
                <w:sz w:val="20"/>
                <w:szCs w:val="20"/>
                <w:vertAlign w:val="baseline"/>
                <w:lang w:val="en-US" w:eastAsia="zh-CN"/>
              </w:rPr>
            </w:pPr>
            <w:r>
              <w:rPr>
                <w:rFonts w:hint="eastAsia"/>
                <w:sz w:val="20"/>
                <w:szCs w:val="20"/>
                <w:vertAlign w:val="baseline"/>
                <w:lang w:val="en-US" w:eastAsia="zh-CN"/>
              </w:rPr>
              <w:t>0</w:t>
            </w:r>
          </w:p>
        </w:tc>
        <w:tc>
          <w:tcPr>
            <w:tcW w:w="900" w:type="dxa"/>
          </w:tcPr>
          <w:p>
            <w:pPr>
              <w:pStyle w:val="2"/>
              <w:rPr>
                <w:rFonts w:hint="default"/>
                <w:sz w:val="20"/>
                <w:szCs w:val="20"/>
                <w:vertAlign w:val="baseline"/>
                <w:lang w:val="en-US" w:eastAsia="zh-CN"/>
              </w:rPr>
            </w:pPr>
            <w:r>
              <w:rPr>
                <w:rFonts w:hint="eastAsia"/>
                <w:sz w:val="20"/>
                <w:szCs w:val="20"/>
                <w:vertAlign w:val="baseline"/>
                <w:lang w:val="en-US" w:eastAsia="zh-CN"/>
              </w:rPr>
              <w:t>1</w:t>
            </w:r>
          </w:p>
        </w:tc>
        <w:tc>
          <w:tcPr>
            <w:tcW w:w="3813" w:type="dxa"/>
            <w:gridSpan w:val="3"/>
          </w:tcPr>
          <w:p>
            <w:pPr>
              <w:pStyle w:val="2"/>
              <w:rPr>
                <w:rFonts w:hint="default"/>
                <w:sz w:val="20"/>
                <w:szCs w:val="20"/>
                <w:vertAlign w:val="baseline"/>
                <w:lang w:val="en-US" w:eastAsia="zh-CN"/>
              </w:rPr>
            </w:pPr>
            <w:r>
              <w:rPr>
                <w:rFonts w:hint="eastAsia"/>
                <w:sz w:val="20"/>
                <w:szCs w:val="20"/>
                <w:vertAlign w:val="baseline"/>
                <w:lang w:val="en-US" w:eastAsia="zh-CN"/>
              </w:rPr>
              <w:t>8states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312" w:type="dxa"/>
          </w:tcPr>
          <w:p>
            <w:pPr>
              <w:pStyle w:val="2"/>
              <w:rPr>
                <w:rFonts w:hint="default"/>
                <w:sz w:val="20"/>
                <w:szCs w:val="20"/>
                <w:vertAlign w:val="baseline"/>
                <w:lang w:val="en-US" w:eastAsia="zh-CN"/>
              </w:rPr>
            </w:pPr>
            <w:r>
              <w:rPr>
                <w:rFonts w:hint="eastAsia"/>
                <w:sz w:val="20"/>
                <w:szCs w:val="20"/>
                <w:vertAlign w:val="baseline"/>
                <w:lang w:val="en-US" w:eastAsia="zh-CN"/>
              </w:rPr>
              <w:t>2</w:t>
            </w:r>
          </w:p>
        </w:tc>
        <w:tc>
          <w:tcPr>
            <w:tcW w:w="848" w:type="dxa"/>
          </w:tcPr>
          <w:p>
            <w:pPr>
              <w:pStyle w:val="2"/>
              <w:rPr>
                <w:rFonts w:hint="default"/>
                <w:sz w:val="20"/>
                <w:szCs w:val="20"/>
                <w:vertAlign w:val="baseline"/>
                <w:lang w:val="en-US" w:eastAsia="zh-CN"/>
              </w:rPr>
            </w:pPr>
            <w:r>
              <w:rPr>
                <w:rFonts w:hint="eastAsia"/>
                <w:sz w:val="20"/>
                <w:szCs w:val="20"/>
                <w:vertAlign w:val="baseline"/>
                <w:lang w:val="en-US" w:eastAsia="zh-CN"/>
              </w:rPr>
              <w:t>0</w:t>
            </w:r>
          </w:p>
        </w:tc>
        <w:tc>
          <w:tcPr>
            <w:tcW w:w="887" w:type="dxa"/>
          </w:tcPr>
          <w:p>
            <w:pPr>
              <w:pStyle w:val="2"/>
              <w:rPr>
                <w:rFonts w:hint="default"/>
                <w:sz w:val="20"/>
                <w:szCs w:val="20"/>
                <w:vertAlign w:val="baseline"/>
                <w:lang w:val="en-US" w:eastAsia="zh-CN"/>
              </w:rPr>
            </w:pPr>
            <w:r>
              <w:rPr>
                <w:rFonts w:hint="eastAsia"/>
                <w:sz w:val="20"/>
                <w:szCs w:val="20"/>
                <w:vertAlign w:val="baseline"/>
                <w:lang w:val="en-US" w:eastAsia="zh-CN"/>
              </w:rPr>
              <w:t>1</w:t>
            </w:r>
          </w:p>
        </w:tc>
        <w:tc>
          <w:tcPr>
            <w:tcW w:w="4713" w:type="dxa"/>
            <w:gridSpan w:val="4"/>
          </w:tcPr>
          <w:p>
            <w:pPr>
              <w:pStyle w:val="2"/>
              <w:rPr>
                <w:rFonts w:hint="default"/>
                <w:sz w:val="20"/>
                <w:szCs w:val="20"/>
                <w:vertAlign w:val="baseline"/>
                <w:lang w:val="en-US" w:eastAsia="zh-CN"/>
              </w:rPr>
            </w:pPr>
            <w:r>
              <w:rPr>
                <w:rFonts w:hint="eastAsia"/>
                <w:sz w:val="20"/>
                <w:szCs w:val="20"/>
                <w:vertAlign w:val="baseline"/>
                <w:lang w:val="en-US" w:eastAsia="zh-CN"/>
              </w:rPr>
              <w:t>16states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312" w:type="dxa"/>
          </w:tcPr>
          <w:p>
            <w:pPr>
              <w:pStyle w:val="2"/>
              <w:rPr>
                <w:rFonts w:hint="default"/>
                <w:sz w:val="20"/>
                <w:szCs w:val="20"/>
                <w:vertAlign w:val="baseline"/>
                <w:lang w:val="en-US" w:eastAsia="zh-CN"/>
              </w:rPr>
            </w:pPr>
            <w:r>
              <w:rPr>
                <w:rFonts w:hint="eastAsia"/>
                <w:sz w:val="20"/>
                <w:szCs w:val="20"/>
                <w:vertAlign w:val="baseline"/>
                <w:lang w:val="en-US" w:eastAsia="zh-CN"/>
              </w:rPr>
              <w:t>1</w:t>
            </w:r>
          </w:p>
        </w:tc>
        <w:tc>
          <w:tcPr>
            <w:tcW w:w="848" w:type="dxa"/>
          </w:tcPr>
          <w:p>
            <w:pPr>
              <w:pStyle w:val="2"/>
              <w:rPr>
                <w:rFonts w:hint="default"/>
                <w:sz w:val="20"/>
                <w:szCs w:val="20"/>
                <w:vertAlign w:val="baseline"/>
                <w:lang w:val="en-US" w:eastAsia="zh-CN"/>
              </w:rPr>
            </w:pPr>
            <w:r>
              <w:rPr>
                <w:rFonts w:hint="eastAsia"/>
                <w:sz w:val="20"/>
                <w:szCs w:val="20"/>
                <w:vertAlign w:val="baseline"/>
                <w:lang w:val="en-US" w:eastAsia="zh-CN"/>
              </w:rPr>
              <w:t>1</w:t>
            </w:r>
          </w:p>
        </w:tc>
        <w:tc>
          <w:tcPr>
            <w:tcW w:w="5600" w:type="dxa"/>
            <w:gridSpan w:val="5"/>
          </w:tcPr>
          <w:p>
            <w:pPr>
              <w:pStyle w:val="2"/>
              <w:rPr>
                <w:rFonts w:hint="default"/>
                <w:sz w:val="20"/>
                <w:szCs w:val="20"/>
                <w:vertAlign w:val="baseline"/>
                <w:lang w:val="en-US" w:eastAsia="zh-CN"/>
              </w:rPr>
            </w:pPr>
            <w:r>
              <w:rPr>
                <w:rFonts w:hint="eastAsia"/>
                <w:sz w:val="20"/>
                <w:szCs w:val="20"/>
                <w:vertAlign w:val="baseline"/>
                <w:lang w:val="en-US" w:eastAsia="zh-CN"/>
              </w:rPr>
              <w:t>32 states</w:t>
            </w:r>
          </w:p>
        </w:tc>
      </w:tr>
    </w:tbl>
    <w:p>
      <w:pPr>
        <w:pStyle w:val="2"/>
        <w:rPr>
          <w:rFonts w:hint="default"/>
          <w:b/>
          <w:bCs/>
          <w:i/>
          <w:iCs/>
          <w:sz w:val="20"/>
          <w:szCs w:val="18"/>
          <w:lang w:val="en-US" w:eastAsia="zh-CN"/>
        </w:rPr>
      </w:pPr>
      <w:r>
        <w:rPr>
          <w:rFonts w:hint="eastAsia"/>
          <w:b/>
          <w:bCs/>
          <w:i/>
          <w:iCs/>
          <w:sz w:val="20"/>
          <w:szCs w:val="18"/>
          <w:lang w:val="en-US" w:eastAsia="zh-CN"/>
        </w:rPr>
        <w:t>Proposal 4: Two subgroups wake-up via LP-WUS indication is needed.</w:t>
      </w:r>
    </w:p>
    <w:p>
      <w:pPr>
        <w:pStyle w:val="2"/>
        <w:numPr>
          <w:ilvl w:val="0"/>
          <w:numId w:val="22"/>
        </w:numPr>
        <w:ind w:left="420" w:leftChars="0" w:hanging="420" w:firstLineChars="0"/>
        <w:rPr>
          <w:rFonts w:hint="eastAsia"/>
          <w:i/>
          <w:iCs/>
          <w:sz w:val="20"/>
          <w:szCs w:val="18"/>
          <w:lang w:val="en-US" w:eastAsia="zh-CN"/>
        </w:rPr>
      </w:pPr>
      <w:r>
        <w:rPr>
          <w:rFonts w:hint="eastAsia"/>
          <w:b/>
          <w:bCs/>
          <w:i/>
          <w:iCs/>
          <w:sz w:val="20"/>
          <w:szCs w:val="18"/>
          <w:lang w:val="en-US" w:eastAsia="zh-CN"/>
        </w:rPr>
        <w:t>FFS: attribute subgroups combinations is supported</w:t>
      </w:r>
    </w:p>
    <w:p>
      <w:pPr>
        <w:pStyle w:val="2"/>
        <w:numPr>
          <w:ilvl w:val="0"/>
          <w:numId w:val="22"/>
        </w:numPr>
        <w:ind w:left="420" w:leftChars="0" w:hanging="420" w:firstLineChars="0"/>
        <w:rPr>
          <w:rFonts w:hint="eastAsia"/>
          <w:i/>
          <w:iCs/>
          <w:sz w:val="20"/>
          <w:szCs w:val="18"/>
          <w:lang w:val="en-US" w:eastAsia="zh-CN"/>
        </w:rPr>
      </w:pPr>
      <w:r>
        <w:rPr>
          <w:rFonts w:hint="eastAsia"/>
          <w:b/>
          <w:bCs/>
          <w:i/>
          <w:iCs/>
          <w:sz w:val="20"/>
          <w:szCs w:val="18"/>
          <w:lang w:val="en-US" w:eastAsia="zh-CN"/>
        </w:rPr>
        <w:t>Other number subgroups could be supported if there are some reserved states</w:t>
      </w:r>
    </w:p>
    <w:p>
      <w:pPr>
        <w:pStyle w:val="2"/>
        <w:numPr>
          <w:ilvl w:val="-1"/>
          <w:numId w:val="0"/>
        </w:numPr>
        <w:ind w:left="0" w:firstLine="0"/>
      </w:pPr>
    </w:p>
    <w:bookmarkEnd w:id="11"/>
    <w:bookmarkEnd w:id="12"/>
    <w:p>
      <w:pPr>
        <w:pStyle w:val="3"/>
        <w:spacing w:before="120"/>
        <w:rPr>
          <w:lang w:val="en-US"/>
        </w:rPr>
      </w:pPr>
      <w:r>
        <w:rPr>
          <w:rFonts w:hint="eastAsia"/>
          <w:lang w:val="en-US"/>
        </w:rPr>
        <w:t>LP-WUS monitoring schemes</w:t>
      </w:r>
    </w:p>
    <w:p>
      <w:pPr>
        <w:pStyle w:val="4"/>
        <w:spacing w:before="120"/>
        <w:rPr>
          <w:lang w:val="en-US"/>
        </w:rPr>
      </w:pPr>
      <w:r>
        <w:rPr>
          <w:rFonts w:hint="eastAsia"/>
          <w:lang w:val="en-US" w:eastAsia="zh-CN"/>
        </w:rPr>
        <w:t>LO and PO offset</w:t>
      </w:r>
    </w:p>
    <w:p>
      <w:pPr>
        <w:rPr>
          <w:rFonts w:hint="default"/>
          <w:lang w:val="en-US" w:eastAsia="zh-CN"/>
        </w:rPr>
      </w:pPr>
      <w:r>
        <w:rPr>
          <w:rFonts w:hint="eastAsia"/>
          <w:lang w:val="en-US" w:eastAsia="zh-CN"/>
        </w:rPr>
        <w:t xml:space="preserve">We firstly clarify the following </w:t>
      </w:r>
      <w:r>
        <w:rPr>
          <w:rFonts w:ascii="Times" w:hAnsi="Times" w:eastAsia="Batang" w:cs="Times New Roman"/>
          <w:szCs w:val="24"/>
          <w:lang w:val="en-GB" w:eastAsia="zh-CN" w:bidi="ar-SA"/>
        </w:rPr>
        <w:t>alternatives</w:t>
      </w:r>
      <w:r>
        <w:rPr>
          <w:rFonts w:hint="eastAsia"/>
          <w:lang w:val="en-US" w:eastAsia="zh-CN"/>
        </w:rPr>
        <w:t>, and then further analyze based on the conclusion of this issue.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For the offset value(s) between an LO and a reference PO/PF, consider the following options:</w:t>
            </w:r>
          </w:p>
          <w:p>
            <w:pPr>
              <w:numPr>
                <w:ilvl w:val="0"/>
                <w:numId w:val="8"/>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Definition: The gap between an LO and a PO is considered to be no less than the wake-up delay a UE supports if the gap between the end of the last LP-WUS MO the UE monitors in the LO and the start of the PO is no less than the wake-up delay.</w:t>
            </w:r>
          </w:p>
          <w:p>
            <w:pPr>
              <w:numPr>
                <w:ilvl w:val="0"/>
                <w:numId w:val="8"/>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1: gNB configures a single offset value.</w:t>
            </w:r>
          </w:p>
          <w:p>
            <w:pPr>
              <w:numPr>
                <w:ilvl w:val="1"/>
                <w:numId w:val="8"/>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If the gap between an LO and the PO</w:t>
            </w:r>
            <w:r>
              <w:rPr>
                <w:rFonts w:hint="eastAsia" w:ascii="Times" w:hAnsi="Times" w:eastAsia="Batang" w:cs="Times New Roman"/>
                <w:szCs w:val="24"/>
                <w:lang w:val="en-GB" w:eastAsia="zh-CN" w:bidi="ar-SA"/>
              </w:rPr>
              <w:t xml:space="preserve"> </w:t>
            </w:r>
            <w:r>
              <w:rPr>
                <w:rFonts w:ascii="Times" w:hAnsi="Times" w:eastAsia="Batang" w:cs="Times New Roman"/>
                <w:szCs w:val="24"/>
                <w:lang w:val="en-US" w:eastAsia="zh-CN" w:bidi="ar-SA"/>
              </w:rPr>
              <w:t>associated with the offset</w:t>
            </w:r>
            <w:r>
              <w:rPr>
                <w:rFonts w:hint="eastAsia" w:ascii="Times" w:hAnsi="Times" w:eastAsia="Batang" w:cs="Times New Roman"/>
                <w:szCs w:val="24"/>
                <w:lang w:val="en-GB" w:eastAsia="zh-CN" w:bidi="ar-SA"/>
              </w:rPr>
              <w:t xml:space="preserve"> </w:t>
            </w:r>
            <w:r>
              <w:rPr>
                <w:rFonts w:ascii="Times" w:hAnsi="Times" w:eastAsia="Batang" w:cs="Times New Roman"/>
                <w:szCs w:val="24"/>
                <w:lang w:val="en-GB" w:eastAsia="zh-CN" w:bidi="ar-SA"/>
              </w:rPr>
              <w:t>is no less than the wake-up delay a UE supports, the UE monitors the PO associated with the offset after receiving a wake-up indication in a LP-WUS.</w:t>
            </w:r>
          </w:p>
          <w:p>
            <w:pPr>
              <w:numPr>
                <w:ilvl w:val="1"/>
                <w:numId w:val="8"/>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Otherwise,</w:t>
            </w:r>
            <w:bookmarkStart w:id="20" w:name="_GoBack"/>
            <w:bookmarkEnd w:id="20"/>
          </w:p>
          <w:p>
            <w:pPr>
              <w:numPr>
                <w:ilvl w:val="2"/>
                <w:numId w:val="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1-1: the UE follows the legacy paging monitoring procedure.</w:t>
            </w:r>
          </w:p>
          <w:p>
            <w:pPr>
              <w:numPr>
                <w:ilvl w:val="2"/>
                <w:numId w:val="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1-2: the UE monitors LP-WUS. If it receives a wake-up indication in a LP-WUS, it monitors the first PO after its reported wake-up delay.</w:t>
            </w:r>
          </w:p>
          <w:p>
            <w:pPr>
              <w:numPr>
                <w:ilvl w:val="0"/>
                <w:numId w:val="8"/>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2: gNB configures one or multiple offset values.</w:t>
            </w:r>
          </w:p>
          <w:p>
            <w:pPr>
              <w:numPr>
                <w:ilvl w:val="1"/>
                <w:numId w:val="8"/>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For the same PO, each offset corresponds to a LO.</w:t>
            </w:r>
          </w:p>
          <w:p>
            <w:pPr>
              <w:numPr>
                <w:ilvl w:val="2"/>
                <w:numId w:val="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This does not preclude the possibility that the same LO may correspond to different POs with different offset values.</w:t>
            </w:r>
          </w:p>
          <w:p>
            <w:pPr>
              <w:numPr>
                <w:ilvl w:val="1"/>
                <w:numId w:val="8"/>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pPr>
              <w:numPr>
                <w:ilvl w:val="2"/>
                <w:numId w:val="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This implies that the gNB needs to configure at least one offset value that is no less than the largest wake-up delay supported by the UEs.</w:t>
            </w:r>
          </w:p>
          <w:p>
            <w:pPr>
              <w:numPr>
                <w:ilvl w:val="2"/>
                <w:numId w:val="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exactly how to choose the offset</w:t>
            </w:r>
          </w:p>
          <w:p>
            <w:pPr>
              <w:numPr>
                <w:ilvl w:val="1"/>
                <w:numId w:val="8"/>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2B:</w:t>
            </w:r>
          </w:p>
          <w:p>
            <w:pPr>
              <w:numPr>
                <w:ilvl w:val="2"/>
                <w:numId w:val="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pPr>
              <w:numPr>
                <w:ilvl w:val="3"/>
                <w:numId w:val="8"/>
              </w:numPr>
              <w:snapToGrid/>
              <w:spacing w:before="0" w:beforeLines="-2147483648" w:after="0" w:line="240" w:lineRule="auto"/>
              <w:ind w:left="288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exactly how to choose the offset</w:t>
            </w:r>
          </w:p>
          <w:p>
            <w:pPr>
              <w:numPr>
                <w:ilvl w:val="2"/>
                <w:numId w:val="8"/>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Otherwise,</w:t>
            </w:r>
          </w:p>
          <w:p>
            <w:pPr>
              <w:numPr>
                <w:ilvl w:val="3"/>
                <w:numId w:val="8"/>
              </w:numPr>
              <w:snapToGrid/>
              <w:spacing w:before="0" w:beforeLines="-2147483648" w:after="0" w:line="240" w:lineRule="auto"/>
              <w:ind w:left="288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2B-1: the UE follows the legacy paging monitoring procedure.</w:t>
            </w:r>
          </w:p>
          <w:p>
            <w:pPr>
              <w:numPr>
                <w:ilvl w:val="3"/>
                <w:numId w:val="8"/>
              </w:numPr>
              <w:snapToGrid/>
              <w:spacing w:before="0" w:beforeLines="-2147483648" w:after="0" w:line="240" w:lineRule="auto"/>
              <w:ind w:left="288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Option 2B-2: the UE monitors LP-WUS. If it receives a wake-up indication in a LP-WUS, it monitors the first PO after its reported wake-up delay.</w:t>
            </w:r>
          </w:p>
          <w:p>
            <w:pPr>
              <w:numPr>
                <w:ilvl w:val="4"/>
                <w:numId w:val="8"/>
              </w:numPr>
              <w:snapToGrid/>
              <w:spacing w:before="0" w:beforeLines="-2147483648" w:after="0" w:line="240" w:lineRule="auto"/>
              <w:ind w:left="360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exactly how to choose the offset</w:t>
            </w:r>
          </w:p>
          <w:p>
            <w:pPr>
              <w:numPr>
                <w:ilvl w:val="1"/>
                <w:numId w:val="8"/>
              </w:numPr>
              <w:snapToGrid/>
              <w:spacing w:before="0" w:beforeLines="-2147483648" w:after="0" w:line="240" w:lineRule="auto"/>
              <w:ind w:left="144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the UE shall monitor the LO associated with additional offset(s)</w:t>
            </w:r>
          </w:p>
          <w:p>
            <w:pPr>
              <w:tabs>
                <w:tab w:val="left" w:pos="1440"/>
              </w:tabs>
              <w:snapToGrid/>
              <w:spacing w:before="0" w:beforeLines="-2147483648" w:after="0" w:line="240" w:lineRule="auto"/>
              <w:jc w:val="left"/>
              <w:rPr>
                <w:rFonts w:hint="eastAsia"/>
                <w:vertAlign w:val="baseline"/>
                <w:lang w:val="en-US" w:eastAsia="zh-CN"/>
              </w:rPr>
            </w:pPr>
            <w:r>
              <w:rPr>
                <w:rFonts w:ascii="Times" w:hAnsi="Times" w:eastAsia="Batang"/>
                <w:szCs w:val="20"/>
                <w:lang w:val="en-GB" w:eastAsia="en-US"/>
              </w:rPr>
              <w:t>Note: The PO mentioned above refers to legacy PO configured for the UE.</w:t>
            </w:r>
          </w:p>
        </w:tc>
      </w:tr>
    </w:tbl>
    <w:p>
      <w:pPr>
        <w:rPr>
          <w:rFonts w:hint="eastAsia"/>
          <w:lang w:val="en-US" w:eastAsia="zh-CN"/>
        </w:rPr>
      </w:pP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Based on option1, to cover all the wake-up delays UE supports, the gNB generally would configure a large offset, e.g., 800ms. Without wake-up delay report, option 1 also works. In this case, actually, option1 invalidate the wake-up delay report.</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the gNB configure a small offset value, e.g.,40ms, based on option 1-1, the UE is not allowed to go to UDS and is required to monitor PO. In this case, the power saving gain would degrade since the UE may not have more time stay in UDS. Based on option 1-2, the UE PSG is not impacted, but the there is impact on the legacy paging implementation mechanism. More specifically, if the gNB page a UE who support LP-WUS, the gNB may need to send paging trice, in associated PO and next PO, since the gNB does not know whether this UE is monitoring LP-WUS or not. If the gNB mandate the UE who support LP-WUS in any condition to monitor the next PO and would not transmit the paging in first PO, then the UE who has the LP-WUS capability but not in LP-WUS mode would be impacted and also the gNB paging mechanism is changed.</w:t>
      </w:r>
    </w:p>
    <w:p>
      <w:pPr>
        <w:pStyle w:val="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Based on option 2, different offsets can address the different latency requirements and PSG requirements. For example, for the UE reporting 20ms as wake-up delay, the gNB can configure offset as 20ms to make sure that the UE has the smallest latency and largest PSG. </w:t>
      </w:r>
    </w:p>
    <w:p>
      <w:pPr>
        <w:pStyle w:val="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option 2A, it has some restriction on offset</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configuration</w:t>
      </w:r>
      <w:r>
        <w:rPr>
          <w:rFonts w:hint="eastAsia" w:cs="Times New Roman"/>
          <w:sz w:val="20"/>
          <w:szCs w:val="20"/>
          <w:lang w:val="en-US" w:eastAsia="zh-CN"/>
        </w:rPr>
        <w:t xml:space="preserve"> for gNB</w:t>
      </w:r>
      <w:r>
        <w:rPr>
          <w:rFonts w:hint="default" w:ascii="Times New Roman" w:hAnsi="Times New Roman" w:cs="Times New Roman"/>
          <w:sz w:val="20"/>
          <w:szCs w:val="20"/>
          <w:lang w:val="en-US" w:eastAsia="zh-CN"/>
        </w:rPr>
        <w:t>, however, the UE behavior is clear. For option 2B-1, the NW may configure all the offsets less than a UE’s wake-up delay, in this case, the UE would monitor legacy paging behavior. That’s to say, the gNB deactivate LP-WUS monitoring for some of the UEs via the offset configuration, which can be viewed as another exit condition. And further clarification on UE measurement is needed, e.g., whether the UE should return to MR measurement.</w:t>
      </w:r>
    </w:p>
    <w:p>
      <w:pPr>
        <w:pStyle w:val="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option 2B-2, similar issue as option 1-2. </w:t>
      </w:r>
    </w:p>
    <w:p>
      <w:pPr>
        <w:pStyle w:val="2"/>
        <w:rPr>
          <w:rFonts w:hint="eastAsia"/>
          <w:b/>
          <w:bCs/>
          <w:i/>
          <w:iCs/>
          <w:sz w:val="20"/>
          <w:szCs w:val="18"/>
          <w:lang w:val="en-US" w:eastAsia="zh-CN"/>
        </w:rPr>
      </w:pPr>
      <w:r>
        <w:rPr>
          <w:rFonts w:hint="eastAsia"/>
          <w:b/>
          <w:bCs/>
          <w:i/>
          <w:iCs/>
          <w:sz w:val="20"/>
          <w:szCs w:val="18"/>
          <w:lang w:val="en-US" w:eastAsia="zh-CN"/>
        </w:rPr>
        <w:t xml:space="preserve">Observation 3: </w:t>
      </w:r>
    </w:p>
    <w:p>
      <w:pPr>
        <w:pStyle w:val="2"/>
        <w:numPr>
          <w:ilvl w:val="0"/>
          <w:numId w:val="23"/>
        </w:numPr>
        <w:ind w:left="420" w:hanging="420"/>
        <w:rPr>
          <w:rFonts w:hint="default"/>
          <w:b/>
          <w:bCs/>
          <w:i/>
          <w:iCs/>
          <w:sz w:val="20"/>
          <w:szCs w:val="18"/>
          <w:lang w:val="en-US" w:eastAsia="zh-CN"/>
        </w:rPr>
      </w:pPr>
      <w:r>
        <w:rPr>
          <w:rFonts w:hint="eastAsia"/>
          <w:b/>
          <w:bCs/>
          <w:i/>
          <w:iCs/>
          <w:sz w:val="20"/>
          <w:szCs w:val="18"/>
          <w:lang w:val="en-US" w:eastAsia="zh-CN"/>
        </w:rPr>
        <w:t>Option 2 can address the latency requirements and PSG requirements from different UEs.</w:t>
      </w:r>
    </w:p>
    <w:p>
      <w:pPr>
        <w:pStyle w:val="2"/>
        <w:numPr>
          <w:ilvl w:val="0"/>
          <w:numId w:val="23"/>
        </w:numPr>
        <w:ind w:left="420" w:hanging="420"/>
        <w:rPr>
          <w:rFonts w:hint="eastAsia"/>
          <w:b/>
          <w:bCs/>
          <w:i/>
          <w:iCs/>
          <w:sz w:val="20"/>
          <w:szCs w:val="18"/>
          <w:lang w:val="en-US" w:eastAsia="zh-CN"/>
        </w:rPr>
      </w:pPr>
      <w:r>
        <w:rPr>
          <w:rFonts w:hint="eastAsia"/>
          <w:b/>
          <w:bCs/>
          <w:i/>
          <w:iCs/>
          <w:sz w:val="20"/>
          <w:szCs w:val="18"/>
          <w:lang w:val="en-US" w:eastAsia="zh-CN"/>
        </w:rPr>
        <w:t>For option 2A, it has slight restriction on gNB offset configuration</w:t>
      </w:r>
    </w:p>
    <w:p>
      <w:pPr>
        <w:pStyle w:val="2"/>
        <w:numPr>
          <w:ilvl w:val="0"/>
          <w:numId w:val="23"/>
        </w:numPr>
        <w:ind w:left="420" w:hanging="420"/>
        <w:rPr>
          <w:rFonts w:hint="eastAsia"/>
          <w:b/>
          <w:bCs/>
          <w:i/>
          <w:iCs/>
          <w:sz w:val="20"/>
          <w:szCs w:val="18"/>
          <w:lang w:val="en-US" w:eastAsia="zh-CN"/>
        </w:rPr>
      </w:pPr>
      <w:r>
        <w:rPr>
          <w:rFonts w:hint="eastAsia"/>
          <w:b/>
          <w:bCs/>
          <w:i/>
          <w:iCs/>
          <w:sz w:val="20"/>
          <w:szCs w:val="18"/>
          <w:lang w:val="en-US" w:eastAsia="zh-CN"/>
        </w:rPr>
        <w:t>For option 2B-1, the gNB can deactivate LP-WUS monitoring for some of the UEs via the offset configuration</w:t>
      </w:r>
    </w:p>
    <w:p>
      <w:pPr>
        <w:pStyle w:val="2"/>
        <w:numPr>
          <w:ilvl w:val="0"/>
          <w:numId w:val="23"/>
        </w:numPr>
        <w:ind w:left="420" w:hanging="420"/>
        <w:rPr>
          <w:rFonts w:hint="eastAsia"/>
          <w:b/>
          <w:bCs/>
          <w:i/>
          <w:iCs/>
          <w:sz w:val="20"/>
          <w:szCs w:val="18"/>
          <w:lang w:val="en-US" w:eastAsia="zh-CN"/>
        </w:rPr>
      </w:pPr>
      <w:r>
        <w:rPr>
          <w:rFonts w:hint="eastAsia"/>
          <w:b/>
          <w:bCs/>
          <w:i/>
          <w:iCs/>
          <w:sz w:val="20"/>
          <w:szCs w:val="18"/>
          <w:lang w:val="en-US" w:eastAsia="zh-CN"/>
        </w:rPr>
        <w:t>For option 2B-2, similar as option 1-2</w:t>
      </w:r>
    </w:p>
    <w:p>
      <w:pPr>
        <w:pStyle w:val="2"/>
        <w:numPr>
          <w:ilvl w:val="1"/>
          <w:numId w:val="23"/>
        </w:numPr>
        <w:ind w:left="840" w:hanging="420"/>
        <w:rPr>
          <w:rFonts w:hint="default"/>
          <w:b/>
          <w:bCs/>
          <w:i/>
          <w:iCs/>
          <w:sz w:val="20"/>
          <w:szCs w:val="18"/>
          <w:lang w:val="en-US" w:eastAsia="zh-CN"/>
        </w:rPr>
      </w:pPr>
      <w:r>
        <w:rPr>
          <w:rFonts w:hint="eastAsia"/>
          <w:b/>
          <w:bCs/>
          <w:i/>
          <w:iCs/>
          <w:sz w:val="20"/>
          <w:szCs w:val="18"/>
          <w:lang w:val="en-US" w:eastAsia="zh-CN"/>
        </w:rPr>
        <w:t xml:space="preserve">the gNB may need to transmit paging message trice , i.e., in associated PO and next PO, or </w:t>
      </w:r>
    </w:p>
    <w:p>
      <w:pPr>
        <w:pStyle w:val="2"/>
        <w:numPr>
          <w:ilvl w:val="1"/>
          <w:numId w:val="23"/>
        </w:numPr>
        <w:ind w:left="840" w:hanging="420"/>
        <w:rPr>
          <w:rFonts w:hint="default"/>
          <w:b/>
          <w:bCs/>
          <w:i/>
          <w:iCs/>
          <w:sz w:val="20"/>
          <w:szCs w:val="18"/>
          <w:lang w:val="en-US" w:eastAsia="zh-CN"/>
        </w:rPr>
      </w:pPr>
      <w:r>
        <w:rPr>
          <w:rFonts w:hint="eastAsia"/>
          <w:b/>
          <w:bCs/>
          <w:i/>
          <w:iCs/>
          <w:sz w:val="20"/>
          <w:szCs w:val="18"/>
          <w:lang w:val="en-US" w:eastAsia="zh-CN"/>
        </w:rPr>
        <w:t>the UE who has LP-WUS capability but not in LP-WUS mode would be impacted in terms of latency and the gNB paging mechanism is not aligned with legacy</w:t>
      </w:r>
    </w:p>
    <w:p>
      <w:pPr>
        <w:pStyle w:val="2"/>
        <w:rPr>
          <w:rFonts w:hint="eastAsia"/>
          <w:b/>
          <w:bCs/>
          <w:i/>
          <w:iCs/>
          <w:sz w:val="20"/>
          <w:szCs w:val="18"/>
          <w:lang w:val="en-US" w:eastAsia="zh-CN"/>
        </w:rPr>
      </w:pPr>
      <w:r>
        <w:rPr>
          <w:rFonts w:hint="eastAsia"/>
          <w:b/>
          <w:bCs/>
          <w:i/>
          <w:iCs/>
          <w:sz w:val="20"/>
          <w:szCs w:val="18"/>
          <w:lang w:val="en-US" w:eastAsia="zh-CN"/>
        </w:rPr>
        <w:t>Proposal 5: Option 2 with multiple offsets is prioritized.</w:t>
      </w:r>
    </w:p>
    <w:p>
      <w:pPr>
        <w:rPr>
          <w:rFonts w:hint="eastAsia"/>
          <w:color w:val="auto"/>
          <w:kern w:val="2"/>
          <w:sz w:val="20"/>
          <w:szCs w:val="18"/>
          <w:lang w:val="en-US" w:eastAsia="zh-CN"/>
        </w:rPr>
      </w:pPr>
      <w:r>
        <w:rPr>
          <w:rFonts w:hint="eastAsia"/>
          <w:color w:val="auto"/>
          <w:kern w:val="2"/>
          <w:sz w:val="20"/>
          <w:szCs w:val="18"/>
          <w:lang w:val="en-US" w:eastAsia="zh-CN"/>
        </w:rPr>
        <w:t>More specifically, for option 2A or option 2B, regarding the FFS part, there are two alternatives</w:t>
      </w:r>
    </w:p>
    <w:p>
      <w:pPr>
        <w:pStyle w:val="2"/>
        <w:rPr>
          <w:rFonts w:hint="eastAsia"/>
          <w:sz w:val="20"/>
          <w:szCs w:val="18"/>
          <w:lang w:val="en-US" w:eastAsia="zh-CN"/>
        </w:rPr>
      </w:pPr>
      <w:r>
        <w:rPr>
          <w:rFonts w:hint="eastAsia"/>
          <w:sz w:val="20"/>
          <w:szCs w:val="18"/>
          <w:lang w:val="en-US" w:eastAsia="zh-CN"/>
        </w:rPr>
        <w:t>Alt1: The UE monitors the LO associated with the minimum offset that has a gap between the LO and the corresponding PO no less than the wake-up delay.</w:t>
      </w:r>
    </w:p>
    <w:p>
      <w:pPr>
        <w:pStyle w:val="2"/>
        <w:rPr>
          <w:rFonts w:hint="eastAsia"/>
          <w:sz w:val="20"/>
          <w:szCs w:val="18"/>
          <w:lang w:val="en-US" w:eastAsia="zh-CN"/>
        </w:rPr>
      </w:pPr>
      <w:r>
        <w:rPr>
          <w:rFonts w:hint="eastAsia"/>
          <w:sz w:val="20"/>
          <w:szCs w:val="18"/>
          <w:lang w:val="en-US" w:eastAsia="zh-CN"/>
        </w:rPr>
        <w:t>Alt2: The UE monitors the LO associated with the minimum offset and larger offset that has a gap between the LO and the corresponding PO no less than the wake-up delay.</w:t>
      </w:r>
    </w:p>
    <w:p>
      <w:pPr>
        <w:pStyle w:val="2"/>
        <w:rPr>
          <w:rFonts w:hint="eastAsia"/>
          <w:sz w:val="20"/>
          <w:szCs w:val="18"/>
          <w:lang w:val="en-US" w:eastAsia="zh-CN"/>
        </w:rPr>
      </w:pPr>
      <w:r>
        <w:rPr>
          <w:rFonts w:hint="eastAsia"/>
          <w:sz w:val="20"/>
          <w:szCs w:val="18"/>
          <w:lang w:val="en-US" w:eastAsia="zh-CN"/>
        </w:rPr>
        <w:t xml:space="preserve">Obviously, alt1 is the baseline and alt2 is kind of optimization which can provide more NW scheduling flexibility. </w:t>
      </w:r>
    </w:p>
    <w:p>
      <w:pPr>
        <w:pStyle w:val="2"/>
      </w:pPr>
      <w:r>
        <w:drawing>
          <wp:inline distT="0" distB="0" distL="114300" distR="114300">
            <wp:extent cx="5626100" cy="1937385"/>
            <wp:effectExtent l="0" t="0" r="12700" b="5715"/>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13"/>
                    <a:srcRect t="2803" r="1105"/>
                    <a:stretch>
                      <a:fillRect/>
                    </a:stretch>
                  </pic:blipFill>
                  <pic:spPr>
                    <a:xfrm>
                      <a:off x="0" y="0"/>
                      <a:ext cx="5626100" cy="1937385"/>
                    </a:xfrm>
                    <a:prstGeom prst="rect">
                      <a:avLst/>
                    </a:prstGeom>
                    <a:noFill/>
                    <a:ln>
                      <a:noFill/>
                    </a:ln>
                  </pic:spPr>
                </pic:pic>
              </a:graphicData>
            </a:graphic>
          </wp:inline>
        </w:drawing>
      </w:r>
    </w:p>
    <w:p>
      <w:pPr>
        <w:pStyle w:val="2"/>
        <w:jc w:val="center"/>
        <w:rPr>
          <w:rFonts w:hint="default" w:eastAsia="宋体"/>
          <w:sz w:val="20"/>
          <w:szCs w:val="18"/>
          <w:lang w:val="en-US" w:eastAsia="zh-CN"/>
        </w:rPr>
      </w:pPr>
      <w:r>
        <w:rPr>
          <w:rFonts w:hint="eastAsia"/>
          <w:sz w:val="20"/>
          <w:szCs w:val="18"/>
          <w:lang w:val="en-US" w:eastAsia="zh-CN"/>
        </w:rPr>
        <w:t>Figure 1. UE procedure based on option 2</w:t>
      </w:r>
    </w:p>
    <w:p>
      <w:pPr>
        <w:pStyle w:val="2"/>
        <w:rPr>
          <w:rFonts w:hint="default"/>
          <w:b/>
          <w:bCs/>
          <w:i/>
          <w:iCs/>
          <w:sz w:val="20"/>
          <w:szCs w:val="18"/>
          <w:lang w:val="en-US" w:eastAsia="zh-CN"/>
        </w:rPr>
      </w:pPr>
      <w:r>
        <w:rPr>
          <w:rFonts w:hint="eastAsia"/>
          <w:b/>
          <w:bCs/>
          <w:i/>
          <w:iCs/>
          <w:sz w:val="20"/>
          <w:szCs w:val="18"/>
          <w:lang w:val="en-US" w:eastAsia="zh-CN"/>
        </w:rPr>
        <w:t>Proposal 6: Further clarify the offset selection based on following</w:t>
      </w:r>
    </w:p>
    <w:p>
      <w:pPr>
        <w:pStyle w:val="2"/>
        <w:rPr>
          <w:rFonts w:hint="eastAsia"/>
          <w:b/>
          <w:bCs/>
          <w:i/>
          <w:iCs/>
          <w:sz w:val="20"/>
          <w:szCs w:val="18"/>
          <w:lang w:val="en-US" w:eastAsia="zh-CN"/>
        </w:rPr>
      </w:pPr>
      <w:r>
        <w:rPr>
          <w:rFonts w:hint="eastAsia"/>
          <w:b/>
          <w:bCs/>
          <w:i/>
          <w:iCs/>
          <w:sz w:val="20"/>
          <w:szCs w:val="18"/>
          <w:lang w:val="en-US" w:eastAsia="zh-CN"/>
        </w:rPr>
        <w:t>Alt1: The UE monitors the LO associated with the minimum offset that has a gap between the LO and the corresponding PO no less than the wake-up delay.</w:t>
      </w:r>
    </w:p>
    <w:p>
      <w:pPr>
        <w:pStyle w:val="2"/>
        <w:rPr>
          <w:rFonts w:hint="eastAsia"/>
          <w:b/>
          <w:bCs/>
          <w:i/>
          <w:iCs/>
          <w:sz w:val="20"/>
          <w:szCs w:val="18"/>
          <w:lang w:val="en-US" w:eastAsia="zh-CN"/>
        </w:rPr>
      </w:pPr>
      <w:r>
        <w:rPr>
          <w:rFonts w:hint="eastAsia"/>
          <w:b/>
          <w:bCs/>
          <w:i/>
          <w:iCs/>
          <w:sz w:val="20"/>
          <w:szCs w:val="18"/>
          <w:lang w:val="en-US" w:eastAsia="zh-CN"/>
        </w:rPr>
        <w:t>Alt2: The UE monitors the LO associated with the minimum offset and larger offset that has a gap between the LO and the corresponding PO no less than the wake-up delay.</w:t>
      </w:r>
    </w:p>
    <w:p>
      <w:pPr>
        <w:pStyle w:val="4"/>
        <w:spacing w:before="120"/>
        <w:rPr>
          <w:lang w:val="en-US"/>
        </w:rPr>
      </w:pPr>
      <w:r>
        <w:rPr>
          <w:rFonts w:hint="eastAsia"/>
          <w:lang w:val="en-US"/>
        </w:rPr>
        <w:t>L</w:t>
      </w:r>
      <w:r>
        <w:rPr>
          <w:rFonts w:hint="eastAsia"/>
          <w:lang w:val="en-US" w:eastAsia="zh-CN"/>
        </w:rPr>
        <w:t>O and PO mapping</w:t>
      </w:r>
    </w:p>
    <w:p>
      <w:pPr>
        <w:rPr>
          <w:rFonts w:hint="default"/>
          <w:lang w:val="en-US"/>
        </w:rPr>
      </w:pPr>
      <w:r>
        <w:rPr>
          <w:rFonts w:hint="eastAsia"/>
          <w:lang w:val="en-US" w:eastAsia="zh-CN"/>
        </w:rPr>
        <w:t>The option B in following agreement indicates the subgroup information may be offloaded to LO location in terms of G groups.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jc w:val="left"/>
              <w:rPr>
                <w:rFonts w:ascii="Times New Roman" w:hAnsi="Times New Roman" w:eastAsia="等线" w:cs="Times New Roman"/>
                <w:szCs w:val="20"/>
                <w:lang w:val="en-US" w:eastAsia="zh-CN" w:bidi="ar-SA"/>
              </w:rPr>
            </w:pPr>
            <w:r>
              <w:rPr>
                <w:rFonts w:ascii="Times New Roman" w:hAnsi="Times New Roman" w:eastAsia="等线" w:cs="Times New Roman"/>
                <w:szCs w:val="20"/>
                <w:lang w:val="en-US" w:eastAsia="zh-CN" w:bidi="ar-SA"/>
              </w:rPr>
              <w:t>When K (K&gt;1) LP-WUS MOs are configured for each beam in an LO, down select between</w:t>
            </w:r>
          </w:p>
          <w:p>
            <w:pPr>
              <w:numPr>
                <w:ilvl w:val="0"/>
                <w:numId w:val="10"/>
              </w:numPr>
              <w:snapToGrid/>
              <w:spacing w:before="0" w:beforeLines="-2147483648" w:after="0" w:line="240" w:lineRule="auto"/>
              <w:ind w:left="720" w:hanging="360"/>
              <w:jc w:val="left"/>
              <w:rPr>
                <w:rFonts w:ascii="Times New Roman" w:hAnsi="Times New Roman" w:eastAsia="等线" w:cs="Times New Roman"/>
                <w:szCs w:val="20"/>
                <w:lang w:val="en-US" w:eastAsia="zh-CN" w:bidi="ar-SA"/>
              </w:rPr>
            </w:pPr>
            <w:r>
              <w:rPr>
                <w:rFonts w:ascii="Times New Roman" w:hAnsi="Times New Roman" w:eastAsia="等线" w:cs="Times New Roman"/>
                <w:szCs w:val="20"/>
                <w:lang w:val="en-US" w:eastAsia="zh-CN" w:bidi="ar-SA"/>
              </w:rPr>
              <w:t>Option A: K LP-WUS MOs for a beam are divided into M (M &gt;=1) groups of R LP-WUS MOs. A UE monitors all or some of the MO(s) within the K LP-WUS MOs.</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For each group of R LP-WUS MOs, the same LP-WUS information is transmitted.</w:t>
            </w:r>
          </w:p>
          <w:p>
            <w:pPr>
              <w:numPr>
                <w:ilvl w:val="2"/>
                <w:numId w:val="12"/>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how the same LP-WUS information is transmitted in the R LP-WUS MOs</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Different LP-WUS information can be transmitted in different groups of R LP-WUS MOs.</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M = 1 and M &gt; 1 is supported.</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detailed UE monitoring behavior</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R=1 or R&gt;= 1</w:t>
            </w:r>
          </w:p>
          <w:p>
            <w:pPr>
              <w:numPr>
                <w:ilvl w:val="0"/>
                <w:numId w:val="10"/>
              </w:numPr>
              <w:snapToGrid/>
              <w:spacing w:before="0" w:beforeLines="-2147483648" w:after="0" w:line="240" w:lineRule="auto"/>
              <w:ind w:left="720" w:hanging="360"/>
              <w:jc w:val="left"/>
              <w:rPr>
                <w:rFonts w:ascii="Times New Roman" w:hAnsi="Times New Roman" w:eastAsia="等线" w:cs="Times New Roman"/>
                <w:szCs w:val="20"/>
                <w:lang w:val="en-US" w:eastAsia="zh-CN" w:bidi="ar-SA"/>
              </w:rPr>
            </w:pPr>
            <w:r>
              <w:rPr>
                <w:rFonts w:ascii="Times New Roman" w:hAnsi="Times New Roman" w:eastAsia="等线" w:cs="Times New Roman"/>
                <w:szCs w:val="20"/>
                <w:lang w:val="en-US" w:eastAsia="zh-CN" w:bidi="ar-SA"/>
              </w:rPr>
              <w:t>Option B: K LP-WUS MOs for a beam are divided into G (G &gt;= 1) groups of R*M (M &gt;= 1) LP-WUS MOs. A UE monitors all or some of the MO(s) within one group of R*M LP-WUS MOs based on its subgroup ID.</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Each group of R*M LP-WUS MOs is further divided into M groups of R LP-WUS MOs.</w:t>
            </w:r>
          </w:p>
          <w:p>
            <w:pPr>
              <w:numPr>
                <w:ilvl w:val="2"/>
                <w:numId w:val="12"/>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For each group of R LP-WUS MOs, the same LP-WUS information is transmitted.</w:t>
            </w:r>
          </w:p>
          <w:p>
            <w:pPr>
              <w:numPr>
                <w:ilvl w:val="3"/>
                <w:numId w:val="12"/>
              </w:numPr>
              <w:snapToGrid/>
              <w:spacing w:before="0" w:beforeLines="-2147483648" w:after="0" w:line="240" w:lineRule="auto"/>
              <w:ind w:left="288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how the same LP-WUS information is transmitted in the R LP-WUS MOs</w:t>
            </w:r>
          </w:p>
          <w:p>
            <w:pPr>
              <w:numPr>
                <w:ilvl w:val="2"/>
                <w:numId w:val="12"/>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Different LP-WUS information can be transmitted in different groups of R LP-WUS MOs.</w:t>
            </w:r>
          </w:p>
          <w:p>
            <w:pPr>
              <w:numPr>
                <w:ilvl w:val="2"/>
                <w:numId w:val="12"/>
              </w:numPr>
              <w:snapToGrid/>
              <w:spacing w:before="0" w:beforeLines="-2147483648" w:after="0" w:line="240" w:lineRule="auto"/>
              <w:ind w:left="216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detailed UE monitoring behavior</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M = 1 and M &gt; 1 is supported.</w:t>
            </w:r>
          </w:p>
          <w:p>
            <w:pPr>
              <w:numPr>
                <w:ilvl w:val="1"/>
                <w:numId w:val="0"/>
              </w:numPr>
              <w:snapToGrid/>
              <w:spacing w:before="0" w:beforeLines="-2147483648" w:after="0" w:line="240" w:lineRule="auto"/>
              <w:ind w:left="1160" w:leftChars="40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FFS R=1 or R&gt;=1</w:t>
            </w:r>
          </w:p>
          <w:p>
            <w:pPr>
              <w:numPr>
                <w:ilvl w:val="1"/>
                <w:numId w:val="0"/>
              </w:numPr>
              <w:snapToGrid/>
              <w:spacing w:before="0" w:beforeLines="-2147483648" w:after="0" w:line="240" w:lineRule="auto"/>
              <w:ind w:left="1160" w:leftChars="400" w:hanging="360"/>
              <w:jc w:val="left"/>
              <w:rPr>
                <w:rFonts w:hint="eastAsia"/>
                <w:vertAlign w:val="baseline"/>
                <w:lang w:val="en-US" w:eastAsia="zh-CN"/>
              </w:rPr>
            </w:pPr>
            <w:r>
              <w:rPr>
                <w:rFonts w:ascii="Times" w:hAnsi="Times" w:eastAsia="Batang" w:cs="Times New Roman"/>
                <w:szCs w:val="24"/>
                <w:lang w:val="en-GB" w:eastAsia="zh-CN" w:bidi="ar-SA"/>
              </w:rPr>
              <w:t>Note: this achieves the same purpose as “Option 3: UEs monitoring the same PO are divided into multiple sets of subgroups, with UEs within each set of subgroups monitoring the same LO.”</w:t>
            </w:r>
          </w:p>
        </w:tc>
      </w:tr>
    </w:tbl>
    <w:p>
      <w:pPr>
        <w:rPr>
          <w:rFonts w:hint="default"/>
          <w:lang w:val="en-US" w:eastAsia="zh-CN"/>
        </w:rPr>
      </w:pPr>
      <w:r>
        <w:rPr>
          <w:rFonts w:hint="eastAsia"/>
          <w:lang w:val="en-US" w:eastAsia="zh-CN"/>
        </w:rPr>
        <w:t xml:space="preserve">Given that the LP-WUS information bits could be 6bits, there is no much benefits to offload one or two bits into the LO location. If 256 subgroups was supported, the motivation would be more clearer. Therefore, option A should be the baseline in Rel-19. </w:t>
      </w:r>
    </w:p>
    <w:p>
      <w:pPr>
        <w:rPr>
          <w:rFonts w:hint="default"/>
          <w:b/>
          <w:bCs/>
          <w:i/>
          <w:iCs/>
          <w:lang w:val="en-US" w:eastAsia="zh-CN"/>
        </w:rPr>
      </w:pPr>
      <w:r>
        <w:rPr>
          <w:rFonts w:hint="eastAsia"/>
          <w:b/>
          <w:bCs/>
          <w:i/>
          <w:iCs/>
          <w:lang w:val="en-US" w:eastAsia="zh-CN"/>
        </w:rPr>
        <w:t>Observation 4: No strong motivation is foreseen for the case that the subgroup information is offloaded into LO segments.</w:t>
      </w:r>
    </w:p>
    <w:p>
      <w:pPr>
        <w:rPr>
          <w:rFonts w:hint="default"/>
          <w:b/>
          <w:bCs/>
          <w:i/>
          <w:iCs/>
          <w:lang w:val="en-US" w:eastAsia="zh-CN"/>
        </w:rPr>
      </w:pPr>
      <w:r>
        <w:rPr>
          <w:rFonts w:hint="eastAsia"/>
          <w:b/>
          <w:bCs/>
          <w:i/>
          <w:iCs/>
          <w:lang w:val="en-US" w:eastAsia="zh-CN"/>
        </w:rPr>
        <w:t>Proposal 7: Option A without subgroup offloading to LO segments should be supported as baseline.</w:t>
      </w:r>
    </w:p>
    <w:p>
      <w:pPr>
        <w:pStyle w:val="2"/>
        <w:rPr>
          <w:rFonts w:hint="eastAsia"/>
          <w:sz w:val="20"/>
          <w:szCs w:val="18"/>
          <w:lang w:val="en-US" w:eastAsia="zh-CN"/>
        </w:rPr>
      </w:pPr>
      <w:r>
        <w:rPr>
          <w:rFonts w:hint="eastAsia"/>
          <w:sz w:val="20"/>
          <w:szCs w:val="18"/>
          <w:lang w:val="en-US" w:eastAsia="zh-CN"/>
        </w:rPr>
        <w:t>More specifically, for option A, the M value should not be large, e.g., M=4 could be an appropriate candidate value. For the repetition case, we think it is needed to meet the msg3 coverage. However, up to 4 repetitions would be enough, since more repetitions can not bring obvious coverage gain and bring more system overhead.</w:t>
      </w:r>
    </w:p>
    <w:p>
      <w:pPr>
        <w:pStyle w:val="2"/>
        <w:rPr>
          <w:rFonts w:hint="eastAsia"/>
          <w:sz w:val="20"/>
          <w:szCs w:val="18"/>
          <w:lang w:val="en-US" w:eastAsia="zh-CN"/>
        </w:rPr>
      </w:pPr>
      <w:r>
        <w:rPr>
          <w:rFonts w:hint="eastAsia"/>
          <w:sz w:val="20"/>
          <w:szCs w:val="18"/>
          <w:lang w:val="en-US" w:eastAsia="zh-CN"/>
        </w:rPr>
        <w:t>Regarding the UE behavior, if the UE does not detect a LP-WUS successfully, the UE may need to monitor all the K MOs. If the UE detect a LP-WUS successfully on one MO, the UE may not needed to further monitor subsequent MOs.</w:t>
      </w:r>
    </w:p>
    <w:p>
      <w:pPr>
        <w:pStyle w:val="2"/>
        <w:rPr>
          <w:rFonts w:hint="default"/>
          <w:b/>
          <w:bCs/>
          <w:i/>
          <w:iCs/>
          <w:lang w:val="en-US" w:eastAsia="zh-CN"/>
        </w:rPr>
      </w:pPr>
      <w:r>
        <w:rPr>
          <w:rFonts w:hint="eastAsia"/>
          <w:b/>
          <w:bCs/>
          <w:i/>
          <w:iCs/>
          <w:lang w:val="en-US" w:eastAsia="zh-CN"/>
        </w:rPr>
        <w:t>Proposal 8: UE should monitor the MOs of K MOs until a LP-WUS is successfully detected.</w:t>
      </w:r>
    </w:p>
    <w:p>
      <w:pPr>
        <w:numPr>
          <w:ilvl w:val="0"/>
          <w:numId w:val="0"/>
        </w:numPr>
        <w:bidi w:val="0"/>
        <w:spacing w:before="181" w:beforeLines="50" w:line="260" w:lineRule="auto"/>
        <w:rPr>
          <w:rFonts w:hint="eastAsia" w:ascii="Times New Roman" w:hAnsi="Times New Roman"/>
          <w:szCs w:val="22"/>
          <w:lang w:val="en-US" w:eastAsia="zh-CN"/>
        </w:rPr>
      </w:pPr>
      <w:r>
        <w:rPr>
          <w:rFonts w:hint="eastAsia"/>
          <w:lang w:val="en-US" w:eastAsia="zh-CN"/>
        </w:rPr>
        <w:t>Additionally, regarding multiple PO associated to one LO, assuming only one offset is configured, three i</w:t>
      </w:r>
      <w:r>
        <w:rPr>
          <w:rFonts w:hint="eastAsia" w:ascii="Times New Roman" w:hAnsi="Times New Roman"/>
          <w:szCs w:val="22"/>
          <w:lang w:val="en-US" w:eastAsia="zh-CN"/>
        </w:rPr>
        <w:t>nterpretation</w:t>
      </w:r>
      <w:r>
        <w:rPr>
          <w:rFonts w:hint="eastAsia"/>
          <w:szCs w:val="22"/>
          <w:lang w:val="en-US" w:eastAsia="zh-CN"/>
        </w:rPr>
        <w:t xml:space="preserve">s should be further confirmed for this case. </w:t>
      </w:r>
    </w:p>
    <w:p>
      <w:pPr>
        <w:numPr>
          <w:ilvl w:val="0"/>
          <w:numId w:val="0"/>
        </w:numPr>
        <w:bidi w:val="0"/>
        <w:spacing w:before="181" w:beforeLines="50" w:line="260" w:lineRule="auto"/>
        <w:rPr>
          <w:rFonts w:hint="eastAsia" w:ascii="Times New Roman" w:hAnsi="Times New Roman"/>
          <w:szCs w:val="22"/>
          <w:lang w:val="en-US" w:eastAsia="zh-CN"/>
        </w:rPr>
      </w:pPr>
      <w:r>
        <w:rPr>
          <w:rFonts w:hint="eastAsia" w:ascii="Times New Roman" w:hAnsi="Times New Roman"/>
          <w:szCs w:val="22"/>
          <w:lang w:val="en-US" w:eastAsia="zh-CN"/>
        </w:rPr>
        <w:t>Interpretation</w:t>
      </w:r>
      <w:r>
        <w:rPr>
          <w:rFonts w:hint="eastAsia"/>
          <w:szCs w:val="22"/>
          <w:lang w:val="en-US" w:eastAsia="zh-CN"/>
        </w:rPr>
        <w:t xml:space="preserve"> </w:t>
      </w:r>
      <w:r>
        <w:rPr>
          <w:rFonts w:hint="eastAsia" w:ascii="Times New Roman" w:hAnsi="Times New Roman"/>
          <w:szCs w:val="22"/>
          <w:lang w:val="en-US" w:eastAsia="zh-CN"/>
        </w:rPr>
        <w:t>1: its own multiple POs across multiple paging cycles, and multiple POs is associated to one LO</w:t>
      </w:r>
    </w:p>
    <w:p>
      <w:pPr>
        <w:numPr>
          <w:ilvl w:val="0"/>
          <w:numId w:val="0"/>
        </w:numPr>
        <w:bidi w:val="0"/>
        <w:spacing w:before="181" w:beforeLines="50" w:line="260" w:lineRule="auto"/>
        <w:rPr>
          <w:rFonts w:hint="eastAsia"/>
          <w:szCs w:val="22"/>
          <w:lang w:val="en-US" w:eastAsia="zh-CN"/>
        </w:rPr>
      </w:pPr>
      <w:r>
        <w:rPr>
          <w:rFonts w:hint="eastAsia" w:ascii="Times New Roman" w:hAnsi="Times New Roman"/>
          <w:szCs w:val="22"/>
          <w:lang w:val="en-US" w:eastAsia="zh-CN"/>
        </w:rPr>
        <w:t>Interpretation</w:t>
      </w:r>
      <w:r>
        <w:rPr>
          <w:rFonts w:hint="eastAsia"/>
          <w:szCs w:val="22"/>
          <w:lang w:val="en-US" w:eastAsia="zh-CN"/>
        </w:rPr>
        <w:t xml:space="preserve"> </w:t>
      </w:r>
      <w:r>
        <w:rPr>
          <w:rFonts w:hint="eastAsia" w:ascii="Times New Roman" w:hAnsi="Times New Roman"/>
          <w:szCs w:val="22"/>
          <w:lang w:val="en-US" w:eastAsia="zh-CN"/>
        </w:rPr>
        <w:t xml:space="preserve">2: </w:t>
      </w:r>
      <w:r>
        <w:rPr>
          <w:rFonts w:hint="eastAsia"/>
          <w:szCs w:val="22"/>
          <w:lang w:val="en-US" w:eastAsia="zh-CN"/>
        </w:rPr>
        <w:t xml:space="preserve">multiple </w:t>
      </w:r>
      <w:r>
        <w:rPr>
          <w:rFonts w:hint="eastAsia" w:ascii="Times New Roman" w:hAnsi="Times New Roman"/>
          <w:szCs w:val="22"/>
          <w:lang w:val="en-US" w:eastAsia="zh-CN"/>
        </w:rPr>
        <w:t xml:space="preserve">POs </w:t>
      </w:r>
      <w:r>
        <w:rPr>
          <w:rFonts w:hint="eastAsia"/>
          <w:szCs w:val="22"/>
          <w:lang w:val="en-US" w:eastAsia="zh-CN"/>
        </w:rPr>
        <w:t xml:space="preserve">are </w:t>
      </w:r>
      <w:r>
        <w:rPr>
          <w:rFonts w:hint="eastAsia" w:ascii="Times New Roman" w:hAnsi="Times New Roman"/>
          <w:szCs w:val="22"/>
          <w:lang w:val="en-US" w:eastAsia="zh-CN"/>
        </w:rPr>
        <w:t>associated to one LO, and all the UEs corresponding to</w:t>
      </w:r>
      <w:r>
        <w:rPr>
          <w:rFonts w:hint="eastAsia"/>
          <w:szCs w:val="22"/>
          <w:lang w:val="en-US" w:eastAsia="zh-CN"/>
        </w:rPr>
        <w:t xml:space="preserve"> the</w:t>
      </w:r>
      <w:r>
        <w:rPr>
          <w:rFonts w:hint="eastAsia" w:ascii="Times New Roman" w:hAnsi="Times New Roman"/>
          <w:szCs w:val="22"/>
          <w:lang w:val="en-US" w:eastAsia="zh-CN"/>
        </w:rPr>
        <w:t xml:space="preserve"> multiple POs monitor the same LO</w:t>
      </w:r>
      <w:r>
        <w:rPr>
          <w:rFonts w:hint="eastAsia"/>
          <w:szCs w:val="22"/>
          <w:lang w:val="en-US" w:eastAsia="zh-CN"/>
        </w:rPr>
        <w:t>, wherein in one paging cycle, one UE may monitor multiple LOs due to multiple POs.</w:t>
      </w:r>
    </w:p>
    <w:p>
      <w:pPr>
        <w:numPr>
          <w:ilvl w:val="0"/>
          <w:numId w:val="0"/>
        </w:numPr>
        <w:bidi w:val="0"/>
        <w:spacing w:before="181" w:beforeLines="50" w:line="260" w:lineRule="auto"/>
        <w:rPr>
          <w:rFonts w:hint="eastAsia" w:ascii="Times New Roman" w:hAnsi="Times New Roman"/>
          <w:szCs w:val="22"/>
          <w:lang w:val="en-US" w:eastAsia="zh-CN"/>
        </w:rPr>
      </w:pPr>
      <w:r>
        <w:rPr>
          <w:rFonts w:hint="eastAsia" w:ascii="Times New Roman" w:hAnsi="Times New Roman"/>
          <w:szCs w:val="22"/>
          <w:lang w:val="en-US" w:eastAsia="zh-CN"/>
        </w:rPr>
        <w:t>Interpretation</w:t>
      </w:r>
      <w:r>
        <w:rPr>
          <w:rFonts w:hint="eastAsia"/>
          <w:szCs w:val="22"/>
          <w:lang w:val="en-US" w:eastAsia="zh-CN"/>
        </w:rPr>
        <w:t xml:space="preserve"> 3</w:t>
      </w:r>
      <w:r>
        <w:rPr>
          <w:rFonts w:hint="eastAsia" w:ascii="Times New Roman" w:hAnsi="Times New Roman"/>
          <w:szCs w:val="22"/>
          <w:lang w:val="en-US" w:eastAsia="zh-CN"/>
        </w:rPr>
        <w:t xml:space="preserve">: </w:t>
      </w:r>
      <w:r>
        <w:rPr>
          <w:rFonts w:hint="eastAsia"/>
          <w:szCs w:val="22"/>
          <w:lang w:val="en-US" w:eastAsia="zh-CN"/>
        </w:rPr>
        <w:t xml:space="preserve">multiple </w:t>
      </w:r>
      <w:r>
        <w:rPr>
          <w:rFonts w:hint="eastAsia" w:ascii="Times New Roman" w:hAnsi="Times New Roman"/>
          <w:szCs w:val="22"/>
          <w:lang w:val="en-US" w:eastAsia="zh-CN"/>
        </w:rPr>
        <w:t>POs</w:t>
      </w:r>
      <w:r>
        <w:rPr>
          <w:rFonts w:hint="eastAsia"/>
          <w:szCs w:val="22"/>
          <w:lang w:val="en-US" w:eastAsia="zh-CN"/>
        </w:rPr>
        <w:t xml:space="preserve"> in its PF</w:t>
      </w:r>
      <w:r>
        <w:rPr>
          <w:rFonts w:hint="eastAsia" w:ascii="Times New Roman" w:hAnsi="Times New Roman"/>
          <w:szCs w:val="22"/>
          <w:lang w:val="en-US" w:eastAsia="zh-CN"/>
        </w:rPr>
        <w:t xml:space="preserve"> </w:t>
      </w:r>
      <w:r>
        <w:rPr>
          <w:rFonts w:hint="eastAsia"/>
          <w:szCs w:val="22"/>
          <w:lang w:val="en-US" w:eastAsia="zh-CN"/>
        </w:rPr>
        <w:t xml:space="preserve">are </w:t>
      </w:r>
      <w:r>
        <w:rPr>
          <w:rFonts w:hint="eastAsia" w:ascii="Times New Roman" w:hAnsi="Times New Roman"/>
          <w:szCs w:val="22"/>
          <w:lang w:val="en-US" w:eastAsia="zh-CN"/>
        </w:rPr>
        <w:t>associated to one LO, and all the UEs corresponding to</w:t>
      </w:r>
      <w:r>
        <w:rPr>
          <w:rFonts w:hint="eastAsia"/>
          <w:szCs w:val="22"/>
          <w:lang w:val="en-US" w:eastAsia="zh-CN"/>
        </w:rPr>
        <w:t xml:space="preserve"> the</w:t>
      </w:r>
      <w:r>
        <w:rPr>
          <w:rFonts w:hint="eastAsia" w:ascii="Times New Roman" w:hAnsi="Times New Roman"/>
          <w:szCs w:val="22"/>
          <w:lang w:val="en-US" w:eastAsia="zh-CN"/>
        </w:rPr>
        <w:t xml:space="preserve"> multiple POs monitor the same LO</w:t>
      </w:r>
      <w:r>
        <w:rPr>
          <w:rFonts w:hint="eastAsia"/>
          <w:szCs w:val="22"/>
          <w:lang w:val="en-US" w:eastAsia="zh-CN"/>
        </w:rPr>
        <w:t>, wherein in one paging cycle, one UE only monitor one LO.</w:t>
      </w:r>
    </w:p>
    <w:p>
      <w:pPr>
        <w:pStyle w:val="2"/>
        <w:rPr>
          <w:rFonts w:hint="eastAsia"/>
          <w:lang w:val="en-US" w:eastAsia="zh-CN"/>
        </w:rPr>
      </w:pPr>
    </w:p>
    <w:p>
      <w:pPr>
        <w:numPr>
          <w:ilvl w:val="255"/>
          <w:numId w:val="0"/>
        </w:numPr>
        <w:spacing w:before="120" w:beforeLines="0" w:line="276" w:lineRule="auto"/>
        <w:rPr>
          <w:rFonts w:hint="default" w:eastAsia="宋体"/>
          <w:lang w:val="en-US" w:eastAsia="zh-CN"/>
        </w:rPr>
      </w:pPr>
      <w:r>
        <w:drawing>
          <wp:inline distT="0" distB="0" distL="114300" distR="114300">
            <wp:extent cx="5694045" cy="2832735"/>
            <wp:effectExtent l="0" t="0" r="1905" b="5715"/>
            <wp:docPr id="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
                    <pic:cNvPicPr>
                      <a:picLocks noChangeAspect="1"/>
                    </pic:cNvPicPr>
                  </pic:nvPicPr>
                  <pic:blipFill>
                    <a:blip r:embed="rId14"/>
                    <a:stretch>
                      <a:fillRect/>
                    </a:stretch>
                  </pic:blipFill>
                  <pic:spPr>
                    <a:xfrm>
                      <a:off x="0" y="0"/>
                      <a:ext cx="5694045" cy="2832735"/>
                    </a:xfrm>
                    <a:prstGeom prst="rect">
                      <a:avLst/>
                    </a:prstGeom>
                    <a:noFill/>
                    <a:ln>
                      <a:noFill/>
                    </a:ln>
                  </pic:spPr>
                </pic:pic>
              </a:graphicData>
            </a:graphic>
          </wp:inline>
        </w:drawing>
      </w:r>
    </w:p>
    <w:p>
      <w:pPr>
        <w:numPr>
          <w:ilvl w:val="255"/>
          <w:numId w:val="0"/>
        </w:numPr>
        <w:spacing w:before="120" w:beforeLines="0" w:line="276" w:lineRule="auto"/>
        <w:jc w:val="center"/>
        <w:rPr>
          <w:rFonts w:hint="default" w:eastAsia="宋体"/>
          <w:lang w:val="en-US" w:eastAsia="zh-CN"/>
        </w:rPr>
      </w:pPr>
      <w:r>
        <w:rPr>
          <w:rFonts w:hint="eastAsia"/>
          <w:lang w:val="en-US" w:eastAsia="zh-CN"/>
        </w:rPr>
        <w:t xml:space="preserve">Figure 2. </w:t>
      </w:r>
      <w:r>
        <w:rPr>
          <w:rFonts w:hint="eastAsia" w:ascii="Times" w:hAnsi="Times"/>
          <w:szCs w:val="20"/>
          <w:lang w:val="en-US" w:eastAsia="zh-CN"/>
        </w:rPr>
        <w:t xml:space="preserve">Interpretations for </w:t>
      </w:r>
      <w:r>
        <w:rPr>
          <w:rFonts w:ascii="Times" w:hAnsi="Times" w:eastAsia="Batang"/>
          <w:szCs w:val="20"/>
          <w:lang w:val="en-GB" w:eastAsia="en-US"/>
        </w:rPr>
        <w:t>UEs corresponding to different POs</w:t>
      </w:r>
    </w:p>
    <w:p>
      <w:pPr>
        <w:numPr>
          <w:ilvl w:val="-1"/>
          <w:numId w:val="0"/>
        </w:numPr>
        <w:spacing w:before="181" w:beforeLines="-2147483648" w:line="260" w:lineRule="auto"/>
        <w:rPr>
          <w:rFonts w:hint="eastAsia" w:ascii="Times New Roman" w:hAnsi="Times New Roman"/>
          <w:szCs w:val="22"/>
          <w:lang w:val="en-US" w:eastAsia="zh-CN"/>
        </w:rPr>
      </w:pPr>
      <w:r>
        <w:rPr>
          <w:rFonts w:hint="eastAsia"/>
          <w:lang w:val="en-US" w:eastAsia="zh-CN"/>
        </w:rPr>
        <w:t>Based on i</w:t>
      </w:r>
      <w:r>
        <w:rPr>
          <w:rFonts w:hint="eastAsia" w:ascii="Times" w:hAnsi="Times"/>
          <w:szCs w:val="20"/>
          <w:lang w:val="en-US" w:eastAsia="zh-CN"/>
        </w:rPr>
        <w:t xml:space="preserve">nterpretation1, if the UE does not receive the paging message in the first PO, automatically, the UE </w:t>
      </w:r>
      <w:r>
        <w:rPr>
          <w:rFonts w:hint="eastAsia" w:ascii="Times New Roman" w:hAnsi="Times New Roman"/>
          <w:szCs w:val="22"/>
          <w:lang w:val="en-US" w:eastAsia="zh-CN"/>
        </w:rPr>
        <w:t xml:space="preserve">would monitor the second PO. Therefore, there is not much motivation to associate more POs. </w:t>
      </w:r>
    </w:p>
    <w:p>
      <w:pPr>
        <w:numPr>
          <w:ilvl w:val="0"/>
          <w:numId w:val="0"/>
        </w:numPr>
        <w:spacing w:before="181" w:beforeLines="-2147483648" w:line="260" w:lineRule="auto"/>
        <w:rPr>
          <w:rFonts w:hint="default"/>
          <w:lang w:val="en-US" w:eastAsia="zh-CN"/>
        </w:rPr>
      </w:pPr>
      <w:r>
        <w:rPr>
          <w:rFonts w:hint="eastAsia" w:ascii="Times New Roman" w:hAnsi="Times New Roman"/>
          <w:szCs w:val="22"/>
          <w:lang w:val="en-US" w:eastAsia="zh-CN"/>
        </w:rPr>
        <w:t xml:space="preserve">Based on interpretation2, </w:t>
      </w:r>
      <w:r>
        <w:rPr>
          <w:rFonts w:hint="eastAsia"/>
          <w:szCs w:val="22"/>
          <w:lang w:val="en-US" w:eastAsia="zh-CN"/>
        </w:rPr>
        <w:t xml:space="preserve">the offset could be defined between LO and PO. If 4 POs is associated with one LO, the UE would have 4LOs to monitor. In this case, actually the gNB does not need to transmit the LP-WUS in the first 3 LOs since anyway the UE is required to monitor its own PO. Then there is no need to further consider interpretation2. </w:t>
      </w:r>
    </w:p>
    <w:p>
      <w:pPr>
        <w:pStyle w:val="2"/>
        <w:rPr>
          <w:rFonts w:hint="default" w:ascii="Times New Roman" w:hAnsi="Times New Roman" w:cs="Times New Roman"/>
          <w:sz w:val="20"/>
          <w:szCs w:val="21"/>
          <w:lang w:val="en-US" w:eastAsia="zh-CN"/>
        </w:rPr>
      </w:pPr>
      <w:r>
        <w:rPr>
          <w:rFonts w:hint="default" w:ascii="Times New Roman" w:hAnsi="Times New Roman" w:cs="Times New Roman"/>
          <w:sz w:val="20"/>
          <w:szCs w:val="21"/>
          <w:lang w:val="en-US" w:eastAsia="zh-CN"/>
        </w:rPr>
        <w:t xml:space="preserve">Based on interpretation3, the offset could be defined between LO and PF, wherein the PF contains multiple POs. In this case, the UE corresponding to the POs in the PF only need to monitor one LO. To include interpretation3, the following update with yellow highlighted is needed. From our understanding, </w:t>
      </w:r>
      <w:r>
        <w:rPr>
          <w:rFonts w:hint="default" w:ascii="Times New Roman" w:hAnsi="Times New Roman" w:eastAsia="Batang" w:cs="Times New Roman"/>
          <w:sz w:val="20"/>
          <w:szCs w:val="22"/>
          <w:lang w:val="en-GB" w:eastAsia="zh-CN" w:bidi="ar-SA"/>
        </w:rPr>
        <w:t>the possibility that the same LO may correspond to different POs with different offset values</w:t>
      </w:r>
      <w:r>
        <w:rPr>
          <w:rFonts w:hint="default" w:ascii="Times New Roman" w:hAnsi="Times New Roman" w:eastAsia="Batang" w:cs="Times New Roman"/>
          <w:sz w:val="20"/>
          <w:szCs w:val="22"/>
          <w:lang w:val="en-US" w:eastAsia="zh-CN" w:bidi="ar-SA"/>
        </w:rPr>
        <w:t xml:space="preserve"> actually refers to </w:t>
      </w:r>
      <w:r>
        <w:rPr>
          <w:rFonts w:hint="default" w:ascii="Times New Roman" w:hAnsi="Times New Roman" w:cs="Times New Roman"/>
          <w:sz w:val="20"/>
          <w:szCs w:val="21"/>
          <w:lang w:val="en-US" w:eastAsia="zh-CN"/>
        </w:rPr>
        <w:t>interpretation3. but we do not need to configure multiple offset between LO and multiple POs. Instead, one or multiple offsets between LO and PF would be enough to cover that case.</w:t>
      </w:r>
    </w:p>
    <w:p>
      <w:pPr>
        <w:pStyle w:val="2"/>
        <w:rPr>
          <w:rFonts w:hint="eastAsia"/>
          <w:b/>
          <w:bCs/>
          <w:i/>
          <w:iCs/>
          <w:sz w:val="20"/>
          <w:szCs w:val="21"/>
          <w:lang w:val="en-US" w:eastAsia="zh-CN"/>
        </w:rPr>
      </w:pPr>
      <w:r>
        <w:rPr>
          <w:rFonts w:hint="eastAsia"/>
          <w:b/>
          <w:bCs/>
          <w:i/>
          <w:iCs/>
          <w:sz w:val="20"/>
          <w:szCs w:val="21"/>
          <w:lang w:val="en-US" w:eastAsia="zh-CN"/>
        </w:rPr>
        <w:t xml:space="preserve">Observation 5: The possibility that the same LO may correspond to different POs with different offset values actually refers to interpretation3. </w:t>
      </w:r>
    </w:p>
    <w:p>
      <w:pPr>
        <w:pStyle w:val="2"/>
        <w:numPr>
          <w:ilvl w:val="0"/>
          <w:numId w:val="24"/>
        </w:numPr>
        <w:ind w:left="420" w:hanging="420"/>
        <w:rPr>
          <w:rFonts w:hint="default"/>
          <w:b/>
          <w:bCs/>
          <w:i/>
          <w:iCs/>
          <w:sz w:val="20"/>
          <w:szCs w:val="21"/>
          <w:lang w:val="en-US" w:eastAsia="zh-CN"/>
        </w:rPr>
      </w:pPr>
      <w:r>
        <w:rPr>
          <w:rFonts w:hint="eastAsia"/>
          <w:b/>
          <w:bCs/>
          <w:i/>
          <w:iCs/>
          <w:sz w:val="20"/>
          <w:szCs w:val="21"/>
          <w:lang w:val="en-US" w:eastAsia="zh-CN"/>
        </w:rPr>
        <w:t>The offset should be defined between LO and PF in this case.</w:t>
      </w:r>
    </w:p>
    <w:p>
      <w:pPr>
        <w:pStyle w:val="2"/>
        <w:rPr>
          <w:rFonts w:hint="default"/>
          <w:sz w:val="20"/>
          <w:szCs w:val="18"/>
          <w:lang w:val="en-US" w:eastAsia="zh-CN"/>
        </w:rPr>
      </w:pPr>
      <w:r>
        <w:rPr>
          <w:rFonts w:hint="eastAsia"/>
          <w:sz w:val="20"/>
          <w:szCs w:val="18"/>
          <w:lang w:val="en-US" w:eastAsia="zh-CN"/>
        </w:rPr>
        <w:t>If multiple POs is associated with one LO, it could have some benefits if LP-WUS has a CRC, since the CRC bits could be saved in some cases. Also, if more bits is introduced in LP-WUS, the coverage would be impacted compared with no multiple POs. Moreover, based on interpretation 3, not all the UEs have the similar latency, which may bring some fairness issue for different UEs.</w:t>
      </w:r>
    </w:p>
    <w:p>
      <w:pPr>
        <w:pStyle w:val="2"/>
        <w:rPr>
          <w:rFonts w:hint="default"/>
          <w:b/>
          <w:bCs/>
          <w:i/>
          <w:iCs/>
          <w:sz w:val="20"/>
          <w:szCs w:val="18"/>
          <w:lang w:val="en-US" w:eastAsia="zh-CN"/>
        </w:rPr>
      </w:pPr>
      <w:r>
        <w:rPr>
          <w:rFonts w:hint="eastAsia"/>
          <w:b/>
          <w:bCs/>
          <w:i/>
          <w:iCs/>
          <w:sz w:val="20"/>
          <w:szCs w:val="18"/>
          <w:lang w:val="en-US" w:eastAsia="zh-CN"/>
        </w:rPr>
        <w:t>Proposal 9: More benefits should be clarified for multiple PO associated with one LO especially when NO CRC is attached.</w:t>
      </w:r>
    </w:p>
    <w:p>
      <w:pPr>
        <w:pStyle w:val="4"/>
        <w:tabs>
          <w:tab w:val="left" w:pos="939"/>
        </w:tabs>
        <w:spacing w:before="120"/>
        <w:rPr>
          <w:lang w:val="en-US"/>
        </w:rPr>
      </w:pPr>
      <w:r>
        <w:rPr>
          <w:rFonts w:hint="eastAsia"/>
          <w:lang w:val="en-US" w:eastAsia="zh-CN"/>
        </w:rPr>
        <w:t>Repetition and beams determination</w:t>
      </w:r>
    </w:p>
    <w:p>
      <w:pPr>
        <w:spacing w:before="181" w:line="260" w:lineRule="auto"/>
      </w:pPr>
      <w:r>
        <w:rPr>
          <w:rFonts w:hint="eastAsia"/>
          <w:lang w:val="en-US" w:eastAsia="zh-CN"/>
        </w:rPr>
        <w:t>A potential issue would be how to exactly determine the beam index and repetition. t</w:t>
      </w:r>
      <w:r>
        <w:rPr>
          <w:rFonts w:hint="eastAsia"/>
        </w:rPr>
        <w:t>here are mainly two methods for the beam index and repetition determination</w:t>
      </w:r>
      <w:r>
        <w:rPr>
          <w:rFonts w:hint="eastAsia"/>
          <w:lang w:val="en-US" w:eastAsia="zh-CN"/>
        </w:rPr>
        <w:t xml:space="preserve"> if they are supported simultaneously</w:t>
      </w:r>
      <w:r>
        <w:rPr>
          <w:rFonts w:hint="eastAsia"/>
        </w:rPr>
        <w:t>.</w:t>
      </w:r>
    </w:p>
    <w:p>
      <w:pPr>
        <w:spacing w:before="120"/>
      </w:pPr>
      <w:r>
        <w:rPr>
          <w:rFonts w:hint="eastAsia"/>
        </w:rPr>
        <w:t>Option1:beam index increase first and then repetition</w:t>
      </w:r>
    </w:p>
    <w:p>
      <w:pPr>
        <w:spacing w:before="120"/>
      </w:pPr>
      <w:r>
        <w:rPr>
          <w:rFonts w:hint="eastAsia"/>
        </w:rPr>
        <w:t>Option2:repetition first and then beam index increase</w:t>
      </w:r>
    </w:p>
    <w:p>
      <w:pPr>
        <w:spacing w:before="120"/>
      </w:pPr>
      <w:r>
        <w:drawing>
          <wp:inline distT="0" distB="0" distL="114300" distR="114300">
            <wp:extent cx="4750435" cy="2175510"/>
            <wp:effectExtent l="0" t="0" r="12065" b="1524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5"/>
                    <a:stretch>
                      <a:fillRect/>
                    </a:stretch>
                  </pic:blipFill>
                  <pic:spPr>
                    <a:xfrm>
                      <a:off x="0" y="0"/>
                      <a:ext cx="4750435" cy="2175510"/>
                    </a:xfrm>
                    <a:prstGeom prst="rect">
                      <a:avLst/>
                    </a:prstGeom>
                    <a:noFill/>
                    <a:ln>
                      <a:noFill/>
                    </a:ln>
                  </pic:spPr>
                </pic:pic>
              </a:graphicData>
            </a:graphic>
          </wp:inline>
        </w:drawing>
      </w:r>
    </w:p>
    <w:p>
      <w:pPr>
        <w:spacing w:before="120"/>
        <w:jc w:val="center"/>
      </w:pPr>
      <w:r>
        <w:rPr>
          <w:rFonts w:hint="eastAsia"/>
        </w:rPr>
        <w:t xml:space="preserve">Figure </w:t>
      </w:r>
      <w:r>
        <w:rPr>
          <w:rFonts w:hint="eastAsia"/>
          <w:lang w:val="en-US" w:eastAsia="zh-CN"/>
        </w:rPr>
        <w:t>3</w:t>
      </w:r>
      <w:r>
        <w:rPr>
          <w:rFonts w:hint="eastAsia"/>
        </w:rPr>
        <w:t>. beam sweeping and repetition</w:t>
      </w:r>
    </w:p>
    <w:p>
      <w:pPr>
        <w:spacing w:before="181" w:line="260" w:lineRule="auto"/>
        <w:rPr>
          <w:rFonts w:hint="eastAsia"/>
        </w:rPr>
      </w:pPr>
      <w:r>
        <w:rPr>
          <w:rFonts w:hint="eastAsia"/>
        </w:rPr>
        <w:t>For option2, it is more appropriate for WUR to detect the LP-WUS. And if failed, discard the memory and then start the next detection with another beam. For option1, it requires the WUR to restore all the data for different beams until the transmission ends, which is not friendly to the WUS receiver.</w:t>
      </w:r>
    </w:p>
    <w:p>
      <w:pPr>
        <w:numPr>
          <w:ilvl w:val="255"/>
          <w:numId w:val="0"/>
        </w:numPr>
        <w:spacing w:before="120" w:beforeLines="0" w:line="276" w:lineRule="auto"/>
        <w:rPr>
          <w:rFonts w:hint="eastAsia"/>
          <w:b/>
          <w:bCs/>
          <w:i/>
          <w:iCs/>
        </w:rPr>
      </w:pPr>
      <w:r>
        <w:rPr>
          <w:rFonts w:hint="eastAsia"/>
          <w:b/>
          <w:bCs/>
          <w:i/>
          <w:iCs/>
        </w:rPr>
        <w:t xml:space="preserve">Proposal </w:t>
      </w:r>
      <w:r>
        <w:rPr>
          <w:rFonts w:hint="eastAsia"/>
          <w:b/>
          <w:bCs/>
          <w:i/>
          <w:iCs/>
          <w:lang w:val="en-US" w:eastAsia="zh-CN"/>
        </w:rPr>
        <w:t>10</w:t>
      </w:r>
      <w:r>
        <w:rPr>
          <w:rFonts w:hint="eastAsia"/>
          <w:b/>
          <w:bCs/>
          <w:i/>
          <w:iCs/>
        </w:rPr>
        <w:t>: Consider option 2 to determine the beam index and repetition.</w:t>
      </w:r>
    </w:p>
    <w:bookmarkEnd w:id="9"/>
    <w:p>
      <w:pPr>
        <w:pStyle w:val="3"/>
        <w:spacing w:before="120"/>
        <w:rPr>
          <w:lang w:val="en-US"/>
        </w:rPr>
      </w:pPr>
      <w:bookmarkStart w:id="13" w:name="OLE_LINK16"/>
      <w:r>
        <w:rPr>
          <w:rFonts w:hint="eastAsia"/>
          <w:lang w:val="en-US" w:eastAsia="zh-CN"/>
        </w:rPr>
        <w:t>Cell specific wake-up</w:t>
      </w:r>
      <w:r>
        <w:rPr>
          <w:rFonts w:hint="eastAsia"/>
          <w:lang w:val="en-US"/>
        </w:rPr>
        <w:t xml:space="preserve"> </w:t>
      </w:r>
    </w:p>
    <w:p>
      <w:pPr>
        <w:spacing w:before="181" w:beforeLines="50" w:line="260" w:lineRule="auto"/>
        <w:rPr>
          <w:rFonts w:hint="default"/>
          <w:lang w:val="en-US" w:eastAsia="zh-CN"/>
        </w:rPr>
      </w:pPr>
      <w:r>
        <w:rPr>
          <w:rFonts w:hint="eastAsia"/>
          <w:lang w:val="en-US" w:eastAsia="zh-CN"/>
        </w:rPr>
        <w:t>From NW perspective, cell specific wake-up is quite beneficial for the system overhead. For example, if the gNB update the system information, e.g., LP-WUS configuration update, without cell specific wake-up, the system overhead would be quite large. Based on LP-WUS indication, the following three cases could be considered for cell specific wake-up.</w:t>
      </w:r>
    </w:p>
    <w:p>
      <w:pPr>
        <w:spacing w:before="181" w:beforeLines="50" w:line="260" w:lineRule="auto"/>
        <w:rPr>
          <w:rFonts w:hint="default"/>
          <w:lang w:val="en-US" w:eastAsia="zh-CN"/>
        </w:rPr>
      </w:pPr>
      <w:r>
        <w:rPr>
          <w:rFonts w:hint="eastAsia"/>
          <w:lang w:val="en-US" w:eastAsia="zh-CN"/>
        </w:rPr>
        <w:t>Case1: LP-WUS can indicate all subgroups per PO</w:t>
      </w:r>
    </w:p>
    <w:p>
      <w:pPr>
        <w:spacing w:before="181" w:beforeLines="50" w:line="260" w:lineRule="auto"/>
        <w:rPr>
          <w:rFonts w:hint="eastAsia"/>
          <w:lang w:val="en-US" w:eastAsia="zh-CN"/>
        </w:rPr>
      </w:pPr>
      <w:r>
        <w:rPr>
          <w:rFonts w:hint="eastAsia"/>
          <w:lang w:val="en-US" w:eastAsia="zh-CN"/>
        </w:rPr>
        <w:t xml:space="preserve">If LP-WUS is used for cell specific wake-up, and if one LO is associated with one PO, then to wake-up all the UEs in one -IDRX cycle, assuming N POs are configured in total in one I-DRX cycle, N additional LP-WUS also should be at least transmitted. </w:t>
      </w:r>
    </w:p>
    <w:p>
      <w:pPr>
        <w:spacing w:before="181" w:line="260" w:lineRule="auto"/>
        <w:rPr>
          <w:rFonts w:hint="eastAsia"/>
          <w:lang w:val="en-US" w:eastAsia="zh-CN"/>
        </w:rPr>
      </w:pPr>
      <w:r>
        <w:rPr>
          <w:rFonts w:hint="eastAsia"/>
          <w:lang w:val="en-US" w:eastAsia="zh-CN"/>
        </w:rPr>
        <w:t>Case2: LP-WUS can indicate all subgroups for M POs</w:t>
      </w:r>
    </w:p>
    <w:p>
      <w:pPr>
        <w:spacing w:before="181" w:beforeLines="50" w:line="260" w:lineRule="auto"/>
        <w:rPr>
          <w:rFonts w:hint="eastAsia"/>
          <w:lang w:val="en-US" w:eastAsia="zh-CN"/>
        </w:rPr>
      </w:pPr>
      <w:r>
        <w:rPr>
          <w:rFonts w:hint="eastAsia"/>
          <w:lang w:val="en-US" w:eastAsia="zh-CN"/>
        </w:rPr>
        <w:t>If LP-WUS is used for cell specific wake-up, and if one LO is associated with M POs, assuming N POs are configured in total in one I-DRX cycle, then at least N/M additional LP-WUS is needed to achieve cell specific wake-up during one I-DRX cycle.</w:t>
      </w:r>
    </w:p>
    <w:p>
      <w:pPr>
        <w:spacing w:before="181" w:line="260" w:lineRule="auto"/>
        <w:rPr>
          <w:rFonts w:hint="default"/>
          <w:lang w:val="en-US" w:eastAsia="zh-CN"/>
        </w:rPr>
      </w:pPr>
      <w:r>
        <w:rPr>
          <w:rFonts w:hint="eastAsia"/>
          <w:lang w:val="en-US" w:eastAsia="zh-CN"/>
        </w:rPr>
        <w:t>Case3: LP-WUS can indicate all subgroups for all POs</w:t>
      </w:r>
    </w:p>
    <w:p>
      <w:pPr>
        <w:spacing w:before="181" w:beforeLines="50" w:line="260" w:lineRule="auto"/>
        <w:rPr>
          <w:rFonts w:hint="eastAsia"/>
          <w:lang w:val="en-US" w:eastAsia="zh-CN"/>
        </w:rPr>
      </w:pPr>
      <w:r>
        <w:rPr>
          <w:rFonts w:hint="eastAsia"/>
          <w:lang w:val="en-US" w:eastAsia="zh-CN"/>
        </w:rPr>
        <w:t>If LP-WUS is used for cell specific wake-up, and if one LO is associated with all the POs in one I-DRX cycle, then at least one LP-WUS is needed. However, it would burden the LP-WUS design, since more information is needed to indicate that this LO is targeting all the POs, not one of them.</w:t>
      </w:r>
    </w:p>
    <w:p>
      <w:pPr>
        <w:spacing w:before="181" w:beforeLines="50" w:line="260" w:lineRule="auto"/>
        <w:rPr>
          <w:rFonts w:hint="eastAsia"/>
          <w:sz w:val="20"/>
          <w:szCs w:val="20"/>
          <w:lang w:val="en-US" w:eastAsia="zh-CN"/>
        </w:rPr>
      </w:pPr>
      <w:r>
        <w:rPr>
          <w:rFonts w:hint="eastAsia"/>
          <w:sz w:val="20"/>
          <w:szCs w:val="20"/>
          <w:lang w:val="en-US" w:eastAsia="zh-CN"/>
        </w:rPr>
        <w:t xml:space="preserve">Above overhead calculation assumes the LP-WUS can be used to wake-up all the subgroups for one or more POs. The overhead comparison among above three cases could be </w:t>
      </w:r>
    </w:p>
    <w:p>
      <w:pPr>
        <w:pStyle w:val="2"/>
        <w:jc w:val="center"/>
        <w:rPr>
          <w:rFonts w:hint="default"/>
          <w:sz w:val="20"/>
          <w:szCs w:val="20"/>
          <w:lang w:val="en-US" w:eastAsia="zh-CN"/>
        </w:rPr>
      </w:pPr>
      <w:r>
        <w:rPr>
          <w:rFonts w:hint="eastAsia"/>
          <w:sz w:val="20"/>
          <w:szCs w:val="20"/>
          <w:lang w:val="en-US" w:eastAsia="zh-CN"/>
        </w:rPr>
        <w:t>N*X1 : N/M*X2 : 1*X3</w:t>
      </w:r>
    </w:p>
    <w:p>
      <w:pPr>
        <w:spacing w:before="181" w:beforeLines="50" w:line="260" w:lineRule="auto"/>
        <w:rPr>
          <w:rFonts w:hint="eastAsia"/>
          <w:sz w:val="20"/>
          <w:szCs w:val="20"/>
          <w:lang w:val="en-US" w:eastAsia="zh-CN"/>
        </w:rPr>
      </w:pPr>
      <w:r>
        <w:rPr>
          <w:rFonts w:hint="eastAsia"/>
          <w:sz w:val="20"/>
          <w:szCs w:val="20"/>
          <w:lang w:val="en-US" w:eastAsia="zh-CN"/>
        </w:rPr>
        <w:t>Wherein the X1 is the occupied OFDM symbols/resources for 6bit LP-WUS payload</w:t>
      </w:r>
    </w:p>
    <w:p>
      <w:pPr>
        <w:pStyle w:val="2"/>
        <w:rPr>
          <w:rFonts w:hint="default"/>
          <w:sz w:val="20"/>
          <w:szCs w:val="20"/>
          <w:lang w:val="en-US" w:eastAsia="zh-CN"/>
        </w:rPr>
      </w:pPr>
      <w:r>
        <w:rPr>
          <w:rFonts w:hint="eastAsia"/>
          <w:sz w:val="20"/>
          <w:szCs w:val="20"/>
          <w:lang w:val="en-US" w:eastAsia="zh-CN"/>
        </w:rPr>
        <w:t>X2 is the occupied OFDM symbols for 8bits LP-WUS payload, including 2bits for PO indication assuming M=4, 2^2=4.</w:t>
      </w:r>
    </w:p>
    <w:p>
      <w:pPr>
        <w:pStyle w:val="2"/>
        <w:rPr>
          <w:rFonts w:hint="default"/>
          <w:sz w:val="20"/>
          <w:szCs w:val="20"/>
          <w:lang w:val="en-US" w:eastAsia="zh-CN"/>
        </w:rPr>
      </w:pPr>
      <w:r>
        <w:rPr>
          <w:rFonts w:hint="eastAsia"/>
          <w:sz w:val="20"/>
          <w:szCs w:val="20"/>
          <w:lang w:val="en-US" w:eastAsia="zh-CN"/>
        </w:rPr>
        <w:t>X3 is the occupied OFDM symbols for 12bits LP-WUS payload, including 6bits for PO indication, 2^6=64</w:t>
      </w:r>
    </w:p>
    <w:p>
      <w:pPr>
        <w:pStyle w:val="2"/>
        <w:rPr>
          <w:rFonts w:hint="eastAsia"/>
          <w:sz w:val="20"/>
          <w:szCs w:val="20"/>
          <w:lang w:val="en-US" w:eastAsia="zh-CN"/>
        </w:rPr>
      </w:pPr>
      <w:r>
        <w:rPr>
          <w:rFonts w:hint="eastAsia"/>
          <w:sz w:val="20"/>
          <w:szCs w:val="20"/>
          <w:lang w:val="en-US" w:eastAsia="zh-CN"/>
        </w:rPr>
        <w:t xml:space="preserve">Currently, it is not sure whether CRC bits is supported, and to simplify this, it is assumed X1=6, X2=8, X3=12. </w:t>
      </w:r>
    </w:p>
    <w:p>
      <w:pPr>
        <w:pStyle w:val="2"/>
        <w:rPr>
          <w:rFonts w:hint="default"/>
          <w:sz w:val="20"/>
          <w:szCs w:val="20"/>
          <w:lang w:val="en-US" w:eastAsia="zh-CN"/>
        </w:rPr>
      </w:pPr>
      <w:r>
        <w:rPr>
          <w:rFonts w:hint="eastAsia"/>
          <w:sz w:val="20"/>
          <w:szCs w:val="20"/>
          <w:lang w:val="en-US" w:eastAsia="zh-CN"/>
        </w:rPr>
        <w:t>Then the overhead ratio would be 6N: 2N: 12. With this assumption, supporting more POs associated with one LO would bring system overhead reduction. And cell specific wake-up also bring less system overhead.</w:t>
      </w:r>
    </w:p>
    <w:p>
      <w:pPr>
        <w:spacing w:before="0" w:beforeLines="-2147483648" w:line="240" w:lineRule="auto"/>
        <w:rPr>
          <w:rFonts w:hint="eastAsia"/>
          <w:sz w:val="20"/>
          <w:szCs w:val="20"/>
          <w:lang w:val="en-US" w:eastAsia="zh-CN"/>
        </w:rPr>
      </w:pPr>
    </w:p>
    <w:p>
      <w:pPr>
        <w:pStyle w:val="2"/>
        <w:rPr>
          <w:rFonts w:hint="eastAsia"/>
          <w:lang w:val="en-US" w:eastAsia="zh-CN"/>
        </w:rPr>
      </w:pPr>
      <w:r>
        <w:rPr>
          <w:rFonts w:hint="eastAsia"/>
          <w:sz w:val="20"/>
          <w:szCs w:val="20"/>
          <w:lang w:val="en-US" w:eastAsia="zh-CN"/>
        </w:rPr>
        <w:t>Assuming that the LP-WUS occupies 2slots to achieve msg3 coverage,</w:t>
      </w:r>
      <w:r>
        <w:rPr>
          <w:rFonts w:hint="eastAsia"/>
          <w:lang w:val="en-US" w:eastAsia="zh-CN"/>
        </w:rPr>
        <w:t xml:space="preserve"> </w:t>
      </w:r>
    </w:p>
    <w:p>
      <w:pPr>
        <w:pStyle w:val="2"/>
        <w:jc w:val="center"/>
        <w:rPr>
          <w:rFonts w:hint="default"/>
          <w:sz w:val="20"/>
          <w:szCs w:val="20"/>
          <w:lang w:val="en-US" w:eastAsia="zh-CN"/>
        </w:rPr>
      </w:pPr>
      <w:r>
        <w:rPr>
          <w:rFonts w:hint="eastAsia"/>
          <w:sz w:val="20"/>
          <w:szCs w:val="20"/>
          <w:lang w:val="en-US" w:eastAsia="zh-CN"/>
        </w:rPr>
        <w:t>Table 4. Assumptions for system overhead calculation</w:t>
      </w:r>
    </w:p>
    <w:tbl>
      <w:tblPr>
        <w:tblStyle w:val="31"/>
        <w:tblW w:w="0" w:type="auto"/>
        <w:tblInd w:w="10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93"/>
        <w:gridCol w:w="3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3" w:type="dxa"/>
          </w:tcPr>
          <w:p>
            <w:pPr>
              <w:pStyle w:val="2"/>
              <w:rPr>
                <w:rFonts w:hint="default"/>
                <w:sz w:val="20"/>
                <w:szCs w:val="20"/>
                <w:vertAlign w:val="baseline"/>
                <w:lang w:val="en-US" w:eastAsia="zh-CN"/>
              </w:rPr>
            </w:pPr>
            <w:r>
              <w:rPr>
                <w:rFonts w:hint="eastAsia"/>
                <w:sz w:val="20"/>
                <w:szCs w:val="20"/>
                <w:vertAlign w:val="baseline"/>
                <w:lang w:val="en-US" w:eastAsia="zh-CN"/>
              </w:rPr>
              <w:t>LP-WUS</w:t>
            </w:r>
          </w:p>
        </w:tc>
        <w:tc>
          <w:tcPr>
            <w:tcW w:w="3468" w:type="dxa"/>
          </w:tcPr>
          <w:p>
            <w:pPr>
              <w:pStyle w:val="2"/>
              <w:rPr>
                <w:rFonts w:hint="eastAsia"/>
                <w:sz w:val="20"/>
                <w:szCs w:val="20"/>
                <w:vertAlign w:val="baseline"/>
                <w:lang w:val="en-US" w:eastAsia="zh-CN"/>
              </w:rPr>
            </w:pPr>
            <w:r>
              <w:rPr>
                <w:rFonts w:hint="eastAsia"/>
                <w:sz w:val="20"/>
                <w:szCs w:val="20"/>
                <w:vertAlign w:val="baseline"/>
                <w:lang w:val="en-US" w:eastAsia="zh-CN"/>
              </w:rPr>
              <w:t>2slots</w:t>
            </w:r>
          </w:p>
          <w:p>
            <w:pPr>
              <w:pStyle w:val="2"/>
              <w:rPr>
                <w:rFonts w:hint="eastAsia"/>
                <w:sz w:val="20"/>
                <w:szCs w:val="20"/>
                <w:vertAlign w:val="baseline"/>
                <w:lang w:val="en-US" w:eastAsia="zh-CN"/>
              </w:rPr>
            </w:pPr>
            <w:r>
              <w:rPr>
                <w:rFonts w:hint="eastAsia"/>
                <w:sz w:val="20"/>
                <w:szCs w:val="20"/>
                <w:vertAlign w:val="baseline"/>
                <w:lang w:val="en-US" w:eastAsia="zh-CN"/>
              </w:rPr>
              <w:t>11RB</w:t>
            </w:r>
          </w:p>
          <w:p>
            <w:pPr>
              <w:pStyle w:val="2"/>
              <w:rPr>
                <w:rFonts w:hint="default"/>
                <w:sz w:val="20"/>
                <w:szCs w:val="20"/>
                <w:vertAlign w:val="baseline"/>
                <w:lang w:val="en-US" w:eastAsia="zh-CN"/>
              </w:rPr>
            </w:pPr>
            <w:r>
              <w:rPr>
                <w:rFonts w:hint="eastAsia"/>
                <w:sz w:val="20"/>
                <w:szCs w:val="20"/>
                <w:vertAlign w:val="baseline"/>
                <w:lang w:val="en-US" w:eastAsia="zh-CN"/>
              </w:rPr>
              <w:t>Payload size: 6bit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3" w:type="dxa"/>
          </w:tcPr>
          <w:p>
            <w:pPr>
              <w:pStyle w:val="2"/>
              <w:rPr>
                <w:rFonts w:hint="default"/>
                <w:sz w:val="20"/>
                <w:szCs w:val="20"/>
                <w:vertAlign w:val="baseline"/>
                <w:lang w:val="en-US" w:eastAsia="zh-CN"/>
              </w:rPr>
            </w:pPr>
            <w:r>
              <w:rPr>
                <w:rFonts w:hint="eastAsia"/>
                <w:sz w:val="20"/>
                <w:szCs w:val="20"/>
                <w:vertAlign w:val="baseline"/>
                <w:lang w:val="en-US" w:eastAsia="zh-CN"/>
              </w:rPr>
              <w:t>SCS</w:t>
            </w:r>
          </w:p>
        </w:tc>
        <w:tc>
          <w:tcPr>
            <w:tcW w:w="3468" w:type="dxa"/>
          </w:tcPr>
          <w:p>
            <w:pPr>
              <w:pStyle w:val="2"/>
              <w:rPr>
                <w:rFonts w:hint="default"/>
                <w:sz w:val="20"/>
                <w:szCs w:val="20"/>
                <w:vertAlign w:val="baseline"/>
                <w:lang w:val="en-US" w:eastAsia="zh-CN"/>
              </w:rPr>
            </w:pPr>
            <w:r>
              <w:rPr>
                <w:rFonts w:hint="eastAsia"/>
                <w:sz w:val="20"/>
                <w:szCs w:val="20"/>
                <w:vertAlign w:val="baseline"/>
                <w:lang w:val="en-US"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3" w:type="dxa"/>
          </w:tcPr>
          <w:p>
            <w:pPr>
              <w:pStyle w:val="2"/>
              <w:rPr>
                <w:rFonts w:hint="default"/>
                <w:sz w:val="20"/>
                <w:szCs w:val="20"/>
                <w:vertAlign w:val="baseline"/>
                <w:lang w:val="en-US" w:eastAsia="zh-CN"/>
              </w:rPr>
            </w:pPr>
            <w:r>
              <w:rPr>
                <w:rFonts w:hint="eastAsia"/>
                <w:sz w:val="20"/>
                <w:szCs w:val="20"/>
                <w:vertAlign w:val="baseline"/>
                <w:lang w:val="en-US" w:eastAsia="zh-CN"/>
              </w:rPr>
              <w:t>System bandwidth</w:t>
            </w:r>
          </w:p>
        </w:tc>
        <w:tc>
          <w:tcPr>
            <w:tcW w:w="3468" w:type="dxa"/>
          </w:tcPr>
          <w:p>
            <w:pPr>
              <w:pStyle w:val="2"/>
              <w:rPr>
                <w:rFonts w:hint="default"/>
                <w:sz w:val="20"/>
                <w:szCs w:val="20"/>
                <w:vertAlign w:val="baseline"/>
                <w:lang w:val="en-US" w:eastAsia="zh-CN"/>
              </w:rPr>
            </w:pPr>
            <w:r>
              <w:rPr>
                <w:rFonts w:hint="eastAsia"/>
                <w:sz w:val="20"/>
                <w:szCs w:val="20"/>
                <w:vertAlign w:val="baseline"/>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93" w:type="dxa"/>
          </w:tcPr>
          <w:p>
            <w:pPr>
              <w:pStyle w:val="2"/>
              <w:rPr>
                <w:rFonts w:hint="default"/>
                <w:sz w:val="20"/>
                <w:szCs w:val="20"/>
                <w:vertAlign w:val="baseline"/>
                <w:lang w:val="en-US" w:eastAsia="zh-CN"/>
              </w:rPr>
            </w:pPr>
            <w:r>
              <w:rPr>
                <w:rFonts w:hint="eastAsia"/>
                <w:sz w:val="20"/>
                <w:szCs w:val="20"/>
                <w:vertAlign w:val="baseline"/>
                <w:lang w:val="en-US" w:eastAsia="zh-CN"/>
              </w:rPr>
              <w:t>Number of POs in 1280ms</w:t>
            </w:r>
          </w:p>
        </w:tc>
        <w:tc>
          <w:tcPr>
            <w:tcW w:w="3468" w:type="dxa"/>
          </w:tcPr>
          <w:p>
            <w:pPr>
              <w:pStyle w:val="2"/>
              <w:rPr>
                <w:rFonts w:hint="default"/>
                <w:sz w:val="20"/>
                <w:szCs w:val="20"/>
                <w:vertAlign w:val="baseline"/>
                <w:lang w:val="en-US" w:eastAsia="zh-CN"/>
              </w:rPr>
            </w:pPr>
            <w:r>
              <w:rPr>
                <w:rFonts w:hint="eastAsia"/>
                <w:sz w:val="20"/>
                <w:szCs w:val="20"/>
                <w:vertAlign w:val="baseline"/>
                <w:lang w:val="en-US" w:eastAsia="zh-CN"/>
              </w:rPr>
              <w:t>64, 8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3" w:type="dxa"/>
          </w:tcPr>
          <w:p>
            <w:pPr>
              <w:pStyle w:val="2"/>
              <w:rPr>
                <w:rFonts w:hint="default"/>
                <w:sz w:val="20"/>
                <w:szCs w:val="20"/>
                <w:vertAlign w:val="baseline"/>
                <w:lang w:val="en-US" w:eastAsia="zh-CN"/>
              </w:rPr>
            </w:pPr>
            <w:r>
              <w:rPr>
                <w:rFonts w:hint="eastAsia"/>
                <w:sz w:val="20"/>
                <w:szCs w:val="20"/>
                <w:vertAlign w:val="baseline"/>
                <w:lang w:val="en-US" w:eastAsia="zh-CN"/>
              </w:rPr>
              <w:t xml:space="preserve">Number of beams </w:t>
            </w:r>
          </w:p>
        </w:tc>
        <w:tc>
          <w:tcPr>
            <w:tcW w:w="3468" w:type="dxa"/>
          </w:tcPr>
          <w:p>
            <w:pPr>
              <w:pStyle w:val="2"/>
              <w:rPr>
                <w:rFonts w:hint="default"/>
                <w:sz w:val="20"/>
                <w:szCs w:val="20"/>
                <w:vertAlign w:val="baseline"/>
                <w:lang w:val="en-US" w:eastAsia="zh-CN"/>
              </w:rPr>
            </w:pPr>
            <w:r>
              <w:rPr>
                <w:rFonts w:hint="eastAsia"/>
                <w:sz w:val="20"/>
                <w:szCs w:val="20"/>
                <w:vertAlign w:val="baseline"/>
                <w:lang w:val="en-US" w:eastAsia="zh-CN"/>
              </w:rPr>
              <w:t>8</w:t>
            </w:r>
          </w:p>
        </w:tc>
      </w:tr>
    </w:tbl>
    <w:p>
      <w:pPr>
        <w:pStyle w:val="2"/>
        <w:rPr>
          <w:rFonts w:hint="eastAsia"/>
          <w:sz w:val="20"/>
          <w:szCs w:val="20"/>
          <w:lang w:val="en-US" w:eastAsia="zh-CN"/>
        </w:rPr>
      </w:pPr>
      <w:r>
        <w:rPr>
          <w:rFonts w:hint="eastAsia"/>
          <w:sz w:val="20"/>
          <w:szCs w:val="20"/>
          <w:lang w:val="en-US" w:eastAsia="zh-CN"/>
        </w:rPr>
        <w:t xml:space="preserve">Based on case 1, the system overhead occupied by LP-WUS is around 1.25% for 8POs and 10% for 64POs. Then to achieve the system overhead less than 3%, 4POs would be needed. </w:t>
      </w:r>
    </w:p>
    <w:p>
      <w:pPr>
        <w:pStyle w:val="2"/>
        <w:rPr>
          <w:rFonts w:hint="default"/>
          <w:b/>
          <w:bCs/>
          <w:i/>
          <w:iCs/>
          <w:sz w:val="20"/>
          <w:szCs w:val="20"/>
          <w:lang w:val="en-US" w:eastAsia="zh-CN"/>
        </w:rPr>
      </w:pPr>
      <w:r>
        <w:rPr>
          <w:rFonts w:hint="eastAsia"/>
          <w:b/>
          <w:bCs/>
          <w:i/>
          <w:iCs/>
          <w:sz w:val="20"/>
          <w:szCs w:val="20"/>
          <w:lang w:val="en-US" w:eastAsia="zh-CN"/>
        </w:rPr>
        <w:t>Observation 6: In case of cell specific wake-up via LP-WUS</w:t>
      </w:r>
    </w:p>
    <w:p>
      <w:pPr>
        <w:pStyle w:val="2"/>
        <w:numPr>
          <w:ilvl w:val="0"/>
          <w:numId w:val="25"/>
        </w:numPr>
        <w:ind w:left="420" w:hanging="420"/>
        <w:rPr>
          <w:rFonts w:hint="eastAsia"/>
          <w:b/>
          <w:bCs/>
          <w:i/>
          <w:iCs/>
          <w:sz w:val="20"/>
          <w:szCs w:val="20"/>
          <w:lang w:val="en-US" w:eastAsia="zh-CN"/>
        </w:rPr>
      </w:pPr>
      <w:r>
        <w:rPr>
          <w:rFonts w:hint="eastAsia"/>
          <w:b/>
          <w:bCs/>
          <w:i/>
          <w:iCs/>
          <w:sz w:val="20"/>
          <w:szCs w:val="20"/>
          <w:lang w:val="en-US" w:eastAsia="zh-CN"/>
        </w:rPr>
        <w:t xml:space="preserve">If LP-WUS can indicate all subgroups per PO to wake-up, the system overhead occupied only by LP-WUS could be up to 10% </w:t>
      </w:r>
    </w:p>
    <w:p>
      <w:pPr>
        <w:pStyle w:val="2"/>
        <w:numPr>
          <w:ilvl w:val="0"/>
          <w:numId w:val="25"/>
        </w:numPr>
        <w:ind w:left="420" w:hanging="420"/>
        <w:rPr>
          <w:rFonts w:hint="default"/>
          <w:b/>
          <w:bCs/>
          <w:i/>
          <w:iCs/>
          <w:sz w:val="20"/>
          <w:szCs w:val="20"/>
          <w:lang w:val="en-US" w:eastAsia="zh-CN"/>
        </w:rPr>
      </w:pPr>
      <w:r>
        <w:rPr>
          <w:rFonts w:hint="eastAsia"/>
          <w:b/>
          <w:bCs/>
          <w:i/>
          <w:iCs/>
          <w:sz w:val="20"/>
          <w:szCs w:val="20"/>
          <w:lang w:val="en-US" w:eastAsia="zh-CN"/>
        </w:rPr>
        <w:t>If LP-WUS can indicate all subgroup for 4POs to wake-up, the system overhead occupied by LP-WUS could be less than 3%.</w:t>
      </w:r>
    </w:p>
    <w:p>
      <w:pPr>
        <w:spacing w:before="181" w:beforeLines="50" w:line="260" w:lineRule="auto"/>
        <w:rPr>
          <w:rFonts w:hint="default"/>
          <w:sz w:val="20"/>
          <w:szCs w:val="20"/>
          <w:lang w:val="en-US" w:eastAsia="zh-CN"/>
        </w:rPr>
      </w:pPr>
      <w:r>
        <w:rPr>
          <w:rFonts w:hint="eastAsia"/>
          <w:sz w:val="20"/>
          <w:szCs w:val="20"/>
          <w:lang w:val="en-US" w:eastAsia="zh-CN"/>
        </w:rPr>
        <w:t>Additionally, we also can consider to use LP-SS for cell specific wake-up. In this case, both the OOK based WUR and OFDM based WUR need to monitor the LP-SS to make sure that the cell specific wake-up is not missed. Based on LP-SS cell specific wake-up, no additional LP-WUS is needed. And also, LP-SS has better coverage than LP-WUS.</w:t>
      </w:r>
    </w:p>
    <w:p>
      <w:pPr>
        <w:spacing w:before="120" w:beforeLines="0" w:line="276" w:lineRule="auto"/>
        <w:rPr>
          <w:rFonts w:hint="default" w:eastAsia="宋体"/>
          <w:b/>
          <w:bCs/>
          <w:i/>
          <w:iCs/>
          <w:sz w:val="20"/>
          <w:szCs w:val="20"/>
          <w:lang w:val="en-US" w:eastAsia="zh-CN"/>
        </w:rPr>
      </w:pPr>
      <w:r>
        <w:rPr>
          <w:rFonts w:hint="eastAsia"/>
          <w:b/>
          <w:bCs/>
          <w:i/>
          <w:iCs/>
          <w:sz w:val="20"/>
          <w:szCs w:val="20"/>
          <w:lang w:val="en-US" w:eastAsia="zh-CN"/>
        </w:rPr>
        <w:t>Observation 7: Using LP-SS for cell specific wake-up would not cause additional system overhead, and has better coverage.</w:t>
      </w:r>
    </w:p>
    <w:p>
      <w:pPr>
        <w:spacing w:before="120" w:beforeLines="0" w:line="276" w:lineRule="auto"/>
        <w:rPr>
          <w:rFonts w:hint="eastAsia"/>
          <w:b/>
          <w:bCs/>
          <w:i/>
          <w:iCs/>
          <w:sz w:val="20"/>
          <w:szCs w:val="20"/>
          <w:lang w:val="en-US" w:eastAsia="zh-CN"/>
        </w:rPr>
      </w:pPr>
      <w:r>
        <w:rPr>
          <w:rFonts w:hint="eastAsia"/>
          <w:b/>
          <w:bCs/>
          <w:i/>
          <w:iCs/>
          <w:sz w:val="20"/>
          <w:szCs w:val="20"/>
          <w:lang w:val="en-US" w:eastAsia="zh-CN"/>
        </w:rPr>
        <w:t>Proposal 11: Discuss and decide using LP-SS or LP-WUS to achieve cell specific wake-up.</w:t>
      </w:r>
    </w:p>
    <w:p>
      <w:pPr>
        <w:pStyle w:val="2"/>
        <w:numPr>
          <w:ilvl w:val="0"/>
          <w:numId w:val="26"/>
        </w:numPr>
        <w:ind w:left="420" w:hanging="420"/>
        <w:rPr>
          <w:rFonts w:hint="default"/>
          <w:b/>
          <w:bCs/>
          <w:i/>
          <w:iCs/>
          <w:sz w:val="20"/>
          <w:szCs w:val="20"/>
          <w:lang w:val="en-US" w:eastAsia="zh-CN"/>
        </w:rPr>
      </w:pPr>
      <w:r>
        <w:rPr>
          <w:rFonts w:hint="eastAsia"/>
          <w:b/>
          <w:bCs/>
          <w:i/>
          <w:iCs/>
          <w:sz w:val="20"/>
          <w:szCs w:val="20"/>
          <w:lang w:val="en-US" w:eastAsia="zh-CN"/>
        </w:rPr>
        <w:t>Slightly prefer to use LP-SS for cell specific wake-up</w:t>
      </w:r>
    </w:p>
    <w:p>
      <w:pPr>
        <w:pStyle w:val="2"/>
        <w:numPr>
          <w:ilvl w:val="0"/>
          <w:numId w:val="26"/>
        </w:numPr>
        <w:ind w:left="420" w:hanging="420"/>
        <w:rPr>
          <w:rFonts w:hint="default"/>
          <w:b/>
          <w:bCs/>
          <w:i/>
          <w:iCs/>
          <w:sz w:val="20"/>
          <w:szCs w:val="20"/>
          <w:lang w:val="en-US" w:eastAsia="zh-CN"/>
        </w:rPr>
      </w:pPr>
      <w:r>
        <w:rPr>
          <w:rFonts w:hint="eastAsia"/>
          <w:b/>
          <w:bCs/>
          <w:i/>
          <w:iCs/>
          <w:sz w:val="20"/>
          <w:szCs w:val="20"/>
          <w:lang w:val="en-US" w:eastAsia="zh-CN"/>
        </w:rPr>
        <w:t>If LP-WUS is used to achieve cell specific wake-up, at least, 4POs would be needed to be associated to LO and LP-WUS design and coverage would be further impacted.</w:t>
      </w:r>
    </w:p>
    <w:p>
      <w:pPr>
        <w:pStyle w:val="3"/>
        <w:spacing w:before="120"/>
        <w:rPr>
          <w:lang w:val="en-US"/>
        </w:rPr>
      </w:pPr>
      <w:r>
        <w:rPr>
          <w:rFonts w:hint="eastAsia"/>
          <w:lang w:val="en-US"/>
        </w:rPr>
        <w:t>Interaction with eDRX</w:t>
      </w:r>
    </w:p>
    <w:p>
      <w:pPr>
        <w:spacing w:before="120"/>
      </w:pPr>
      <w:r>
        <w:rPr>
          <w:rFonts w:hint="eastAsia"/>
        </w:rPr>
        <w:t xml:space="preserve">According to the TR, IoT use cases and wearable cases are the target use cases. For these IoT uses cases, the eDRX is an important feature for UE power saving.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180" w:line="240" w:lineRule="auto"/>
              <w:jc w:val="left"/>
              <w:rPr>
                <w:rFonts w:eastAsia="等线"/>
                <w:lang w:val="en-GB"/>
              </w:rPr>
            </w:pPr>
            <w:r>
              <w:rPr>
                <w:rFonts w:eastAsia="等线"/>
                <w:lang w:val="en-GB"/>
              </w:rPr>
              <w:t>The following characteristics for target use cases are considered in the study item:</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IoT cases including e.g., industrial wireless sensors, controllers, actuators and etc, including the following characteristics,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hint="eastAsia" w:eastAsia="等线"/>
                <w:lang w:val="en-GB" w:eastAsia="en-US"/>
              </w:rPr>
              <w:t>prim</w:t>
            </w:r>
            <w:r>
              <w:rPr>
                <w:rFonts w:eastAsia="等线"/>
                <w:lang w:val="en-GB" w:eastAsia="en-US"/>
              </w:rPr>
              <w:t>ary for small form devices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rFonts w:eastAsia="等线"/>
                <w:lang w:val="en-GB" w:eastAsia="en-US"/>
              </w:rPr>
            </w:pPr>
            <w:r>
              <w:rPr>
                <w:rFonts w:eastAsia="Malgun Gothic"/>
                <w:lang w:val="en-GB"/>
              </w:rPr>
              <w:t>-</w:t>
            </w:r>
            <w:r>
              <w:rPr>
                <w:rFonts w:eastAsia="Malgun Gothic"/>
                <w:lang w:val="en-GB"/>
              </w:rPr>
              <w:tab/>
            </w:r>
            <w:r>
              <w:rPr>
                <w:rFonts w:eastAsia="Malgun Gothic"/>
                <w:lang w:val="en-GB"/>
              </w:rPr>
              <w:t>static, nomadic or limited mobility</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 xml:space="preserve">Wearable cases including e.g., smart watches, rings, eHealth related devices, and medical monitoring devices etc., </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hint="eastAsia" w:eastAsia="等线"/>
                <w:lang w:val="en-GB" w:eastAsia="en-US"/>
              </w:rPr>
              <w:t>prim</w:t>
            </w:r>
            <w:r>
              <w:rPr>
                <w:rFonts w:eastAsia="等线"/>
                <w:lang w:val="en-GB" w:eastAsia="en-US"/>
              </w:rPr>
              <w:t>ary for small form devices,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rFonts w:eastAsia="等线"/>
                <w:lang w:val="en-GB" w:eastAsia="en-US"/>
              </w:rPr>
            </w:pPr>
            <w:r>
              <w:rPr>
                <w:rFonts w:eastAsia="Malgun Gothic"/>
                <w:lang w:val="en-GB"/>
              </w:rPr>
              <w:t>-</w:t>
            </w:r>
            <w:r>
              <w:rPr>
                <w:rFonts w:eastAsia="Malgun Gothic"/>
                <w:lang w:val="en-GB"/>
              </w:rPr>
              <w:tab/>
            </w:r>
            <w:r>
              <w:rPr>
                <w:rFonts w:eastAsia="Malgun Gothic"/>
                <w:lang w:val="en-GB"/>
              </w:rPr>
              <w:t>low/medium speed</w:t>
            </w:r>
            <w:r>
              <w:rPr>
                <w:rFonts w:hint="eastAsia" w:eastAsia="Malgun Gothic"/>
                <w:lang w:val="en-GB"/>
              </w:rPr>
              <w:t>,</w:t>
            </w:r>
            <w:r>
              <w:rPr>
                <w:rFonts w:eastAsia="Malgun Gothic"/>
                <w:lang w:val="en-GB"/>
              </w:rPr>
              <w:t xml:space="preserve"> FFS</w:t>
            </w:r>
            <w:r>
              <w:rPr>
                <w:rFonts w:hint="eastAsia" w:eastAsia="Malgun Gothic"/>
                <w:lang w:val="en-GB"/>
              </w:rPr>
              <w:t>:</w:t>
            </w:r>
            <w:r>
              <w:rPr>
                <w:rFonts w:eastAsia="Malgun Gothic"/>
                <w:lang w:val="en-GB"/>
              </w:rPr>
              <w:t xml:space="preserve"> high speed</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eMBB cases including e.g., XR/smart glasses, smart phones and etc.,</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devices form is various and not restricted</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sz w:val="24"/>
                <w:szCs w:val="24"/>
              </w:rPr>
            </w:pPr>
            <w:r>
              <w:rPr>
                <w:rFonts w:eastAsia="Malgun Gothic"/>
                <w:lang w:val="en-GB"/>
              </w:rPr>
              <w:t>-</w:t>
            </w:r>
            <w:r>
              <w:rPr>
                <w:rFonts w:eastAsia="Malgun Gothic"/>
                <w:lang w:val="en-GB"/>
              </w:rPr>
              <w:tab/>
            </w:r>
            <w:r>
              <w:rPr>
                <w:rFonts w:eastAsia="Malgun Gothic"/>
                <w:lang w:val="en-GB"/>
              </w:rPr>
              <w:t>low/medium speed</w:t>
            </w:r>
            <w:r>
              <w:rPr>
                <w:rFonts w:hint="eastAsia" w:eastAsia="Malgun Gothic"/>
                <w:lang w:val="en-GB"/>
              </w:rPr>
              <w:t>,</w:t>
            </w:r>
            <w:r>
              <w:rPr>
                <w:rFonts w:eastAsia="Malgun Gothic"/>
                <w:lang w:val="en-GB"/>
              </w:rPr>
              <w:t xml:space="preserve"> FFS</w:t>
            </w:r>
            <w:r>
              <w:rPr>
                <w:rFonts w:hint="eastAsia" w:eastAsia="Malgun Gothic"/>
                <w:lang w:val="en-GB"/>
              </w:rPr>
              <w:t>:</w:t>
            </w:r>
            <w:r>
              <w:rPr>
                <w:rFonts w:eastAsia="Malgun Gothic"/>
                <w:lang w:val="en-GB"/>
              </w:rPr>
              <w:t xml:space="preserve">  high speed</w:t>
            </w:r>
          </w:p>
        </w:tc>
      </w:tr>
    </w:tbl>
    <w:p>
      <w:pPr>
        <w:spacing w:before="120"/>
      </w:pPr>
      <w:r>
        <w:rPr>
          <w:rFonts w:hint="eastAsia"/>
        </w:rPr>
        <w:t>Without RRM measurement relaxing for LP-WUS, the PSG by LP-WUS has no advantage over the eDRX. Therefore, considering the premature WUR deployment and the WUR coverage, we think the eDRX feature is still important to be supported especially for IoT devices.</w:t>
      </w:r>
    </w:p>
    <w:p>
      <w:pPr>
        <w:spacing w:before="120"/>
        <w:rPr>
          <w:rFonts w:eastAsia="等线"/>
        </w:rPr>
      </w:pPr>
      <w:r>
        <w:rPr>
          <w:rFonts w:hint="eastAsia"/>
        </w:rPr>
        <w:t xml:space="preserve">During the SI stage, there two schemes for eDRX case. 1) LP-WUS monitoring within PTW and legacy PO determination. 2) </w:t>
      </w:r>
      <w:r>
        <w:rPr>
          <w:rFonts w:eastAsia="等线"/>
          <w:lang w:val="en-GB" w:eastAsia="en-US"/>
        </w:rPr>
        <w:t>LP-WUS monitoring is not restricted in PTW and dynamic PO determination</w:t>
      </w:r>
      <w:r>
        <w:rPr>
          <w:rFonts w:hint="eastAsia" w:eastAsia="等线"/>
        </w:rPr>
        <w:t>. Based on the RRM measurement relaxing, LP-WUS still can bring some power saving gain compared with eDRX.</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180" w:line="240" w:lineRule="auto"/>
              <w:jc w:val="left"/>
              <w:rPr>
                <w:rFonts w:eastAsia="等线"/>
                <w:szCs w:val="20"/>
                <w:lang w:val="en-GB"/>
              </w:rPr>
            </w:pPr>
            <w:r>
              <w:rPr>
                <w:rFonts w:hint="eastAsia" w:eastAsia="等线"/>
                <w:szCs w:val="20"/>
                <w:lang w:val="en-GB"/>
              </w:rPr>
              <w:t>O</w:t>
            </w:r>
            <w:r>
              <w:rPr>
                <w:rFonts w:eastAsia="等线"/>
                <w:szCs w:val="20"/>
                <w:lang w:val="en-GB"/>
              </w:rPr>
              <w:t xml:space="preserve">bservations: </w:t>
            </w:r>
          </w:p>
          <w:p>
            <w:pPr>
              <w:spacing w:before="120" w:after="180"/>
              <w:ind w:left="568" w:hanging="284"/>
              <w:rPr>
                <w:rFonts w:eastAsia="等线"/>
                <w:lang w:val="en-GB"/>
              </w:rPr>
            </w:pPr>
            <w:r>
              <w:rPr>
                <w:rFonts w:eastAsia="等线"/>
                <w:lang w:val="en-GB" w:eastAsia="en-US"/>
              </w:rPr>
              <w:t>1)</w:t>
            </w:r>
            <w:r>
              <w:rPr>
                <w:rFonts w:eastAsia="等线"/>
                <w:lang w:val="en-GB" w:eastAsia="en-US"/>
              </w:rPr>
              <w:tab/>
            </w:r>
            <w:r>
              <w:rPr>
                <w:rFonts w:eastAsia="等线"/>
                <w:lang w:val="en-GB" w:eastAsia="en-US"/>
              </w:rPr>
              <w:t>LP-WUS monitoring within PTW and legacy PO determination</w:t>
            </w:r>
          </w:p>
          <w:p>
            <w:pPr>
              <w:spacing w:before="120" w:after="180"/>
              <w:ind w:left="851" w:hanging="284"/>
              <w:rPr>
                <w:rFonts w:eastAsia="等线"/>
                <w:lang w:val="en-GB"/>
              </w:rPr>
            </w:pPr>
            <w:r>
              <w:rPr>
                <w:rFonts w:eastAsia="等线"/>
                <w:lang w:val="it-IT"/>
              </w:rPr>
              <w:t>-</w:t>
            </w:r>
            <w:r>
              <w:rPr>
                <w:rFonts w:eastAsia="等线"/>
                <w:lang w:val="it-IT"/>
              </w:rPr>
              <w:tab/>
            </w:r>
            <w:r>
              <w:rPr>
                <w:rFonts w:eastAsia="等线"/>
                <w:lang w:val="it-IT"/>
              </w:rPr>
              <w:t>Effective per UE paging arrival rate</w:t>
            </w:r>
            <w:r>
              <w:rPr>
                <w:rFonts w:eastAsia="等线"/>
                <w:lang w:val="en-GB"/>
              </w:rPr>
              <w:t xml:space="preserve"> &lt;=1% </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 xml:space="preserve">Results in [8A-3], [8A-4], [8A-8], [8A-12], [8A-16] show that compared with </w:t>
            </w:r>
            <w:r>
              <w:rPr>
                <w:rFonts w:eastAsia="等线"/>
                <w:lang w:val="en-GB" w:eastAsia="en-US"/>
              </w:rPr>
              <w:t>eDRX</w:t>
            </w:r>
            <w:r>
              <w:rPr>
                <w:rFonts w:eastAsia="等线"/>
                <w:color w:val="000000"/>
                <w:lang w:val="en-GB"/>
              </w:rPr>
              <w:t xml:space="preserve">, </w:t>
            </w:r>
            <w:r>
              <w:rPr>
                <w:rFonts w:hint="eastAsia" w:eastAsia="等线"/>
                <w:color w:val="000000"/>
                <w:lang w:val="en-GB"/>
              </w:rPr>
              <w:t>LP-WUS</w:t>
            </w:r>
            <w:r>
              <w:rPr>
                <w:rFonts w:eastAsia="等线"/>
                <w:color w:val="000000"/>
                <w:lang w:val="en-GB"/>
              </w:rPr>
              <w:t xml:space="preserve"> provide m</w:t>
            </w:r>
            <w:r>
              <w:rPr>
                <w:rFonts w:eastAsia="等线"/>
                <w:lang w:val="en-GB"/>
              </w:rPr>
              <w:t xml:space="preserve">ean power saving gain </w:t>
            </w:r>
            <w:r>
              <w:rPr>
                <w:rFonts w:eastAsia="等线"/>
                <w:highlight w:val="green"/>
                <w:lang w:val="en-GB"/>
              </w:rPr>
              <w:t>(average: 67.5%, range: 28%~92%)</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Results in [8A-4], [8A-8] show that compare</w:t>
            </w:r>
            <w:r>
              <w:rPr>
                <w:rFonts w:eastAsia="等线"/>
                <w:lang w:val="en-GB" w:eastAsia="en-US"/>
              </w:rPr>
              <w:t xml:space="preserve">d with eDRX mean paging latency (16.697~25.92) second, LP-WUS will result in mean paging latency (19.863~31.24) second, which increases mean </w:t>
            </w:r>
            <w:r>
              <w:rPr>
                <w:rFonts w:eastAsia="等线"/>
                <w:lang w:val="en-GB"/>
              </w:rPr>
              <w:t>paging latency</w:t>
            </w:r>
            <w:r>
              <w:rPr>
                <w:rFonts w:eastAsia="等线"/>
                <w:highlight w:val="green"/>
                <w:lang w:val="en-GB"/>
              </w:rPr>
              <w:t xml:space="preserve"> (19%~21%)</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 xml:space="preserve">Results in [8A-3], [8A-16] show that compared with </w:t>
            </w:r>
            <w:r>
              <w:rPr>
                <w:rFonts w:eastAsia="等线"/>
                <w:lang w:val="en-GB" w:eastAsia="en-US"/>
              </w:rPr>
              <w:t>eDRX</w:t>
            </w:r>
            <w:r>
              <w:rPr>
                <w:rFonts w:eastAsia="等线"/>
                <w:lang w:val="en-GB"/>
              </w:rPr>
              <w:t>, LP-WUS will result in mean paging latency</w:t>
            </w:r>
            <w:r>
              <w:rPr>
                <w:rFonts w:eastAsia="等线"/>
                <w:highlight w:val="green"/>
                <w:lang w:val="en-GB"/>
              </w:rPr>
              <w:t xml:space="preserve"> (42.679</w:t>
            </w:r>
            <w:r>
              <w:rPr>
                <w:rFonts w:eastAsia="等线"/>
                <w:highlight w:val="green"/>
                <w:lang w:val="en-GB" w:eastAsia="en-US"/>
              </w:rPr>
              <w:t xml:space="preserve">~161.73) second </w:t>
            </w:r>
            <w:r>
              <w:rPr>
                <w:rFonts w:eastAsia="等线"/>
                <w:highlight w:val="green"/>
                <w:lang w:val="en-GB"/>
              </w:rPr>
              <w:t>without baseline eDRX latency.</w:t>
            </w:r>
          </w:p>
          <w:p>
            <w:pPr>
              <w:spacing w:before="120" w:after="180"/>
              <w:ind w:left="851" w:hanging="284"/>
              <w:rPr>
                <w:rFonts w:eastAsia="等线"/>
                <w:lang w:val="it-IT"/>
              </w:rPr>
            </w:pPr>
            <w:r>
              <w:rPr>
                <w:rFonts w:eastAsia="等线"/>
                <w:lang w:val="it-IT"/>
              </w:rPr>
              <w:t>-</w:t>
            </w:r>
            <w:r>
              <w:rPr>
                <w:rFonts w:eastAsia="等线"/>
                <w:lang w:val="it-IT"/>
              </w:rPr>
              <w:tab/>
            </w:r>
            <w:r>
              <w:rPr>
                <w:rFonts w:eastAsia="等线"/>
                <w:lang w:val="it-IT"/>
              </w:rPr>
              <w:t>1%&lt;Effective per UE paging arrival rate &lt;=8%</w:t>
            </w:r>
          </w:p>
          <w:p>
            <w:pPr>
              <w:spacing w:before="120" w:after="180"/>
              <w:ind w:left="1135" w:hanging="284"/>
              <w:rPr>
                <w:rFonts w:eastAsia="等线"/>
                <w:lang w:val="en-GB"/>
              </w:rPr>
            </w:pPr>
            <w:r>
              <w:rPr>
                <w:rFonts w:eastAsia="等线"/>
                <w:lang w:val="it-IT"/>
              </w:rPr>
              <w:t>-</w:t>
            </w:r>
            <w:r>
              <w:rPr>
                <w:rFonts w:eastAsia="等线"/>
                <w:lang w:val="it-IT"/>
              </w:rPr>
              <w:tab/>
            </w:r>
            <w:r>
              <w:rPr>
                <w:rFonts w:eastAsia="等线"/>
                <w:lang w:val="it-IT"/>
              </w:rPr>
              <w:t xml:space="preserve">Results in </w:t>
            </w:r>
            <w:r>
              <w:rPr>
                <w:rFonts w:eastAsia="等线"/>
                <w:lang w:val="en-GB"/>
              </w:rPr>
              <w:t>[8A-8] show that compared with</w:t>
            </w:r>
            <w:r>
              <w:rPr>
                <w:rFonts w:eastAsia="等线"/>
                <w:lang w:val="en-GB" w:eastAsia="en-US"/>
              </w:rPr>
              <w:t xml:space="preserve"> eDRX</w:t>
            </w:r>
            <w:r>
              <w:rPr>
                <w:rFonts w:eastAsia="等线"/>
                <w:lang w:val="en-GB"/>
              </w:rPr>
              <w:t>, LP-WUS provides mean power saving gain (75%).</w:t>
            </w:r>
          </w:p>
          <w:p>
            <w:pPr>
              <w:spacing w:before="120" w:after="180"/>
              <w:ind w:left="1135" w:hanging="284"/>
            </w:pPr>
            <w:r>
              <w:rPr>
                <w:rFonts w:eastAsia="等线"/>
                <w:lang w:val="it-IT"/>
              </w:rPr>
              <w:t>-</w:t>
            </w:r>
            <w:r>
              <w:rPr>
                <w:rFonts w:eastAsia="等线"/>
                <w:lang w:val="it-IT"/>
              </w:rPr>
              <w:tab/>
            </w:r>
            <w:r>
              <w:rPr>
                <w:rFonts w:eastAsia="等线"/>
                <w:lang w:val="it-IT"/>
              </w:rPr>
              <w:t xml:space="preserve">Results in </w:t>
            </w:r>
            <w:r>
              <w:rPr>
                <w:rFonts w:eastAsia="等线"/>
                <w:lang w:val="en-GB"/>
              </w:rPr>
              <w:t>[8A-8] show that compared with eDRX mean paging</w:t>
            </w:r>
            <w:r>
              <w:rPr>
                <w:rFonts w:eastAsia="等线"/>
                <w:lang w:val="en-GB" w:eastAsia="en-US"/>
              </w:rPr>
              <w:t xml:space="preserve"> latency</w:t>
            </w:r>
            <w:r>
              <w:rPr>
                <w:rFonts w:eastAsia="等线"/>
                <w:lang w:val="en-GB"/>
              </w:rPr>
              <w:t xml:space="preserve"> (16.927) second, LP-WUS will result in mean paging latency (16.953) second, which </w:t>
            </w:r>
            <w:r>
              <w:rPr>
                <w:rFonts w:hint="eastAsia" w:eastAsia="等线"/>
                <w:lang w:val="en-GB" w:eastAsia="en-US"/>
              </w:rPr>
              <w:t>increase</w:t>
            </w:r>
            <w:r>
              <w:rPr>
                <w:rFonts w:eastAsia="等线"/>
                <w:lang w:val="en-GB" w:eastAsia="en-US"/>
              </w:rPr>
              <w:t>s</w:t>
            </w:r>
            <w:r>
              <w:rPr>
                <w:rFonts w:eastAsia="等线"/>
                <w:lang w:val="en-GB"/>
              </w:rPr>
              <w:t xml:space="preserve"> mean paging latency (0.2%) </w:t>
            </w:r>
          </w:p>
        </w:tc>
      </w:tr>
    </w:tbl>
    <w:p>
      <w:pPr>
        <w:spacing w:before="120" w:beforeLines="0" w:line="276" w:lineRule="auto"/>
      </w:pPr>
      <w:r>
        <w:rPr>
          <w:rFonts w:hint="eastAsia"/>
        </w:rPr>
        <w:t xml:space="preserve">For eDRX, there would be multiple </w:t>
      </w:r>
      <w:r>
        <w:rPr>
          <w:rFonts w:hint="eastAsia"/>
          <w:lang w:val="en-US" w:eastAsia="zh-CN"/>
        </w:rPr>
        <w:t>I</w:t>
      </w:r>
      <w:r>
        <w:rPr>
          <w:rFonts w:hint="eastAsia"/>
        </w:rPr>
        <w:t>DRX</w:t>
      </w:r>
      <w:r>
        <w:rPr>
          <w:rFonts w:hint="eastAsia"/>
          <w:lang w:val="en-US" w:eastAsia="zh-CN"/>
        </w:rPr>
        <w:t xml:space="preserve"> cycle</w:t>
      </w:r>
      <w:r>
        <w:rPr>
          <w:rFonts w:hint="eastAsia"/>
        </w:rPr>
        <w:t xml:space="preserve">s in a PTW. If the LP-WUS is located before each </w:t>
      </w:r>
      <w:r>
        <w:rPr>
          <w:rFonts w:hint="eastAsia"/>
          <w:lang w:val="en-US" w:eastAsia="zh-CN"/>
        </w:rPr>
        <w:t>I</w:t>
      </w:r>
      <w:r>
        <w:rPr>
          <w:rFonts w:hint="eastAsia"/>
        </w:rPr>
        <w:t>DRX, then the LP-WUS monitoring would be frequent as shown in Figure 5, which is not so power efficient.</w:t>
      </w:r>
    </w:p>
    <w:p>
      <w:pPr>
        <w:spacing w:before="120" w:beforeLines="0" w:line="276" w:lineRule="auto"/>
      </w:pPr>
      <w:r>
        <w:drawing>
          <wp:inline distT="0" distB="0" distL="114300" distR="114300">
            <wp:extent cx="5692775" cy="1955800"/>
            <wp:effectExtent l="0" t="0" r="3175"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6"/>
                    <a:stretch>
                      <a:fillRect/>
                    </a:stretch>
                  </pic:blipFill>
                  <pic:spPr>
                    <a:xfrm>
                      <a:off x="0" y="0"/>
                      <a:ext cx="5692775" cy="1955800"/>
                    </a:xfrm>
                    <a:prstGeom prst="rect">
                      <a:avLst/>
                    </a:prstGeom>
                    <a:noFill/>
                    <a:ln>
                      <a:noFill/>
                    </a:ln>
                  </pic:spPr>
                </pic:pic>
              </a:graphicData>
            </a:graphic>
          </wp:inline>
        </w:drawing>
      </w:r>
    </w:p>
    <w:p>
      <w:pPr>
        <w:spacing w:before="120" w:beforeLines="0" w:line="276" w:lineRule="auto"/>
        <w:jc w:val="center"/>
      </w:pPr>
      <w:r>
        <w:rPr>
          <w:rFonts w:hint="eastAsia"/>
        </w:rPr>
        <w:t xml:space="preserve">Figure </w:t>
      </w:r>
      <w:r>
        <w:rPr>
          <w:rFonts w:hint="eastAsia"/>
          <w:lang w:val="en-US" w:eastAsia="zh-CN"/>
        </w:rPr>
        <w:t>4</w:t>
      </w:r>
      <w:r>
        <w:rPr>
          <w:rFonts w:hint="eastAsia"/>
        </w:rPr>
        <w:t>. Duty cycle LP-WUS monitoring periodicity aligned with I-DRX</w:t>
      </w:r>
    </w:p>
    <w:p>
      <w:pPr>
        <w:spacing w:before="120" w:beforeLines="0" w:line="276" w:lineRule="auto"/>
        <w:rPr>
          <w:rFonts w:hint="default"/>
          <w:lang w:val="en-US" w:eastAsia="zh-CN"/>
        </w:rPr>
      </w:pPr>
      <w:r>
        <w:rPr>
          <w:rFonts w:hint="eastAsia"/>
          <w:lang w:val="en-US" w:eastAsia="zh-CN"/>
        </w:rPr>
        <w:t>If LP-WUS is configured with a large periodicity, e.g., same as eDRX periodicity, then the WUR is not needed to frequently monitor as shown in above figure. In this case, we need to further consider how LO is configured to align with the PTW.</w:t>
      </w:r>
    </w:p>
    <w:p>
      <w:pPr>
        <w:spacing w:before="120" w:beforeLines="0" w:line="276" w:lineRule="auto"/>
        <w:jc w:val="center"/>
      </w:pPr>
      <w:r>
        <w:drawing>
          <wp:inline distT="0" distB="0" distL="114300" distR="114300">
            <wp:extent cx="5209540" cy="1731645"/>
            <wp:effectExtent l="0" t="0" r="10160" b="190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17"/>
                    <a:stretch>
                      <a:fillRect/>
                    </a:stretch>
                  </pic:blipFill>
                  <pic:spPr>
                    <a:xfrm>
                      <a:off x="0" y="0"/>
                      <a:ext cx="5209540" cy="1731645"/>
                    </a:xfrm>
                    <a:prstGeom prst="rect">
                      <a:avLst/>
                    </a:prstGeom>
                  </pic:spPr>
                </pic:pic>
              </a:graphicData>
            </a:graphic>
          </wp:inline>
        </w:drawing>
      </w:r>
    </w:p>
    <w:p>
      <w:pPr>
        <w:spacing w:before="120" w:beforeLines="0" w:line="276" w:lineRule="auto"/>
        <w:jc w:val="center"/>
      </w:pPr>
      <w:r>
        <w:rPr>
          <w:rFonts w:hint="eastAsia"/>
        </w:rPr>
        <w:t xml:space="preserve">Figure </w:t>
      </w:r>
      <w:r>
        <w:rPr>
          <w:rFonts w:hint="eastAsia"/>
          <w:lang w:val="en-US" w:eastAsia="zh-CN"/>
        </w:rPr>
        <w:t>5</w:t>
      </w:r>
      <w:r>
        <w:rPr>
          <w:rFonts w:hint="eastAsia"/>
        </w:rPr>
        <w:t>. Duty cycle LP-WUS monitoring periodicity aligned with PTW</w:t>
      </w:r>
    </w:p>
    <w:p>
      <w:pPr>
        <w:spacing w:before="120" w:beforeLines="0" w:line="276" w:lineRule="auto"/>
      </w:pPr>
      <w:r>
        <w:rPr>
          <w:rFonts w:hint="eastAsia"/>
          <w:lang w:val="en-US" w:eastAsia="zh-CN"/>
        </w:rPr>
        <w:t>Based on the figure</w:t>
      </w:r>
      <w:r>
        <w:rPr>
          <w:rFonts w:hint="eastAsia"/>
        </w:rPr>
        <w:t>, if LO monitoring occasions are overlap with the paging PDCCH monitoring occasions, it seems not necessary to monitor the LP-WUS in the overlapped occasions.</w:t>
      </w:r>
    </w:p>
    <w:p>
      <w:pPr>
        <w:spacing w:before="120"/>
        <w:rPr>
          <w:rFonts w:hint="eastAsia"/>
          <w:b/>
          <w:bCs/>
          <w:i/>
          <w:iCs/>
          <w:lang w:val="en-US" w:eastAsia="zh-CN"/>
        </w:rPr>
      </w:pPr>
      <w:r>
        <w:rPr>
          <w:rFonts w:hint="eastAsia"/>
          <w:b/>
          <w:bCs/>
          <w:i/>
          <w:iCs/>
        </w:rPr>
        <w:t>Proposal</w:t>
      </w:r>
      <w:r>
        <w:rPr>
          <w:rFonts w:hint="eastAsia"/>
          <w:b/>
          <w:bCs/>
          <w:i/>
          <w:iCs/>
          <w:lang w:val="en-US" w:eastAsia="zh-CN"/>
        </w:rPr>
        <w:t xml:space="preserve"> 12</w:t>
      </w:r>
      <w:r>
        <w:rPr>
          <w:rFonts w:hint="eastAsia"/>
          <w:b/>
          <w:bCs/>
          <w:i/>
          <w:iCs/>
        </w:rPr>
        <w:t xml:space="preserve">: </w:t>
      </w:r>
      <w:r>
        <w:rPr>
          <w:rFonts w:hint="eastAsia"/>
          <w:b/>
          <w:bCs/>
          <w:i/>
          <w:iCs/>
          <w:lang w:val="en-US" w:eastAsia="zh-CN"/>
        </w:rPr>
        <w:t xml:space="preserve">For eDRX, discuss </w:t>
      </w:r>
    </w:p>
    <w:p>
      <w:pPr>
        <w:numPr>
          <w:ilvl w:val="0"/>
          <w:numId w:val="27"/>
        </w:numPr>
        <w:spacing w:before="120"/>
        <w:ind w:left="420" w:leftChars="0" w:hanging="420" w:firstLineChars="0"/>
        <w:rPr>
          <w:rFonts w:hint="eastAsia"/>
          <w:b/>
          <w:bCs/>
          <w:i/>
          <w:iCs/>
          <w:highlight w:val="none"/>
          <w:lang w:val="en-US" w:eastAsia="zh-CN"/>
        </w:rPr>
      </w:pPr>
      <w:r>
        <w:rPr>
          <w:rFonts w:hint="eastAsia"/>
          <w:b/>
          <w:bCs/>
          <w:i/>
          <w:iCs/>
          <w:highlight w:val="none"/>
          <w:lang w:val="en-US" w:eastAsia="zh-CN"/>
        </w:rPr>
        <w:t>the LO periodicity could be the same as IDRX</w:t>
      </w:r>
    </w:p>
    <w:p>
      <w:pPr>
        <w:numPr>
          <w:ilvl w:val="0"/>
          <w:numId w:val="27"/>
        </w:numPr>
        <w:spacing w:before="120"/>
        <w:ind w:left="420" w:leftChars="0" w:hanging="420" w:firstLineChars="0"/>
        <w:rPr>
          <w:rFonts w:hint="default"/>
          <w:b/>
          <w:bCs/>
          <w:i/>
          <w:iCs/>
          <w:lang w:val="en-US" w:eastAsia="zh-CN"/>
        </w:rPr>
      </w:pPr>
      <w:r>
        <w:rPr>
          <w:rFonts w:hint="eastAsia"/>
          <w:b/>
          <w:bCs/>
          <w:i/>
          <w:iCs/>
          <w:lang w:val="en-US" w:eastAsia="zh-CN"/>
        </w:rPr>
        <w:t>the LO periodicity could be the same as eDRX periodicity</w:t>
      </w:r>
    </w:p>
    <w:p>
      <w:pPr>
        <w:spacing w:before="120"/>
        <w:rPr>
          <w:rFonts w:hint="eastAsia"/>
          <w:b w:val="0"/>
          <w:bCs w:val="0"/>
          <w:i w:val="0"/>
          <w:iCs w:val="0"/>
          <w:lang w:val="en-US" w:eastAsia="zh-CN"/>
        </w:rPr>
      </w:pPr>
      <w:r>
        <w:rPr>
          <w:rFonts w:hint="eastAsia"/>
          <w:b w:val="0"/>
          <w:bCs w:val="0"/>
          <w:i w:val="0"/>
          <w:iCs w:val="0"/>
          <w:lang w:val="en-US" w:eastAsia="zh-CN"/>
        </w:rPr>
        <w:t>Given that RAN1 has no consensus to support dynamic PO, dynamic PTW also is not considered in this release. Then eDRX support should be discussed to align the current IDRX design.</w:t>
      </w:r>
    </w:p>
    <w:p>
      <w:pPr>
        <w:pStyle w:val="3"/>
        <w:spacing w:before="120"/>
        <w:rPr>
          <w:lang w:val="en-US"/>
        </w:rPr>
      </w:pPr>
      <w:r>
        <w:rPr>
          <w:rFonts w:hint="eastAsia"/>
          <w:lang w:val="en-US" w:eastAsia="zh-CN"/>
        </w:rPr>
        <w:t>TDD, QCL and power control</w:t>
      </w:r>
    </w:p>
    <w:p>
      <w:pPr>
        <w:pStyle w:val="4"/>
        <w:spacing w:before="120"/>
        <w:rPr>
          <w:lang w:val="en-US"/>
        </w:rPr>
      </w:pPr>
      <w:r>
        <w:rPr>
          <w:rFonts w:hint="eastAsia"/>
          <w:lang w:val="en-US"/>
        </w:rPr>
        <w:t xml:space="preserve">FDD/TDD support </w:t>
      </w:r>
    </w:p>
    <w:p>
      <w:pPr>
        <w:spacing w:before="120" w:beforeLines="0" w:line="276" w:lineRule="auto"/>
      </w:pPr>
      <w:r>
        <w:rPr>
          <w:rFonts w:hint="eastAsia"/>
        </w:rPr>
        <w:t>In the WID, it is not clear whether the WUR could be deployed in FDD or TDD bands. From the initial study, FDD bands at least are feasible and could be supported. As for TDD bands, since TDD bands are commercially deployed widely, LP-WUS also should be designed to be compatible with TDD DL-UL configuration. An illustration is shown as follows.</w:t>
      </w:r>
    </w:p>
    <w:p>
      <w:pPr>
        <w:spacing w:before="120" w:beforeLines="0" w:line="276" w:lineRule="auto"/>
        <w:jc w:val="center"/>
      </w:pPr>
      <w:r>
        <w:drawing>
          <wp:inline distT="0" distB="0" distL="114300" distR="114300">
            <wp:extent cx="5222875" cy="2884805"/>
            <wp:effectExtent l="0" t="0" r="15875"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8"/>
                    <a:stretch>
                      <a:fillRect/>
                    </a:stretch>
                  </pic:blipFill>
                  <pic:spPr>
                    <a:xfrm>
                      <a:off x="0" y="0"/>
                      <a:ext cx="5222875" cy="2884805"/>
                    </a:xfrm>
                    <a:prstGeom prst="rect">
                      <a:avLst/>
                    </a:prstGeom>
                  </pic:spPr>
                </pic:pic>
              </a:graphicData>
            </a:graphic>
          </wp:inline>
        </w:drawing>
      </w:r>
    </w:p>
    <w:p>
      <w:pPr>
        <w:spacing w:before="120" w:beforeLines="0" w:line="276" w:lineRule="auto"/>
        <w:jc w:val="center"/>
      </w:pPr>
      <w:r>
        <w:rPr>
          <w:rFonts w:hint="eastAsia"/>
        </w:rPr>
        <w:t xml:space="preserve">Figure </w:t>
      </w:r>
      <w:r>
        <w:rPr>
          <w:rFonts w:hint="eastAsia"/>
          <w:lang w:val="en-US" w:eastAsia="zh-CN"/>
        </w:rPr>
        <w:t>6</w:t>
      </w:r>
      <w:r>
        <w:rPr>
          <w:rFonts w:hint="eastAsia"/>
        </w:rPr>
        <w:t>. LP-WUS in TDD</w:t>
      </w:r>
    </w:p>
    <w:p>
      <w:pPr>
        <w:spacing w:before="120" w:beforeLines="0" w:line="276" w:lineRule="auto"/>
        <w:rPr>
          <w:b/>
          <w:bCs/>
          <w:i/>
          <w:iCs/>
        </w:rPr>
      </w:pPr>
      <w:r>
        <w:rPr>
          <w:rFonts w:hint="eastAsia"/>
          <w:b/>
          <w:bCs/>
          <w:i/>
          <w:iCs/>
        </w:rPr>
        <w:t>Proposal 1</w:t>
      </w:r>
      <w:r>
        <w:rPr>
          <w:rFonts w:hint="eastAsia"/>
          <w:b/>
          <w:bCs/>
          <w:i/>
          <w:iCs/>
          <w:lang w:val="en-US" w:eastAsia="zh-CN"/>
        </w:rPr>
        <w:t>3</w:t>
      </w:r>
      <w:r>
        <w:rPr>
          <w:rFonts w:hint="eastAsia"/>
          <w:b/>
          <w:bCs/>
          <w:i/>
          <w:iCs/>
        </w:rPr>
        <w:t>: Support LP-WUS deployed in FDD/TDD bands</w:t>
      </w:r>
    </w:p>
    <w:p>
      <w:pPr>
        <w:spacing w:before="120" w:beforeLines="0" w:line="276" w:lineRule="auto"/>
      </w:pPr>
      <w:r>
        <w:rPr>
          <w:rFonts w:hint="eastAsia"/>
        </w:rPr>
        <w:t>For FDD, the multiple MOs in one LO could be contiguous. However, for TDD, the situation could be different, since the LP-WUS could be overlap with UL slots or symbols. For example, if LP-WUS is configured with 8 beams, it could be challenging for the NW to configure 8 contiguous DL slots in a frame for LP-WUS transmission in TDD bands. Moreover, if repetition is considered, more contiguous slots would be needed. In this case, the LO or MO definition may be impacted which may be based on different DL slots.</w:t>
      </w:r>
    </w:p>
    <w:p>
      <w:pPr>
        <w:spacing w:before="120" w:beforeLines="0" w:line="276" w:lineRule="auto"/>
      </w:pPr>
      <w:r>
        <w:rPr>
          <w:rFonts w:hint="eastAsia"/>
        </w:rPr>
        <w:t>For example, for FDD, if LO is a window with N*K monitoring occasions, then the LP-WUS may occupy N*K DL slots. For TDD, we need to discuss whether N*K monitoring occasions only is configured on DL slots, or it could be on the flexible slots.</w:t>
      </w:r>
    </w:p>
    <w:p>
      <w:pPr>
        <w:numPr>
          <w:ilvl w:val="255"/>
          <w:numId w:val="0"/>
        </w:numPr>
        <w:spacing w:before="120" w:beforeLines="0" w:line="276" w:lineRule="auto"/>
        <w:rPr>
          <w:b/>
          <w:bCs/>
          <w:i/>
          <w:iCs/>
        </w:rPr>
      </w:pPr>
      <w:r>
        <w:rPr>
          <w:rFonts w:hint="eastAsia"/>
          <w:b/>
          <w:bCs/>
          <w:i/>
          <w:iCs/>
        </w:rPr>
        <w:t>Proposal 1</w:t>
      </w:r>
      <w:r>
        <w:rPr>
          <w:rFonts w:hint="eastAsia"/>
          <w:b/>
          <w:bCs/>
          <w:i/>
          <w:iCs/>
          <w:lang w:val="en-US" w:eastAsia="zh-CN"/>
        </w:rPr>
        <w:t>4</w:t>
      </w:r>
      <w:r>
        <w:rPr>
          <w:rFonts w:hint="eastAsia"/>
          <w:b/>
          <w:bCs/>
          <w:i/>
          <w:iCs/>
        </w:rPr>
        <w:t>: The LO and MO definition should be applicable for both FDD and TDD</w:t>
      </w:r>
    </w:p>
    <w:p>
      <w:pPr>
        <w:numPr>
          <w:ilvl w:val="0"/>
          <w:numId w:val="28"/>
        </w:numPr>
        <w:spacing w:before="120" w:beforeLines="0" w:line="276" w:lineRule="auto"/>
        <w:rPr>
          <w:b/>
          <w:bCs/>
          <w:i/>
          <w:iCs/>
        </w:rPr>
      </w:pPr>
      <w:r>
        <w:rPr>
          <w:rFonts w:hint="eastAsia"/>
          <w:b/>
          <w:bCs/>
          <w:i/>
          <w:iCs/>
        </w:rPr>
        <w:t>FFS whether MO could be based on flexible symbols or slots in TDD</w:t>
      </w:r>
    </w:p>
    <w:p>
      <w:pPr>
        <w:pStyle w:val="4"/>
        <w:spacing w:before="120"/>
        <w:rPr>
          <w:lang w:val="en-US"/>
        </w:rPr>
      </w:pPr>
      <w:r>
        <w:rPr>
          <w:rFonts w:hint="eastAsia"/>
          <w:lang w:val="en-US" w:eastAsia="zh-CN"/>
        </w:rPr>
        <w:t>QCL relationship</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GB" w:eastAsia="ko-KR" w:bidi="ar"/>
              </w:rPr>
            </w:pPr>
            <w:r>
              <w:rPr>
                <w:rFonts w:hint="eastAsia" w:ascii="Times" w:hAnsi="Times" w:eastAsia="Batang"/>
                <w:b/>
                <w:bCs/>
                <w:szCs w:val="24"/>
                <w:highlight w:val="green"/>
                <w:lang w:val="en-GB" w:eastAsia="ko-KR" w:bidi="ar"/>
              </w:rPr>
              <w:t>A</w:t>
            </w:r>
            <w:r>
              <w:rPr>
                <w:rFonts w:ascii="Times" w:hAnsi="Times" w:eastAsia="Batang"/>
                <w:b/>
                <w:bCs/>
                <w:szCs w:val="24"/>
                <w:highlight w:val="green"/>
                <w:lang w:val="en-GB" w:eastAsia="ko-KR" w:bidi="ar"/>
              </w:rPr>
              <w:t>g</w:t>
            </w:r>
            <w:r>
              <w:rPr>
                <w:rFonts w:hint="eastAsia" w:ascii="Times" w:hAnsi="Times" w:eastAsia="Batang"/>
                <w:b/>
                <w:bCs/>
                <w:szCs w:val="24"/>
                <w:highlight w:val="green"/>
                <w:lang w:val="en-GB" w:eastAsia="ko-KR" w:bidi="ar"/>
              </w:rPr>
              <w:t>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Each LP-WUS is QCLed with one SSB. Each LP-SS is QCLed with one SSB.</w:t>
            </w:r>
          </w:p>
          <w:p>
            <w:pPr>
              <w:numPr>
                <w:ilvl w:val="0"/>
                <w:numId w:val="11"/>
              </w:numPr>
              <w:snapToGrid/>
              <w:spacing w:before="0" w:beforeLines="-2147483648" w:after="0" w:line="240" w:lineRule="auto"/>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FFS QCL Type A or Type C and/or Type D</w:t>
            </w:r>
          </w:p>
          <w:p>
            <w:pPr>
              <w:numPr>
                <w:ilvl w:val="0"/>
                <w:numId w:val="11"/>
              </w:numPr>
              <w:snapToGrid/>
              <w:spacing w:before="0" w:beforeLines="-2147483648" w:after="0" w:line="240" w:lineRule="auto"/>
              <w:ind w:left="720" w:hanging="360"/>
              <w:jc w:val="both"/>
              <w:rPr>
                <w:rFonts w:hint="eastAsia"/>
                <w:b w:val="0"/>
                <w:bCs w:val="0"/>
                <w:i w:val="0"/>
                <w:iCs w:val="0"/>
                <w:vertAlign w:val="baseline"/>
                <w:lang w:val="en-US" w:eastAsia="zh-CN"/>
              </w:rPr>
            </w:pPr>
            <w:r>
              <w:rPr>
                <w:rFonts w:ascii="Times" w:hAnsi="Times" w:eastAsia="Batang" w:cs="Times New Roman"/>
                <w:szCs w:val="24"/>
                <w:highlight w:val="none"/>
                <w:lang w:val="en-US" w:eastAsia="zh-CN" w:bidi="ar-SA"/>
              </w:rPr>
              <w:t>FFS implicit QCL determination or some signaling is required</w:t>
            </w:r>
          </w:p>
        </w:tc>
      </w:tr>
    </w:tbl>
    <w:p>
      <w:pPr>
        <w:spacing w:before="120"/>
        <w:rPr>
          <w:rFonts w:hint="eastAsia"/>
          <w:b w:val="0"/>
          <w:bCs w:val="0"/>
          <w:i w:val="0"/>
          <w:iCs w:val="0"/>
          <w:lang w:val="en-US" w:eastAsia="zh-CN"/>
        </w:rPr>
      </w:pPr>
    </w:p>
    <w:p>
      <w:pPr>
        <w:spacing w:before="120"/>
        <w:rPr>
          <w:rFonts w:hint="eastAsia"/>
          <w:b w:val="0"/>
          <w:bCs w:val="0"/>
          <w:i w:val="0"/>
          <w:iCs w:val="0"/>
          <w:lang w:val="en-US" w:eastAsia="zh-CN"/>
        </w:rPr>
      </w:pPr>
      <w:r>
        <w:rPr>
          <w:rFonts w:hint="eastAsia"/>
          <w:b w:val="0"/>
          <w:bCs w:val="0"/>
          <w:i w:val="0"/>
          <w:iCs w:val="0"/>
          <w:lang w:val="en-US" w:eastAsia="zh-CN"/>
        </w:rPr>
        <w:t xml:space="preserve">For LP-WUS and LP-SS, the QCL source and QCL type may need to be further discussed. In idle/inactive mode, the available QCL resource could be CD-SSB. As for the QCL type, </w:t>
      </w:r>
    </w:p>
    <w:p>
      <w:pPr>
        <w:pStyle w:val="77"/>
        <w:spacing w:before="120"/>
      </w:pPr>
      <w:bookmarkStart w:id="14" w:name="_Hlk500784100"/>
      <w:bookmarkStart w:id="15" w:name="_Hlk500800106"/>
      <w:r>
        <w:t>-</w:t>
      </w:r>
      <w:r>
        <w:tab/>
      </w:r>
      <w:r>
        <w:rPr>
          <w:lang w:val="en-US"/>
        </w:rPr>
        <w:t>'t</w:t>
      </w:r>
      <w:r>
        <w:t>ypeA': {Doppler shift, Doppler spread, average delay, delay spread}</w:t>
      </w:r>
    </w:p>
    <w:p>
      <w:pPr>
        <w:pStyle w:val="77"/>
        <w:spacing w:before="120"/>
      </w:pPr>
      <w:r>
        <w:t>-</w:t>
      </w:r>
      <w:r>
        <w:tab/>
      </w:r>
      <w:r>
        <w:rPr>
          <w:lang w:val="en-US"/>
        </w:rPr>
        <w:t>'t</w:t>
      </w:r>
      <w:r>
        <w:t>ypeB': {Doppler shift, Doppler spread}</w:t>
      </w:r>
    </w:p>
    <w:p>
      <w:pPr>
        <w:pStyle w:val="77"/>
        <w:spacing w:before="120"/>
      </w:pPr>
      <w:r>
        <w:t>-</w:t>
      </w:r>
      <w:r>
        <w:tab/>
      </w:r>
      <w:r>
        <w:rPr>
          <w:lang w:val="en-US"/>
        </w:rPr>
        <w:t>'t</w:t>
      </w:r>
      <w:r>
        <w:t>ypeC': {Doppler shift, average delay}</w:t>
      </w:r>
    </w:p>
    <w:p>
      <w:pPr>
        <w:pStyle w:val="77"/>
        <w:spacing w:before="120"/>
      </w:pPr>
      <w:r>
        <w:t>-</w:t>
      </w:r>
      <w:r>
        <w:tab/>
      </w:r>
      <w:r>
        <w:rPr>
          <w:lang w:val="en-US"/>
        </w:rPr>
        <w:t>'t</w:t>
      </w:r>
      <w:r>
        <w:t>ypeD': {</w:t>
      </w:r>
      <w:r>
        <w:rPr>
          <w:lang w:val="en-US" w:eastAsia="ko-KR"/>
        </w:rPr>
        <w:t>Spatial Rx</w:t>
      </w:r>
      <w:r>
        <w:t xml:space="preserve"> parameter}</w:t>
      </w:r>
    </w:p>
    <w:bookmarkEnd w:id="14"/>
    <w:bookmarkEnd w:id="15"/>
    <w:p>
      <w:pPr>
        <w:spacing w:before="120"/>
        <w:ind w:left="0" w:firstLine="0" w:firstLineChars="0"/>
        <w:rPr>
          <w:rFonts w:hint="default"/>
          <w:b w:val="0"/>
          <w:bCs w:val="0"/>
          <w:i w:val="0"/>
          <w:iCs w:val="0"/>
          <w:lang w:val="en-US" w:eastAsia="zh-CN"/>
        </w:rPr>
      </w:pPr>
      <w:r>
        <w:rPr>
          <w:rFonts w:hint="eastAsia"/>
          <w:b w:val="0"/>
          <w:bCs w:val="0"/>
          <w:i w:val="0"/>
          <w:iCs w:val="0"/>
          <w:lang w:val="en-US" w:eastAsia="zh-CN"/>
        </w:rPr>
        <w:t xml:space="preserve">Type D is mainly used for above 6G scenario, which may not be suitable for LP-SS/LP-WUS in FR1. But in FR2, type D QCL could be considered. </w:t>
      </w:r>
    </w:p>
    <w:p>
      <w:pPr>
        <w:spacing w:before="120"/>
        <w:ind w:left="0" w:firstLine="0" w:firstLineChars="0"/>
        <w:rPr>
          <w:rFonts w:hint="eastAsia"/>
          <w:b w:val="0"/>
          <w:bCs w:val="0"/>
          <w:i w:val="0"/>
          <w:iCs w:val="0"/>
          <w:lang w:val="en-US" w:eastAsia="zh-CN"/>
        </w:rPr>
      </w:pPr>
      <w:r>
        <w:rPr>
          <w:rFonts w:hint="eastAsia"/>
          <w:b w:val="0"/>
          <w:bCs w:val="0"/>
          <w:i w:val="0"/>
          <w:iCs w:val="0"/>
          <w:lang w:val="en-US" w:eastAsia="zh-CN"/>
        </w:rPr>
        <w:t>Currently, the LP-SS and LP-WUS could be allocated in the same carrier with SSB, but maybe different frequency location. Also, they are not restricted in the same time domain location. Based on this, type C could be considered for the QCL type.</w:t>
      </w:r>
    </w:p>
    <w:p>
      <w:pPr>
        <w:spacing w:before="120"/>
        <w:rPr>
          <w:rFonts w:hint="eastAsia"/>
          <w:b/>
          <w:bCs/>
          <w:i/>
          <w:iCs/>
          <w:lang w:val="en-US" w:eastAsia="zh-CN"/>
        </w:rPr>
      </w:pPr>
      <w:r>
        <w:rPr>
          <w:rFonts w:hint="eastAsia"/>
          <w:b/>
          <w:bCs/>
          <w:i/>
          <w:iCs/>
          <w:lang w:val="en-US" w:eastAsia="zh-CN"/>
        </w:rPr>
        <w:t>Proposal 15: The QCL source for LP-SS/LP-WUS should be CD-SSB and the QCL type could be type C in FR1 and type D in FR2</w:t>
      </w:r>
    </w:p>
    <w:p>
      <w:pPr>
        <w:pStyle w:val="2"/>
        <w:rPr>
          <w:rFonts w:hint="default"/>
          <w:b/>
          <w:bCs/>
          <w:i/>
          <w:iCs/>
          <w:lang w:val="en-US" w:eastAsia="zh-CN"/>
        </w:rPr>
      </w:pPr>
    </w:p>
    <w:p>
      <w:pPr>
        <w:pStyle w:val="4"/>
        <w:spacing w:before="120"/>
        <w:rPr>
          <w:lang w:val="en-US"/>
        </w:rPr>
      </w:pPr>
      <w:r>
        <w:rPr>
          <w:rFonts w:hint="eastAsia"/>
          <w:lang w:val="en-US" w:eastAsia="zh-CN"/>
        </w:rPr>
        <w:t>Power control</w:t>
      </w:r>
    </w:p>
    <w:p>
      <w:pPr>
        <w:numPr>
          <w:ilvl w:val="-1"/>
          <w:numId w:val="0"/>
        </w:numPr>
        <w:snapToGrid/>
        <w:spacing w:before="0" w:beforeLines="-2147483648" w:after="0" w:line="240" w:lineRule="auto"/>
        <w:jc w:val="left"/>
        <w:rPr>
          <w:rFonts w:hint="eastAsia"/>
          <w:lang w:val="en-US" w:eastAsia="zh-CN"/>
        </w:rPr>
      </w:pPr>
      <w:r>
        <w:rPr>
          <w:rFonts w:hint="eastAsia"/>
          <w:lang w:val="en-US" w:eastAsia="zh-CN"/>
        </w:rPr>
        <w:t xml:space="preserve">The power control for LP-SS/LP-WUS is mainly for the gNB side. For LP-SS, the power control may be needed for RSRP measurement and threshold determination. However, for LP-WUS, the motivation for power control could be further studied. Regarding the LP-SS power control, usually, similar as CSI-RS, we may use an power offset to SSB to allocate the power. </w:t>
      </w:r>
    </w:p>
    <w:p>
      <w:pPr>
        <w:numPr>
          <w:ilvl w:val="-1"/>
          <w:numId w:val="0"/>
        </w:numPr>
        <w:snapToGrid/>
        <w:spacing w:before="0" w:beforeLines="-2147483648" w:after="0" w:line="240" w:lineRule="auto"/>
        <w:jc w:val="left"/>
        <w:rPr>
          <w:rFonts w:hint="eastAsia"/>
          <w:i/>
          <w:iCs/>
          <w:lang w:val="en-US" w:eastAsia="zh-CN"/>
        </w:rPr>
      </w:pPr>
    </w:p>
    <w:p>
      <w:pPr>
        <w:numPr>
          <w:ilvl w:val="-1"/>
          <w:numId w:val="0"/>
        </w:numPr>
        <w:snapToGrid/>
        <w:spacing w:before="0" w:beforeLines="-2147483648" w:after="0" w:line="240" w:lineRule="auto"/>
        <w:jc w:val="left"/>
        <w:rPr>
          <w:rFonts w:hint="default"/>
          <w:b/>
          <w:bCs/>
          <w:i/>
          <w:iCs/>
          <w:lang w:val="en-US" w:eastAsia="zh-CN"/>
        </w:rPr>
      </w:pPr>
      <w:r>
        <w:rPr>
          <w:rFonts w:hint="eastAsia"/>
          <w:b/>
          <w:bCs/>
          <w:i/>
          <w:iCs/>
          <w:lang w:val="en-US" w:eastAsia="zh-CN"/>
        </w:rPr>
        <w:t>Proposal 16: Consider the power offset between LP-SS and SSB</w:t>
      </w:r>
    </w:p>
    <w:p>
      <w:pPr>
        <w:numPr>
          <w:ilvl w:val="0"/>
          <w:numId w:val="29"/>
        </w:numPr>
        <w:snapToGrid/>
        <w:spacing w:before="0" w:beforeLines="-2147483648" w:after="0" w:line="240" w:lineRule="auto"/>
        <w:ind w:left="420" w:hanging="420"/>
        <w:jc w:val="left"/>
        <w:rPr>
          <w:rFonts w:hint="default"/>
          <w:b/>
          <w:bCs/>
          <w:i/>
          <w:iCs/>
          <w:lang w:val="en-US" w:eastAsia="zh-CN"/>
        </w:rPr>
      </w:pPr>
      <w:r>
        <w:rPr>
          <w:rFonts w:hint="eastAsia"/>
          <w:b/>
          <w:bCs/>
          <w:i/>
          <w:iCs/>
          <w:lang w:val="en-US" w:eastAsia="zh-CN"/>
        </w:rPr>
        <w:t>FFS the power control for LP=WUS</w:t>
      </w:r>
    </w:p>
    <w:bookmarkEnd w:id="13"/>
    <w:p>
      <w:pPr>
        <w:rPr>
          <w:lang w:val="en-US"/>
        </w:rPr>
      </w:pPr>
      <w:bookmarkStart w:id="16" w:name="OLE_LINK19"/>
    </w:p>
    <w:p>
      <w:pPr>
        <w:pStyle w:val="3"/>
        <w:spacing w:before="120"/>
        <w:rPr>
          <w:lang w:val="en-US"/>
        </w:rPr>
      </w:pPr>
      <w:r>
        <w:rPr>
          <w:rFonts w:hint="eastAsia"/>
          <w:lang w:val="en-US"/>
        </w:rPr>
        <w:t>Conclu</w:t>
      </w:r>
      <w:bookmarkEnd w:id="2"/>
      <w:bookmarkEnd w:id="3"/>
      <w:bookmarkStart w:id="17" w:name="OLE_LINK15"/>
      <w:r>
        <w:rPr>
          <w:rFonts w:hint="eastAsia"/>
          <w:lang w:val="en-US"/>
        </w:rPr>
        <w:t>sions</w:t>
      </w:r>
      <w:r>
        <w:rPr>
          <w:lang w:val="en-US"/>
        </w:rPr>
        <w:t xml:space="preserve"> </w:t>
      </w:r>
    </w:p>
    <w:bookmarkEnd w:id="16"/>
    <w:p>
      <w:pPr>
        <w:tabs>
          <w:tab w:val="left" w:pos="0"/>
        </w:tabs>
        <w:spacing w:before="120" w:beforeLines="0" w:line="276" w:lineRule="auto"/>
        <w:rPr>
          <w:lang w:eastAsia="ja-JP"/>
        </w:rPr>
      </w:pPr>
      <w:r>
        <w:rPr>
          <w:lang w:eastAsia="ja-JP"/>
        </w:rPr>
        <w:t>In thi</w:t>
      </w:r>
      <w:bookmarkEnd w:id="17"/>
      <w:r>
        <w:rPr>
          <w:lang w:eastAsia="ja-JP"/>
        </w:rPr>
        <w:t xml:space="preserve">s contribution, </w:t>
      </w:r>
      <w:r>
        <w:rPr>
          <w:rFonts w:hint="eastAsia"/>
        </w:rPr>
        <w:t xml:space="preserve">we have discussed </w:t>
      </w:r>
      <w:r>
        <w:t>issues on</w:t>
      </w:r>
      <w:r>
        <w:rPr>
          <w:rFonts w:hint="eastAsia"/>
          <w:szCs w:val="20"/>
        </w:rPr>
        <w:t xml:space="preserve"> LP-WUS operation in IDLE/INACTIVE modes</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tabs>
          <w:tab w:val="left" w:pos="0"/>
        </w:tabs>
        <w:spacing w:before="120" w:beforeLines="0" w:line="276" w:lineRule="auto"/>
        <w:rPr>
          <w:b/>
          <w:bCs/>
          <w:u w:val="single"/>
          <w:lang w:eastAsia="ja-JP"/>
        </w:rPr>
      </w:pPr>
      <w:r>
        <w:rPr>
          <w:rFonts w:hint="eastAsia"/>
          <w:b/>
          <w:bCs/>
          <w:u w:val="single"/>
        </w:rPr>
        <w:t>O</w:t>
      </w:r>
      <w:r>
        <w:rPr>
          <w:b/>
          <w:bCs/>
          <w:u w:val="single"/>
          <w:lang w:eastAsia="ja-JP"/>
        </w:rPr>
        <w:t>bservation</w:t>
      </w:r>
      <w:r>
        <w:rPr>
          <w:rFonts w:hint="eastAsia"/>
          <w:b/>
          <w:bCs/>
          <w:u w:val="single"/>
        </w:rPr>
        <w:t>s</w:t>
      </w:r>
      <w:r>
        <w:rPr>
          <w:rFonts w:hint="eastAsia"/>
          <w:b/>
          <w:bCs/>
          <w:u w:val="single"/>
          <w:lang w:val="en-US" w:eastAsia="zh-CN"/>
        </w:rPr>
        <w:t>:</w:t>
      </w:r>
      <w:r>
        <w:rPr>
          <w:b/>
          <w:bCs/>
          <w:u w:val="single"/>
          <w:lang w:eastAsia="ja-JP"/>
        </w:rPr>
        <w:t xml:space="preserve"> </w:t>
      </w:r>
    </w:p>
    <w:p>
      <w:pPr>
        <w:pStyle w:val="2"/>
        <w:rPr>
          <w:rFonts w:hint="eastAsia"/>
          <w:b/>
          <w:bCs/>
          <w:i/>
          <w:iCs/>
          <w:sz w:val="20"/>
          <w:szCs w:val="18"/>
          <w:lang w:val="en-US" w:eastAsia="zh-CN"/>
        </w:rPr>
      </w:pPr>
      <w:r>
        <w:rPr>
          <w:rFonts w:hint="eastAsia"/>
          <w:b/>
          <w:bCs/>
          <w:i/>
          <w:iCs/>
          <w:sz w:val="20"/>
          <w:szCs w:val="18"/>
          <w:lang w:val="en-US" w:eastAsia="zh-CN"/>
        </w:rPr>
        <w:t xml:space="preserve">Observation 1: Using the same </w:t>
      </w:r>
      <w:r>
        <w:rPr>
          <w:b/>
          <w:bCs/>
          <w:i/>
          <w:iCs/>
          <w:sz w:val="20"/>
          <w:szCs w:val="18"/>
        </w:rPr>
        <w:t>definition of SS-RSRP and SS-RSRQ</w:t>
      </w:r>
      <w:r>
        <w:rPr>
          <w:rFonts w:hint="eastAsia"/>
          <w:b/>
          <w:bCs/>
          <w:i/>
          <w:iCs/>
          <w:sz w:val="20"/>
          <w:szCs w:val="18"/>
          <w:lang w:val="en-US" w:eastAsia="zh-CN"/>
        </w:rPr>
        <w:t xml:space="preserve"> for OFDM WUR only means the following is reused</w:t>
      </w:r>
    </w:p>
    <w:p>
      <w:pPr>
        <w:pStyle w:val="2"/>
        <w:numPr>
          <w:ilvl w:val="0"/>
          <w:numId w:val="17"/>
        </w:numPr>
        <w:ind w:left="420" w:leftChars="0" w:hanging="420" w:firstLineChars="0"/>
        <w:rPr>
          <w:b/>
          <w:bCs/>
          <w:i/>
          <w:iCs/>
          <w:sz w:val="20"/>
          <w:szCs w:val="18"/>
        </w:rPr>
      </w:pPr>
      <w:r>
        <w:rPr>
          <w:b/>
          <w:bCs/>
          <w:i/>
          <w:iCs/>
          <w:sz w:val="20"/>
          <w:szCs w:val="18"/>
        </w:rPr>
        <w:t xml:space="preserve">SS reference signal received power (SS-RSRP) is defined as the linear average over the power contributions (in [W]) of the resource elements that carry secondary synchronization signals. </w:t>
      </w:r>
    </w:p>
    <w:p>
      <w:pPr>
        <w:pStyle w:val="2"/>
        <w:numPr>
          <w:ilvl w:val="0"/>
          <w:numId w:val="17"/>
        </w:numPr>
        <w:ind w:left="420" w:leftChars="0" w:hanging="420" w:firstLineChars="0"/>
        <w:rPr>
          <w:rFonts w:hint="default"/>
          <w:b/>
          <w:bCs/>
          <w:i/>
          <w:iCs/>
          <w:sz w:val="20"/>
          <w:szCs w:val="18"/>
          <w:lang w:val="en-US" w:eastAsia="zh-CN"/>
        </w:rPr>
      </w:pPr>
      <w:r>
        <w:rPr>
          <w:b/>
          <w:bCs/>
          <w:i/>
          <w:iCs/>
          <w:sz w:val="20"/>
          <w:szCs w:val="18"/>
          <w:lang w:val="en-US"/>
        </w:rPr>
        <w:t xml:space="preserve">Secondary synchronization signal </w:t>
      </w:r>
      <w:r>
        <w:rPr>
          <w:b/>
          <w:bCs/>
          <w:i/>
          <w:iCs/>
          <w:sz w:val="20"/>
          <w:szCs w:val="18"/>
        </w:rPr>
        <w:t>reference signal received quality (SS-RSRQ) is defined as the ratio of N×SS-RSRP / NR carrier RSSI, where N is the number of resource blocks in the NR carrier RSSI measurement bandwidth.</w:t>
      </w:r>
    </w:p>
    <w:p>
      <w:pPr>
        <w:pStyle w:val="2"/>
        <w:rPr>
          <w:rFonts w:hint="default"/>
          <w:b/>
          <w:bCs/>
          <w:i/>
          <w:iCs/>
          <w:sz w:val="20"/>
          <w:szCs w:val="18"/>
          <w:lang w:val="en-US" w:eastAsia="zh-CN"/>
        </w:rPr>
      </w:pPr>
      <w:r>
        <w:rPr>
          <w:rFonts w:hint="eastAsia"/>
          <w:b/>
          <w:bCs/>
          <w:i/>
          <w:iCs/>
          <w:sz w:val="20"/>
          <w:szCs w:val="18"/>
          <w:lang w:val="en-US" w:eastAsia="zh-CN"/>
        </w:rPr>
        <w:t>Observation 2: OFDM WUR only perform serving cell measurement and neighbor cell measurement by WUR is not considered in Rel-19.</w:t>
      </w:r>
    </w:p>
    <w:p>
      <w:pPr>
        <w:pStyle w:val="2"/>
        <w:rPr>
          <w:rFonts w:hint="eastAsia"/>
          <w:b/>
          <w:bCs/>
          <w:i/>
          <w:iCs/>
          <w:sz w:val="20"/>
          <w:szCs w:val="18"/>
          <w:lang w:val="en-US" w:eastAsia="zh-CN"/>
        </w:rPr>
      </w:pPr>
      <w:r>
        <w:rPr>
          <w:rFonts w:hint="eastAsia"/>
          <w:b/>
          <w:bCs/>
          <w:i/>
          <w:iCs/>
          <w:sz w:val="20"/>
          <w:szCs w:val="18"/>
          <w:lang w:val="en-US" w:eastAsia="zh-CN"/>
        </w:rPr>
        <w:t xml:space="preserve">Observation 3: </w:t>
      </w:r>
    </w:p>
    <w:p>
      <w:pPr>
        <w:pStyle w:val="2"/>
        <w:numPr>
          <w:ilvl w:val="0"/>
          <w:numId w:val="23"/>
        </w:numPr>
        <w:ind w:left="420" w:hanging="420"/>
        <w:rPr>
          <w:rFonts w:hint="default"/>
          <w:b/>
          <w:bCs/>
          <w:i/>
          <w:iCs/>
          <w:sz w:val="20"/>
          <w:szCs w:val="18"/>
          <w:lang w:val="en-US" w:eastAsia="zh-CN"/>
        </w:rPr>
      </w:pPr>
      <w:r>
        <w:rPr>
          <w:rFonts w:hint="eastAsia"/>
          <w:b/>
          <w:bCs/>
          <w:i/>
          <w:iCs/>
          <w:sz w:val="20"/>
          <w:szCs w:val="18"/>
          <w:lang w:val="en-US" w:eastAsia="zh-CN"/>
        </w:rPr>
        <w:t>Option 2 can address the latency requirements and PSG requirements from different UEs.</w:t>
      </w:r>
    </w:p>
    <w:p>
      <w:pPr>
        <w:pStyle w:val="2"/>
        <w:numPr>
          <w:ilvl w:val="0"/>
          <w:numId w:val="23"/>
        </w:numPr>
        <w:ind w:left="420" w:hanging="420"/>
        <w:rPr>
          <w:rFonts w:hint="eastAsia"/>
          <w:b/>
          <w:bCs/>
          <w:i/>
          <w:iCs/>
          <w:sz w:val="20"/>
          <w:szCs w:val="18"/>
          <w:lang w:val="en-US" w:eastAsia="zh-CN"/>
        </w:rPr>
      </w:pPr>
      <w:r>
        <w:rPr>
          <w:rFonts w:hint="eastAsia"/>
          <w:b/>
          <w:bCs/>
          <w:i/>
          <w:iCs/>
          <w:sz w:val="20"/>
          <w:szCs w:val="18"/>
          <w:lang w:val="en-US" w:eastAsia="zh-CN"/>
        </w:rPr>
        <w:t>For option 2A, it has slight restriction on gNB offset configuration</w:t>
      </w:r>
    </w:p>
    <w:p>
      <w:pPr>
        <w:pStyle w:val="2"/>
        <w:numPr>
          <w:ilvl w:val="0"/>
          <w:numId w:val="23"/>
        </w:numPr>
        <w:ind w:left="420" w:hanging="420"/>
        <w:rPr>
          <w:rFonts w:hint="eastAsia"/>
          <w:b/>
          <w:bCs/>
          <w:i/>
          <w:iCs/>
          <w:sz w:val="20"/>
          <w:szCs w:val="18"/>
          <w:lang w:val="en-US" w:eastAsia="zh-CN"/>
        </w:rPr>
      </w:pPr>
      <w:r>
        <w:rPr>
          <w:rFonts w:hint="eastAsia"/>
          <w:b/>
          <w:bCs/>
          <w:i/>
          <w:iCs/>
          <w:sz w:val="20"/>
          <w:szCs w:val="18"/>
          <w:lang w:val="en-US" w:eastAsia="zh-CN"/>
        </w:rPr>
        <w:t>For option 2B-1, the gNB can deactivate LP-WUS monitoring for some of the UEs via the offset configuration</w:t>
      </w:r>
    </w:p>
    <w:p>
      <w:pPr>
        <w:pStyle w:val="2"/>
        <w:numPr>
          <w:ilvl w:val="0"/>
          <w:numId w:val="23"/>
        </w:numPr>
        <w:ind w:left="420" w:hanging="420"/>
        <w:rPr>
          <w:rFonts w:hint="eastAsia"/>
          <w:b/>
          <w:bCs/>
          <w:i/>
          <w:iCs/>
          <w:sz w:val="20"/>
          <w:szCs w:val="18"/>
          <w:lang w:val="en-US" w:eastAsia="zh-CN"/>
        </w:rPr>
      </w:pPr>
      <w:r>
        <w:rPr>
          <w:rFonts w:hint="eastAsia"/>
          <w:b/>
          <w:bCs/>
          <w:i/>
          <w:iCs/>
          <w:sz w:val="20"/>
          <w:szCs w:val="18"/>
          <w:lang w:val="en-US" w:eastAsia="zh-CN"/>
        </w:rPr>
        <w:t>For option 2B-2, similar as option 1-2</w:t>
      </w:r>
    </w:p>
    <w:p>
      <w:pPr>
        <w:pStyle w:val="2"/>
        <w:numPr>
          <w:ilvl w:val="1"/>
          <w:numId w:val="23"/>
        </w:numPr>
        <w:ind w:left="840" w:hanging="420"/>
        <w:rPr>
          <w:rFonts w:hint="default"/>
          <w:b/>
          <w:bCs/>
          <w:i/>
          <w:iCs/>
          <w:sz w:val="20"/>
          <w:szCs w:val="18"/>
          <w:lang w:val="en-US" w:eastAsia="zh-CN"/>
        </w:rPr>
      </w:pPr>
      <w:r>
        <w:rPr>
          <w:rFonts w:hint="eastAsia"/>
          <w:b/>
          <w:bCs/>
          <w:i/>
          <w:iCs/>
          <w:sz w:val="20"/>
          <w:szCs w:val="18"/>
          <w:lang w:val="en-US" w:eastAsia="zh-CN"/>
        </w:rPr>
        <w:t xml:space="preserve">the gNB may need to transmit paging message trice , i.e., in associated PO and next PO, or </w:t>
      </w:r>
    </w:p>
    <w:p>
      <w:pPr>
        <w:pStyle w:val="2"/>
        <w:numPr>
          <w:ilvl w:val="1"/>
          <w:numId w:val="23"/>
        </w:numPr>
        <w:ind w:left="840" w:hanging="420"/>
        <w:rPr>
          <w:rFonts w:hint="default"/>
          <w:b/>
          <w:bCs/>
          <w:i/>
          <w:iCs/>
          <w:sz w:val="20"/>
          <w:szCs w:val="18"/>
          <w:lang w:val="en-US" w:eastAsia="zh-CN"/>
        </w:rPr>
      </w:pPr>
      <w:r>
        <w:rPr>
          <w:rFonts w:hint="eastAsia"/>
          <w:b/>
          <w:bCs/>
          <w:i/>
          <w:iCs/>
          <w:sz w:val="20"/>
          <w:szCs w:val="18"/>
          <w:lang w:val="en-US" w:eastAsia="zh-CN"/>
        </w:rPr>
        <w:t>the UE who has LP-WUS capability but not in LP-WUS mode would be impacted in terms of latency and the gNB paging mechanism is not aligned with legacy</w:t>
      </w:r>
    </w:p>
    <w:p>
      <w:pPr>
        <w:rPr>
          <w:rFonts w:hint="default"/>
          <w:b/>
          <w:bCs/>
          <w:i/>
          <w:iCs/>
          <w:lang w:val="en-US" w:eastAsia="zh-CN"/>
        </w:rPr>
      </w:pPr>
      <w:r>
        <w:rPr>
          <w:rFonts w:hint="eastAsia"/>
          <w:b/>
          <w:bCs/>
          <w:i/>
          <w:iCs/>
          <w:lang w:val="en-US" w:eastAsia="zh-CN"/>
        </w:rPr>
        <w:t>Observation 4: No strong motivation is foreseen for the case that the subgroup information is offloaded into LO segments.</w:t>
      </w:r>
    </w:p>
    <w:p>
      <w:pPr>
        <w:pStyle w:val="2"/>
        <w:rPr>
          <w:rFonts w:hint="eastAsia"/>
          <w:b/>
          <w:bCs/>
          <w:i/>
          <w:iCs/>
          <w:sz w:val="20"/>
          <w:szCs w:val="21"/>
          <w:lang w:val="en-US" w:eastAsia="zh-CN"/>
        </w:rPr>
      </w:pPr>
      <w:r>
        <w:rPr>
          <w:rFonts w:hint="eastAsia"/>
          <w:b/>
          <w:bCs/>
          <w:i/>
          <w:iCs/>
          <w:sz w:val="20"/>
          <w:szCs w:val="21"/>
          <w:lang w:val="en-US" w:eastAsia="zh-CN"/>
        </w:rPr>
        <w:t xml:space="preserve">Observation 5: The possibility that the same LO may correspond to different POs with different offset values actually refers to interpretation3. </w:t>
      </w:r>
    </w:p>
    <w:p>
      <w:pPr>
        <w:pStyle w:val="2"/>
        <w:numPr>
          <w:ilvl w:val="0"/>
          <w:numId w:val="24"/>
        </w:numPr>
        <w:ind w:left="420" w:hanging="420"/>
        <w:rPr>
          <w:rFonts w:hint="default"/>
          <w:b/>
          <w:bCs/>
          <w:i/>
          <w:iCs/>
          <w:sz w:val="20"/>
          <w:szCs w:val="21"/>
          <w:lang w:val="en-US" w:eastAsia="zh-CN"/>
        </w:rPr>
      </w:pPr>
      <w:r>
        <w:rPr>
          <w:rFonts w:hint="eastAsia"/>
          <w:b/>
          <w:bCs/>
          <w:i/>
          <w:iCs/>
          <w:sz w:val="20"/>
          <w:szCs w:val="21"/>
          <w:lang w:val="en-US" w:eastAsia="zh-CN"/>
        </w:rPr>
        <w:t>The offset should be defined between LO and PF in this case.</w:t>
      </w:r>
    </w:p>
    <w:p>
      <w:pPr>
        <w:pStyle w:val="2"/>
        <w:rPr>
          <w:rFonts w:hint="default"/>
          <w:b/>
          <w:bCs/>
          <w:i/>
          <w:iCs/>
          <w:sz w:val="20"/>
          <w:szCs w:val="20"/>
          <w:lang w:val="en-US" w:eastAsia="zh-CN"/>
        </w:rPr>
      </w:pPr>
      <w:r>
        <w:rPr>
          <w:rFonts w:hint="eastAsia"/>
          <w:b/>
          <w:bCs/>
          <w:i/>
          <w:iCs/>
          <w:sz w:val="20"/>
          <w:szCs w:val="20"/>
          <w:lang w:val="en-US" w:eastAsia="zh-CN"/>
        </w:rPr>
        <w:t>Observation 6: In case of cell specific wake-up via LP-WUS</w:t>
      </w:r>
    </w:p>
    <w:p>
      <w:pPr>
        <w:pStyle w:val="2"/>
        <w:numPr>
          <w:ilvl w:val="0"/>
          <w:numId w:val="25"/>
        </w:numPr>
        <w:ind w:left="420" w:hanging="420"/>
        <w:rPr>
          <w:rFonts w:hint="eastAsia"/>
          <w:b/>
          <w:bCs/>
          <w:i/>
          <w:iCs/>
          <w:sz w:val="20"/>
          <w:szCs w:val="20"/>
          <w:lang w:val="en-US" w:eastAsia="zh-CN"/>
        </w:rPr>
      </w:pPr>
      <w:r>
        <w:rPr>
          <w:rFonts w:hint="eastAsia"/>
          <w:b/>
          <w:bCs/>
          <w:i/>
          <w:iCs/>
          <w:sz w:val="20"/>
          <w:szCs w:val="20"/>
          <w:lang w:val="en-US" w:eastAsia="zh-CN"/>
        </w:rPr>
        <w:t xml:space="preserve">If LP-WUS can indicate all subgroups per PO to wake-up, the system overhead occupied only by LP-WUS could be up to 10% </w:t>
      </w:r>
    </w:p>
    <w:p>
      <w:pPr>
        <w:pStyle w:val="2"/>
        <w:numPr>
          <w:ilvl w:val="0"/>
          <w:numId w:val="25"/>
        </w:numPr>
        <w:ind w:left="420" w:hanging="420"/>
        <w:rPr>
          <w:rFonts w:hint="default"/>
          <w:b/>
          <w:bCs/>
          <w:i/>
          <w:iCs/>
          <w:sz w:val="20"/>
          <w:szCs w:val="20"/>
          <w:lang w:val="en-US" w:eastAsia="zh-CN"/>
        </w:rPr>
      </w:pPr>
      <w:r>
        <w:rPr>
          <w:rFonts w:hint="eastAsia"/>
          <w:b/>
          <w:bCs/>
          <w:i/>
          <w:iCs/>
          <w:sz w:val="20"/>
          <w:szCs w:val="20"/>
          <w:lang w:val="en-US" w:eastAsia="zh-CN"/>
        </w:rPr>
        <w:t>If LP-WUS can indicate all subgroup for 4POs to wake-up, the system overhead occupied by LP-WUS could be less than 3%.</w:t>
      </w:r>
    </w:p>
    <w:p>
      <w:pPr>
        <w:pStyle w:val="2"/>
        <w:rPr>
          <w:rFonts w:hint="eastAsia"/>
          <w:b/>
          <w:bCs/>
          <w:i/>
          <w:iCs/>
          <w:lang w:eastAsia="ja-JP"/>
        </w:rPr>
      </w:pPr>
    </w:p>
    <w:p>
      <w:pPr>
        <w:spacing w:before="120" w:beforeLines="0" w:line="276" w:lineRule="auto"/>
        <w:rPr>
          <w:rFonts w:hint="default" w:eastAsia="宋体"/>
          <w:b/>
          <w:bCs/>
          <w:i/>
          <w:iCs/>
          <w:sz w:val="20"/>
          <w:szCs w:val="20"/>
          <w:lang w:val="en-US" w:eastAsia="zh-CN"/>
        </w:rPr>
      </w:pPr>
      <w:r>
        <w:rPr>
          <w:rFonts w:hint="eastAsia"/>
          <w:b/>
          <w:bCs/>
          <w:i/>
          <w:iCs/>
          <w:sz w:val="20"/>
          <w:szCs w:val="20"/>
          <w:lang w:val="en-US" w:eastAsia="zh-CN"/>
        </w:rPr>
        <w:t>Observation 7: Using LP-SS for cell specific wake-up would not cause additional system overhead, and has better coverage.</w:t>
      </w:r>
    </w:p>
    <w:p>
      <w:pPr>
        <w:pStyle w:val="2"/>
        <w:rPr>
          <w:rFonts w:hint="eastAsia"/>
          <w:b/>
          <w:bCs/>
          <w:i/>
          <w:iCs/>
          <w:lang w:eastAsia="ja-JP"/>
        </w:rPr>
      </w:pPr>
    </w:p>
    <w:p>
      <w:pPr>
        <w:pStyle w:val="2"/>
        <w:rPr>
          <w:rFonts w:hint="default" w:eastAsia="宋体"/>
          <w:b/>
          <w:bCs/>
          <w:i w:val="0"/>
          <w:iCs w:val="0"/>
          <w:u w:val="none"/>
          <w:lang w:val="en-US" w:eastAsia="zh-CN"/>
        </w:rPr>
      </w:pPr>
      <w:r>
        <w:rPr>
          <w:rFonts w:hint="eastAsia"/>
          <w:b/>
          <w:bCs/>
          <w:i w:val="0"/>
          <w:iCs w:val="0"/>
          <w:u w:val="none"/>
          <w:lang w:val="en-US" w:eastAsia="zh-CN"/>
        </w:rPr>
        <w:t>Proposals:</w:t>
      </w:r>
    </w:p>
    <w:p>
      <w:pPr>
        <w:numPr>
          <w:ilvl w:val="255"/>
          <w:numId w:val="0"/>
        </w:numPr>
        <w:spacing w:before="120" w:beforeLines="0" w:line="276" w:lineRule="auto"/>
        <w:rPr>
          <w:rFonts w:hint="default" w:eastAsia="宋体"/>
          <w:b/>
          <w:bCs/>
          <w:i/>
          <w:iCs/>
          <w:szCs w:val="24"/>
          <w:lang w:val="en-US" w:eastAsia="zh-CN"/>
        </w:rPr>
      </w:pPr>
      <w:r>
        <w:rPr>
          <w:rFonts w:hint="eastAsia" w:cs="Times"/>
          <w:b/>
          <w:bCs/>
          <w:i/>
          <w:iCs/>
        </w:rPr>
        <w:t xml:space="preserve">Proposal </w:t>
      </w:r>
      <w:r>
        <w:rPr>
          <w:rFonts w:hint="eastAsia" w:cs="Times"/>
          <w:b/>
          <w:bCs/>
          <w:i/>
          <w:iCs/>
          <w:lang w:val="en-US" w:eastAsia="zh-CN"/>
        </w:rPr>
        <w:t>1</w:t>
      </w:r>
      <w:r>
        <w:rPr>
          <w:rFonts w:hint="eastAsia" w:cs="Times"/>
          <w:b/>
          <w:bCs/>
          <w:i/>
          <w:iCs/>
        </w:rPr>
        <w:t>:</w:t>
      </w:r>
      <w:r>
        <w:rPr>
          <w:rFonts w:eastAsia="Batang"/>
          <w:b/>
          <w:bCs/>
          <w:i/>
          <w:iCs/>
          <w:szCs w:val="24"/>
          <w:lang w:val="en-GB" w:eastAsia="ko-KR"/>
        </w:rPr>
        <w:t xml:space="preserve"> </w:t>
      </w:r>
      <w:r>
        <w:rPr>
          <w:rFonts w:hint="eastAsia" w:eastAsia="宋体"/>
          <w:b/>
          <w:bCs/>
          <w:i/>
          <w:iCs/>
          <w:szCs w:val="24"/>
          <w:lang w:val="en-US" w:eastAsia="zh-CN"/>
        </w:rPr>
        <w:t xml:space="preserve">Consider another exit condition in the WA, </w:t>
      </w:r>
      <w:r>
        <w:rPr>
          <w:rFonts w:hint="default" w:eastAsia="Batang"/>
          <w:b/>
          <w:bCs/>
          <w:i/>
          <w:iCs/>
          <w:szCs w:val="24"/>
          <w:lang w:val="en-US" w:eastAsia="ko-KR"/>
        </w:rPr>
        <w:t>UE monitors the legacy PO (and may monitor PEI) and may stop LP-WUS monitoring if</w:t>
      </w:r>
    </w:p>
    <w:p>
      <w:pPr>
        <w:numPr>
          <w:ilvl w:val="0"/>
          <w:numId w:val="13"/>
        </w:numPr>
        <w:spacing w:before="0" w:beforeLines="0" w:line="240" w:lineRule="auto"/>
        <w:rPr>
          <w:rFonts w:cs="Times"/>
          <w:i/>
          <w:iCs/>
        </w:rPr>
      </w:pPr>
      <w:r>
        <w:rPr>
          <w:rFonts w:hint="eastAsia"/>
          <w:b/>
          <w:bCs/>
          <w:i/>
          <w:iCs/>
          <w:szCs w:val="24"/>
        </w:rPr>
        <w:t>The UE has not received LP-WUS for a long time</w:t>
      </w:r>
    </w:p>
    <w:p>
      <w:pPr>
        <w:pStyle w:val="2"/>
        <w:rPr>
          <w:rFonts w:hint="eastAsia"/>
          <w:b/>
          <w:bCs/>
          <w:i/>
          <w:iCs/>
          <w:sz w:val="20"/>
          <w:szCs w:val="18"/>
          <w:lang w:val="en-US" w:eastAsia="zh-CN"/>
        </w:rPr>
      </w:pPr>
      <w:r>
        <w:rPr>
          <w:rFonts w:hint="eastAsia"/>
          <w:b/>
          <w:bCs/>
          <w:i/>
          <w:iCs/>
          <w:sz w:val="20"/>
          <w:szCs w:val="18"/>
          <w:lang w:val="en-US" w:eastAsia="zh-CN"/>
        </w:rPr>
        <w:t xml:space="preserve">Proposal 2: </w:t>
      </w:r>
    </w:p>
    <w:p>
      <w:pPr>
        <w:pStyle w:val="2"/>
        <w:numPr>
          <w:ilvl w:val="0"/>
          <w:numId w:val="19"/>
        </w:numPr>
        <w:ind w:left="420" w:leftChars="0" w:hanging="420" w:firstLineChars="0"/>
        <w:rPr>
          <w:b/>
          <w:bCs/>
          <w:i/>
          <w:iCs/>
          <w:sz w:val="20"/>
          <w:szCs w:val="18"/>
        </w:rPr>
      </w:pPr>
      <w:r>
        <w:rPr>
          <w:rFonts w:hint="eastAsia"/>
          <w:b/>
          <w:bCs/>
          <w:i/>
          <w:iCs/>
          <w:sz w:val="20"/>
          <w:szCs w:val="18"/>
          <w:lang w:val="en-US" w:eastAsia="zh-CN"/>
        </w:rPr>
        <w:t xml:space="preserve">For OFDM WUR, </w:t>
      </w:r>
    </w:p>
    <w:p>
      <w:pPr>
        <w:pStyle w:val="2"/>
        <w:numPr>
          <w:ilvl w:val="0"/>
          <w:numId w:val="20"/>
        </w:numPr>
        <w:ind w:left="840" w:leftChars="0" w:hanging="420" w:firstLineChars="0"/>
        <w:rPr>
          <w:rFonts w:hint="default"/>
          <w:b/>
          <w:bCs/>
          <w:i/>
          <w:iCs/>
          <w:sz w:val="20"/>
          <w:szCs w:val="18"/>
          <w:lang w:val="en-US" w:eastAsia="zh-CN"/>
        </w:rPr>
      </w:pPr>
      <w:r>
        <w:rPr>
          <w:rFonts w:ascii="Times" w:hAnsi="Times" w:eastAsia="Batang" w:cs="Times New Roman"/>
          <w:b/>
          <w:bCs/>
          <w:i/>
          <w:iCs/>
          <w:sz w:val="20"/>
          <w:szCs w:val="22"/>
          <w:lang w:val="en-GB" w:eastAsia="zh-CN" w:bidi="ar-SA"/>
        </w:rPr>
        <w:t>LP-SSS-RSRP</w:t>
      </w:r>
      <w:r>
        <w:rPr>
          <w:rFonts w:hint="eastAsia" w:ascii="Times" w:hAnsi="Times" w:eastAsia="Batang" w:cs="Times New Roman"/>
          <w:b/>
          <w:bCs/>
          <w:i/>
          <w:iCs/>
          <w:sz w:val="20"/>
          <w:szCs w:val="22"/>
          <w:lang w:val="en-US" w:eastAsia="zh-CN" w:bidi="ar-SA"/>
        </w:rPr>
        <w:t xml:space="preserve"> is defined as</w:t>
      </w:r>
      <w:r>
        <w:rPr>
          <w:b/>
          <w:bCs/>
          <w:i/>
          <w:iCs/>
          <w:sz w:val="20"/>
          <w:szCs w:val="18"/>
        </w:rPr>
        <w:t xml:space="preserve"> the linear average over the power contributions (in [W]) of the resource elements that carry secondary synchronization signals.</w:t>
      </w:r>
    </w:p>
    <w:p>
      <w:pPr>
        <w:pStyle w:val="2"/>
        <w:numPr>
          <w:ilvl w:val="0"/>
          <w:numId w:val="20"/>
        </w:numPr>
        <w:ind w:left="840" w:leftChars="0" w:hanging="420" w:firstLineChars="0"/>
        <w:rPr>
          <w:rFonts w:hint="default"/>
          <w:b/>
          <w:bCs/>
          <w:i/>
          <w:iCs/>
          <w:sz w:val="20"/>
          <w:szCs w:val="18"/>
          <w:lang w:val="en-US" w:eastAsia="zh-CN"/>
        </w:rPr>
      </w:pPr>
      <w:r>
        <w:rPr>
          <w:rFonts w:ascii="Times" w:hAnsi="Times" w:eastAsia="Batang" w:cs="Times New Roman"/>
          <w:b/>
          <w:bCs/>
          <w:i/>
          <w:iCs/>
          <w:sz w:val="20"/>
          <w:szCs w:val="22"/>
          <w:lang w:val="en-GB" w:eastAsia="zh-CN" w:bidi="ar-SA"/>
        </w:rPr>
        <w:t>LP-SSS-RSR</w:t>
      </w:r>
      <w:r>
        <w:rPr>
          <w:rFonts w:hint="eastAsia" w:ascii="Times" w:hAnsi="Times" w:eastAsia="Batang" w:cs="Times New Roman"/>
          <w:b/>
          <w:bCs/>
          <w:i/>
          <w:iCs/>
          <w:sz w:val="20"/>
          <w:szCs w:val="22"/>
          <w:lang w:val="en-US" w:eastAsia="zh-CN" w:bidi="ar-SA"/>
        </w:rPr>
        <w:t xml:space="preserve">Q is </w:t>
      </w:r>
      <w:r>
        <w:rPr>
          <w:b/>
          <w:bCs/>
          <w:i/>
          <w:iCs/>
          <w:sz w:val="20"/>
          <w:szCs w:val="18"/>
        </w:rPr>
        <w:t>defined as the ratio of N×SS-RSRP / NR carrier RSSI</w:t>
      </w:r>
    </w:p>
    <w:p>
      <w:pPr>
        <w:pStyle w:val="2"/>
        <w:numPr>
          <w:ilvl w:val="0"/>
          <w:numId w:val="19"/>
        </w:numPr>
        <w:ind w:left="420" w:leftChars="0" w:hanging="420" w:firstLineChars="0"/>
        <w:rPr>
          <w:rFonts w:hint="eastAsia"/>
          <w:b/>
          <w:bCs/>
          <w:i/>
          <w:iCs/>
          <w:sz w:val="20"/>
          <w:szCs w:val="18"/>
          <w:lang w:val="en-US" w:eastAsia="zh-CN"/>
        </w:rPr>
      </w:pPr>
      <w:r>
        <w:rPr>
          <w:rFonts w:hint="eastAsia"/>
          <w:b/>
          <w:bCs/>
          <w:i/>
          <w:iCs/>
          <w:sz w:val="20"/>
          <w:szCs w:val="18"/>
          <w:lang w:val="en-US" w:eastAsia="zh-CN"/>
        </w:rPr>
        <w:t>SMTC is not needed for OFDM WUR and OOK WUR for serving cell measurement</w:t>
      </w:r>
    </w:p>
    <w:p>
      <w:pPr>
        <w:pStyle w:val="2"/>
        <w:numPr>
          <w:ilvl w:val="0"/>
          <w:numId w:val="19"/>
        </w:numPr>
        <w:ind w:left="420" w:leftChars="0" w:hanging="420" w:firstLineChars="0"/>
        <w:rPr>
          <w:rFonts w:hint="eastAsia"/>
          <w:b/>
          <w:bCs/>
          <w:i/>
          <w:iCs/>
          <w:sz w:val="20"/>
          <w:szCs w:val="18"/>
          <w:lang w:val="en-US" w:eastAsia="zh-CN"/>
        </w:rPr>
      </w:pPr>
      <w:r>
        <w:rPr>
          <w:rFonts w:hint="eastAsia"/>
          <w:b/>
          <w:bCs/>
          <w:i/>
          <w:iCs/>
          <w:sz w:val="20"/>
          <w:szCs w:val="18"/>
          <w:lang w:val="en-US" w:eastAsia="zh-CN"/>
        </w:rPr>
        <w:t>OFDM WUR and OOK WUR serving cell measurement can be applied at least for RRC_IDLE intra-frequency and RRC_INACTIVE intra-frequency</w:t>
      </w:r>
    </w:p>
    <w:p>
      <w:pPr>
        <w:pStyle w:val="2"/>
        <w:rPr>
          <w:rFonts w:hint="eastAsia" w:ascii="Times New Roman" w:hAnsi="Times New Roman" w:eastAsia="宋体"/>
          <w:b/>
          <w:bCs/>
          <w:i/>
          <w:iCs/>
          <w:sz w:val="20"/>
          <w:szCs w:val="22"/>
          <w:lang w:val="en-US" w:eastAsia="zh-CN"/>
        </w:rPr>
      </w:pPr>
      <w:r>
        <w:rPr>
          <w:rFonts w:hint="eastAsia" w:ascii="Times New Roman" w:hAnsi="Times New Roman" w:eastAsia="宋体"/>
          <w:b/>
          <w:bCs/>
          <w:i/>
          <w:iCs/>
          <w:sz w:val="20"/>
          <w:szCs w:val="22"/>
          <w:lang w:val="en-US" w:eastAsia="zh-CN"/>
        </w:rPr>
        <w:t>Proposal 3: LP-WUS subgroup indication in idle/inactive mode should keep forward compatibility</w:t>
      </w:r>
    </w:p>
    <w:p>
      <w:pPr>
        <w:pStyle w:val="2"/>
        <w:rPr>
          <w:rFonts w:hint="default"/>
          <w:b/>
          <w:bCs/>
          <w:i/>
          <w:iCs/>
          <w:sz w:val="20"/>
          <w:szCs w:val="18"/>
          <w:lang w:val="en-US" w:eastAsia="zh-CN"/>
        </w:rPr>
      </w:pPr>
      <w:r>
        <w:rPr>
          <w:rFonts w:hint="eastAsia"/>
          <w:b/>
          <w:bCs/>
          <w:i/>
          <w:iCs/>
          <w:sz w:val="20"/>
          <w:szCs w:val="18"/>
          <w:lang w:val="en-US" w:eastAsia="zh-CN"/>
        </w:rPr>
        <w:t>Proposal 4: Two subgroups wake-up via LP-WUS indication is needed.</w:t>
      </w:r>
    </w:p>
    <w:p>
      <w:pPr>
        <w:pStyle w:val="2"/>
        <w:numPr>
          <w:ilvl w:val="0"/>
          <w:numId w:val="22"/>
        </w:numPr>
        <w:ind w:left="420" w:leftChars="0" w:hanging="420" w:firstLineChars="0"/>
        <w:rPr>
          <w:rFonts w:hint="eastAsia"/>
          <w:i/>
          <w:iCs/>
          <w:sz w:val="20"/>
          <w:szCs w:val="18"/>
          <w:lang w:val="en-US" w:eastAsia="zh-CN"/>
        </w:rPr>
      </w:pPr>
      <w:r>
        <w:rPr>
          <w:rFonts w:hint="eastAsia"/>
          <w:b/>
          <w:bCs/>
          <w:i/>
          <w:iCs/>
          <w:sz w:val="20"/>
          <w:szCs w:val="18"/>
          <w:lang w:val="en-US" w:eastAsia="zh-CN"/>
        </w:rPr>
        <w:t>FFS: attribute subgroups combinations is supported</w:t>
      </w:r>
    </w:p>
    <w:p>
      <w:pPr>
        <w:pStyle w:val="2"/>
        <w:numPr>
          <w:ilvl w:val="0"/>
          <w:numId w:val="22"/>
        </w:numPr>
        <w:ind w:left="420" w:leftChars="0" w:hanging="420" w:firstLineChars="0"/>
        <w:rPr>
          <w:rFonts w:hint="eastAsia"/>
          <w:i/>
          <w:iCs/>
          <w:sz w:val="20"/>
          <w:szCs w:val="18"/>
          <w:lang w:val="en-US" w:eastAsia="zh-CN"/>
        </w:rPr>
      </w:pPr>
      <w:r>
        <w:rPr>
          <w:rFonts w:hint="eastAsia"/>
          <w:b/>
          <w:bCs/>
          <w:i/>
          <w:iCs/>
          <w:sz w:val="20"/>
          <w:szCs w:val="18"/>
          <w:lang w:val="en-US" w:eastAsia="zh-CN"/>
        </w:rPr>
        <w:t>Other number subgroups could be supported if there are some reserved states</w:t>
      </w:r>
    </w:p>
    <w:p>
      <w:pPr>
        <w:pStyle w:val="2"/>
        <w:rPr>
          <w:rFonts w:hint="eastAsia"/>
          <w:b/>
          <w:bCs/>
          <w:i/>
          <w:iCs/>
          <w:sz w:val="20"/>
          <w:szCs w:val="18"/>
          <w:lang w:val="en-US" w:eastAsia="zh-CN"/>
        </w:rPr>
      </w:pPr>
      <w:r>
        <w:rPr>
          <w:rFonts w:hint="eastAsia"/>
          <w:b/>
          <w:bCs/>
          <w:i/>
          <w:iCs/>
          <w:sz w:val="20"/>
          <w:szCs w:val="18"/>
          <w:lang w:val="en-US" w:eastAsia="zh-CN"/>
        </w:rPr>
        <w:t>Proposal 5: Option 2 with multiple offsets is prioritized.</w:t>
      </w:r>
    </w:p>
    <w:p>
      <w:pPr>
        <w:pStyle w:val="2"/>
        <w:rPr>
          <w:rFonts w:hint="eastAsia"/>
          <w:b/>
          <w:bCs/>
          <w:i/>
          <w:iCs/>
          <w:lang w:eastAsia="ja-JP"/>
        </w:rPr>
      </w:pPr>
    </w:p>
    <w:p>
      <w:pPr>
        <w:pStyle w:val="2"/>
        <w:rPr>
          <w:rFonts w:hint="default"/>
          <w:b/>
          <w:bCs/>
          <w:i/>
          <w:iCs/>
          <w:sz w:val="20"/>
          <w:szCs w:val="18"/>
          <w:lang w:val="en-US" w:eastAsia="zh-CN"/>
        </w:rPr>
      </w:pPr>
      <w:r>
        <w:rPr>
          <w:rFonts w:hint="eastAsia"/>
          <w:b/>
          <w:bCs/>
          <w:i/>
          <w:iCs/>
          <w:sz w:val="20"/>
          <w:szCs w:val="18"/>
          <w:lang w:val="en-US" w:eastAsia="zh-CN"/>
        </w:rPr>
        <w:t>Proposal 6: Further clarify the offset selection based on following</w:t>
      </w:r>
    </w:p>
    <w:p>
      <w:pPr>
        <w:pStyle w:val="2"/>
        <w:rPr>
          <w:rFonts w:hint="eastAsia"/>
          <w:b/>
          <w:bCs/>
          <w:i/>
          <w:iCs/>
          <w:sz w:val="20"/>
          <w:szCs w:val="18"/>
          <w:lang w:val="en-US" w:eastAsia="zh-CN"/>
        </w:rPr>
      </w:pPr>
      <w:r>
        <w:rPr>
          <w:rFonts w:hint="eastAsia"/>
          <w:b/>
          <w:bCs/>
          <w:i/>
          <w:iCs/>
          <w:sz w:val="20"/>
          <w:szCs w:val="18"/>
          <w:lang w:val="en-US" w:eastAsia="zh-CN"/>
        </w:rPr>
        <w:t>Alt1: The UE monitors the LO associated with the minimum offset that has a gap between the LO and the corresponding PO no less than the wake-up delay.</w:t>
      </w:r>
    </w:p>
    <w:p>
      <w:pPr>
        <w:pStyle w:val="2"/>
        <w:rPr>
          <w:rFonts w:hint="eastAsia"/>
          <w:b/>
          <w:bCs/>
          <w:i/>
          <w:iCs/>
          <w:sz w:val="20"/>
          <w:szCs w:val="18"/>
          <w:lang w:val="en-US" w:eastAsia="zh-CN"/>
        </w:rPr>
      </w:pPr>
      <w:r>
        <w:rPr>
          <w:rFonts w:hint="eastAsia"/>
          <w:b/>
          <w:bCs/>
          <w:i/>
          <w:iCs/>
          <w:sz w:val="20"/>
          <w:szCs w:val="18"/>
          <w:lang w:val="en-US" w:eastAsia="zh-CN"/>
        </w:rPr>
        <w:t>Alt2: The UE monitors the LO associated with the minimum offset and larger offset that has a gap between the LO and the corresponding PO no less than the wake-up delay.</w:t>
      </w:r>
    </w:p>
    <w:p>
      <w:pPr>
        <w:rPr>
          <w:rFonts w:hint="default"/>
          <w:b/>
          <w:bCs/>
          <w:i/>
          <w:iCs/>
          <w:lang w:val="en-US" w:eastAsia="zh-CN"/>
        </w:rPr>
      </w:pPr>
      <w:r>
        <w:rPr>
          <w:rFonts w:hint="eastAsia"/>
          <w:b/>
          <w:bCs/>
          <w:i/>
          <w:iCs/>
          <w:lang w:val="en-US" w:eastAsia="zh-CN"/>
        </w:rPr>
        <w:t>Proposal 7: Option A without subgroup offloading to LO segments should be supported as baseline.</w:t>
      </w:r>
    </w:p>
    <w:p>
      <w:pPr>
        <w:pStyle w:val="2"/>
        <w:rPr>
          <w:rFonts w:hint="default"/>
          <w:b/>
          <w:bCs/>
          <w:i/>
          <w:iCs/>
          <w:lang w:val="en-US" w:eastAsia="zh-CN"/>
        </w:rPr>
      </w:pPr>
      <w:r>
        <w:rPr>
          <w:rFonts w:hint="eastAsia"/>
          <w:b/>
          <w:bCs/>
          <w:i/>
          <w:iCs/>
          <w:lang w:val="en-US" w:eastAsia="zh-CN"/>
        </w:rPr>
        <w:t>Proposal 8: UE should monitor the MOs of K MOs until a LP-WUS is successfully detected.</w:t>
      </w:r>
    </w:p>
    <w:p>
      <w:pPr>
        <w:pStyle w:val="2"/>
        <w:rPr>
          <w:rFonts w:hint="default"/>
          <w:b/>
          <w:bCs/>
          <w:i/>
          <w:iCs/>
          <w:sz w:val="20"/>
          <w:szCs w:val="18"/>
          <w:lang w:val="en-US" w:eastAsia="zh-CN"/>
        </w:rPr>
      </w:pPr>
      <w:r>
        <w:rPr>
          <w:rFonts w:hint="eastAsia"/>
          <w:b/>
          <w:bCs/>
          <w:i/>
          <w:iCs/>
          <w:sz w:val="20"/>
          <w:szCs w:val="18"/>
          <w:lang w:val="en-US" w:eastAsia="zh-CN"/>
        </w:rPr>
        <w:t>Proposal 9: More benefits should be clarified for multiple PO associated with one LO especially when NO CRC is attached.</w:t>
      </w:r>
    </w:p>
    <w:p>
      <w:pPr>
        <w:numPr>
          <w:ilvl w:val="255"/>
          <w:numId w:val="0"/>
        </w:numPr>
        <w:spacing w:before="120" w:beforeLines="0" w:line="276" w:lineRule="auto"/>
        <w:rPr>
          <w:rFonts w:hint="eastAsia"/>
          <w:b/>
          <w:bCs/>
          <w:i/>
          <w:iCs/>
        </w:rPr>
      </w:pPr>
      <w:r>
        <w:rPr>
          <w:rFonts w:hint="eastAsia"/>
          <w:b/>
          <w:bCs/>
          <w:i/>
          <w:iCs/>
        </w:rPr>
        <w:t xml:space="preserve">Proposal </w:t>
      </w:r>
      <w:r>
        <w:rPr>
          <w:rFonts w:hint="eastAsia"/>
          <w:b/>
          <w:bCs/>
          <w:i/>
          <w:iCs/>
          <w:lang w:val="en-US" w:eastAsia="zh-CN"/>
        </w:rPr>
        <w:t>10</w:t>
      </w:r>
      <w:r>
        <w:rPr>
          <w:rFonts w:hint="eastAsia"/>
          <w:b/>
          <w:bCs/>
          <w:i/>
          <w:iCs/>
        </w:rPr>
        <w:t>: Consider option 2 to determine the beam index and repetition.</w:t>
      </w:r>
    </w:p>
    <w:p>
      <w:pPr>
        <w:spacing w:before="120" w:beforeLines="0" w:line="276" w:lineRule="auto"/>
        <w:rPr>
          <w:rFonts w:hint="eastAsia"/>
          <w:b/>
          <w:bCs/>
          <w:i/>
          <w:iCs/>
          <w:sz w:val="20"/>
          <w:szCs w:val="20"/>
          <w:lang w:val="en-US" w:eastAsia="zh-CN"/>
        </w:rPr>
      </w:pPr>
      <w:r>
        <w:rPr>
          <w:rFonts w:hint="eastAsia"/>
          <w:b/>
          <w:bCs/>
          <w:i/>
          <w:iCs/>
          <w:sz w:val="20"/>
          <w:szCs w:val="20"/>
          <w:lang w:val="en-US" w:eastAsia="zh-CN"/>
        </w:rPr>
        <w:t>Proposal 11: Discuss and decide using LP-SS or LP-WUS to achieve cell specific wake-up.</w:t>
      </w:r>
    </w:p>
    <w:p>
      <w:pPr>
        <w:pStyle w:val="2"/>
        <w:numPr>
          <w:ilvl w:val="0"/>
          <w:numId w:val="26"/>
        </w:numPr>
        <w:ind w:left="420" w:hanging="420"/>
        <w:rPr>
          <w:rFonts w:hint="default"/>
          <w:b/>
          <w:bCs/>
          <w:i/>
          <w:iCs/>
          <w:sz w:val="20"/>
          <w:szCs w:val="20"/>
          <w:lang w:val="en-US" w:eastAsia="zh-CN"/>
        </w:rPr>
      </w:pPr>
      <w:r>
        <w:rPr>
          <w:rFonts w:hint="eastAsia"/>
          <w:b/>
          <w:bCs/>
          <w:i/>
          <w:iCs/>
          <w:sz w:val="20"/>
          <w:szCs w:val="20"/>
          <w:lang w:val="en-US" w:eastAsia="zh-CN"/>
        </w:rPr>
        <w:t>Slightly prefer to use LP-SS for cell specific wake-up</w:t>
      </w:r>
    </w:p>
    <w:p>
      <w:pPr>
        <w:pStyle w:val="2"/>
        <w:numPr>
          <w:ilvl w:val="0"/>
          <w:numId w:val="26"/>
        </w:numPr>
        <w:ind w:left="420" w:hanging="420"/>
        <w:rPr>
          <w:rFonts w:hint="default"/>
          <w:b/>
          <w:bCs/>
          <w:i/>
          <w:iCs/>
          <w:sz w:val="20"/>
          <w:szCs w:val="20"/>
          <w:lang w:val="en-US" w:eastAsia="zh-CN"/>
        </w:rPr>
      </w:pPr>
      <w:r>
        <w:rPr>
          <w:rFonts w:hint="eastAsia"/>
          <w:b/>
          <w:bCs/>
          <w:i/>
          <w:iCs/>
          <w:sz w:val="20"/>
          <w:szCs w:val="20"/>
          <w:lang w:val="en-US" w:eastAsia="zh-CN"/>
        </w:rPr>
        <w:t>If LP-WUS is used to achieve cell specific wake-up, at least, 4POs would be needed to be associated to LO and LP-WUS design and coverage would be further impacted.</w:t>
      </w:r>
    </w:p>
    <w:p>
      <w:pPr>
        <w:spacing w:before="120"/>
        <w:rPr>
          <w:rFonts w:hint="eastAsia"/>
          <w:b/>
          <w:bCs/>
          <w:i/>
          <w:iCs/>
          <w:lang w:val="en-US" w:eastAsia="zh-CN"/>
        </w:rPr>
      </w:pPr>
      <w:r>
        <w:rPr>
          <w:rFonts w:hint="eastAsia"/>
          <w:b/>
          <w:bCs/>
          <w:i/>
          <w:iCs/>
        </w:rPr>
        <w:t>Proposal</w:t>
      </w:r>
      <w:r>
        <w:rPr>
          <w:rFonts w:hint="eastAsia"/>
          <w:b/>
          <w:bCs/>
          <w:i/>
          <w:iCs/>
          <w:lang w:val="en-US" w:eastAsia="zh-CN"/>
        </w:rPr>
        <w:t xml:space="preserve"> 12</w:t>
      </w:r>
      <w:r>
        <w:rPr>
          <w:rFonts w:hint="eastAsia"/>
          <w:b/>
          <w:bCs/>
          <w:i/>
          <w:iCs/>
        </w:rPr>
        <w:t xml:space="preserve">: </w:t>
      </w:r>
      <w:r>
        <w:rPr>
          <w:rFonts w:hint="eastAsia"/>
          <w:b/>
          <w:bCs/>
          <w:i/>
          <w:iCs/>
          <w:lang w:val="en-US" w:eastAsia="zh-CN"/>
        </w:rPr>
        <w:t xml:space="preserve">For eDRX, discuss </w:t>
      </w:r>
    </w:p>
    <w:p>
      <w:pPr>
        <w:numPr>
          <w:ilvl w:val="0"/>
          <w:numId w:val="27"/>
        </w:numPr>
        <w:spacing w:before="120"/>
        <w:ind w:left="420" w:leftChars="0" w:hanging="420" w:firstLineChars="0"/>
        <w:rPr>
          <w:rFonts w:hint="eastAsia"/>
          <w:b/>
          <w:bCs/>
          <w:i/>
          <w:iCs/>
          <w:highlight w:val="none"/>
          <w:lang w:val="en-US" w:eastAsia="zh-CN"/>
        </w:rPr>
      </w:pPr>
      <w:r>
        <w:rPr>
          <w:rFonts w:hint="eastAsia"/>
          <w:b/>
          <w:bCs/>
          <w:i/>
          <w:iCs/>
          <w:highlight w:val="none"/>
          <w:lang w:val="en-US" w:eastAsia="zh-CN"/>
        </w:rPr>
        <w:t>the LO periodicity could be the same as IDRX</w:t>
      </w:r>
    </w:p>
    <w:p>
      <w:pPr>
        <w:numPr>
          <w:ilvl w:val="0"/>
          <w:numId w:val="27"/>
        </w:numPr>
        <w:spacing w:before="120"/>
        <w:ind w:left="420" w:leftChars="0" w:hanging="420" w:firstLineChars="0"/>
        <w:rPr>
          <w:rFonts w:hint="default"/>
          <w:b/>
          <w:bCs/>
          <w:i/>
          <w:iCs/>
          <w:lang w:val="en-US" w:eastAsia="zh-CN"/>
        </w:rPr>
      </w:pPr>
      <w:r>
        <w:rPr>
          <w:rFonts w:hint="eastAsia"/>
          <w:b/>
          <w:bCs/>
          <w:i/>
          <w:iCs/>
          <w:lang w:val="en-US" w:eastAsia="zh-CN"/>
        </w:rPr>
        <w:t>the LO periodicity could be the same as eDRX periodicity</w:t>
      </w:r>
    </w:p>
    <w:p>
      <w:pPr>
        <w:spacing w:before="120" w:beforeLines="0" w:line="276" w:lineRule="auto"/>
        <w:rPr>
          <w:b/>
          <w:bCs/>
          <w:i/>
          <w:iCs/>
        </w:rPr>
      </w:pPr>
      <w:r>
        <w:rPr>
          <w:rFonts w:hint="eastAsia"/>
          <w:b/>
          <w:bCs/>
          <w:i/>
          <w:iCs/>
        </w:rPr>
        <w:t>Proposal 1</w:t>
      </w:r>
      <w:r>
        <w:rPr>
          <w:rFonts w:hint="eastAsia"/>
          <w:b/>
          <w:bCs/>
          <w:i/>
          <w:iCs/>
          <w:lang w:val="en-US" w:eastAsia="zh-CN"/>
        </w:rPr>
        <w:t>3</w:t>
      </w:r>
      <w:r>
        <w:rPr>
          <w:rFonts w:hint="eastAsia"/>
          <w:b/>
          <w:bCs/>
          <w:i/>
          <w:iCs/>
        </w:rPr>
        <w:t>: Support LP-WUS deployed in FDD/TDD bands</w:t>
      </w:r>
    </w:p>
    <w:p>
      <w:pPr>
        <w:numPr>
          <w:ilvl w:val="255"/>
          <w:numId w:val="0"/>
        </w:numPr>
        <w:spacing w:before="120" w:beforeLines="0" w:line="276" w:lineRule="auto"/>
        <w:rPr>
          <w:b/>
          <w:bCs/>
          <w:i/>
          <w:iCs/>
        </w:rPr>
      </w:pPr>
      <w:r>
        <w:rPr>
          <w:rFonts w:hint="eastAsia"/>
          <w:b/>
          <w:bCs/>
          <w:i/>
          <w:iCs/>
        </w:rPr>
        <w:t>Proposal 1</w:t>
      </w:r>
      <w:r>
        <w:rPr>
          <w:rFonts w:hint="eastAsia"/>
          <w:b/>
          <w:bCs/>
          <w:i/>
          <w:iCs/>
          <w:lang w:val="en-US" w:eastAsia="zh-CN"/>
        </w:rPr>
        <w:t>4</w:t>
      </w:r>
      <w:r>
        <w:rPr>
          <w:rFonts w:hint="eastAsia"/>
          <w:b/>
          <w:bCs/>
          <w:i/>
          <w:iCs/>
        </w:rPr>
        <w:t>: The LO and MO definition should be applicable for both FDD and TDD</w:t>
      </w:r>
    </w:p>
    <w:p>
      <w:pPr>
        <w:numPr>
          <w:ilvl w:val="0"/>
          <w:numId w:val="28"/>
        </w:numPr>
        <w:spacing w:before="120" w:beforeLines="0" w:line="276" w:lineRule="auto"/>
        <w:rPr>
          <w:b/>
          <w:bCs/>
          <w:i/>
          <w:iCs/>
        </w:rPr>
      </w:pPr>
      <w:r>
        <w:rPr>
          <w:rFonts w:hint="eastAsia"/>
          <w:b/>
          <w:bCs/>
          <w:i/>
          <w:iCs/>
        </w:rPr>
        <w:t>FFS whether MO could be based on flexible symbols or slots in TDD</w:t>
      </w:r>
    </w:p>
    <w:p>
      <w:pPr>
        <w:spacing w:before="120"/>
        <w:rPr>
          <w:rFonts w:hint="eastAsia"/>
          <w:b/>
          <w:bCs/>
          <w:i/>
          <w:iCs/>
          <w:lang w:val="en-US" w:eastAsia="zh-CN"/>
        </w:rPr>
      </w:pPr>
      <w:r>
        <w:rPr>
          <w:rFonts w:hint="eastAsia"/>
          <w:b/>
          <w:bCs/>
          <w:i/>
          <w:iCs/>
          <w:lang w:val="en-US" w:eastAsia="zh-CN"/>
        </w:rPr>
        <w:t>Proposal 15: The QCL source for LP-SS/LP-WUS should be CD-SSB and the QCL type could be type C in FR1 and type D in FR2</w:t>
      </w:r>
    </w:p>
    <w:p>
      <w:pPr>
        <w:numPr>
          <w:ilvl w:val="-1"/>
          <w:numId w:val="0"/>
        </w:numPr>
        <w:snapToGrid/>
        <w:spacing w:before="0" w:beforeLines="-2147483648" w:after="0" w:line="240" w:lineRule="auto"/>
        <w:jc w:val="left"/>
        <w:rPr>
          <w:rFonts w:hint="default"/>
          <w:b/>
          <w:bCs/>
          <w:i/>
          <w:iCs/>
          <w:lang w:val="en-US" w:eastAsia="zh-CN"/>
        </w:rPr>
      </w:pPr>
      <w:r>
        <w:rPr>
          <w:rFonts w:hint="eastAsia"/>
          <w:b/>
          <w:bCs/>
          <w:i/>
          <w:iCs/>
          <w:lang w:val="en-US" w:eastAsia="zh-CN"/>
        </w:rPr>
        <w:t>Proposal 16: Consider the power offset between LP-SS and SSB</w:t>
      </w:r>
    </w:p>
    <w:p>
      <w:pPr>
        <w:numPr>
          <w:ilvl w:val="0"/>
          <w:numId w:val="29"/>
        </w:numPr>
        <w:snapToGrid/>
        <w:spacing w:before="0" w:beforeLines="-2147483648" w:after="0" w:line="240" w:lineRule="auto"/>
        <w:ind w:left="420" w:hanging="420"/>
        <w:jc w:val="left"/>
        <w:rPr>
          <w:rFonts w:hint="default"/>
          <w:b/>
          <w:bCs/>
          <w:i/>
          <w:iCs/>
          <w:lang w:val="en-US" w:eastAsia="zh-CN"/>
        </w:rPr>
      </w:pPr>
      <w:r>
        <w:rPr>
          <w:rFonts w:hint="eastAsia"/>
          <w:b/>
          <w:bCs/>
          <w:i/>
          <w:iCs/>
          <w:lang w:val="en-US" w:eastAsia="zh-CN"/>
        </w:rPr>
        <w:t>FFS the power control for LP=WUS</w:t>
      </w:r>
    </w:p>
    <w:p>
      <w:pPr>
        <w:pStyle w:val="2"/>
        <w:rPr>
          <w:rFonts w:hint="eastAsia"/>
          <w:b/>
          <w:bCs/>
          <w:i/>
          <w:iCs/>
          <w:lang w:eastAsia="ja-JP"/>
        </w:rPr>
      </w:pPr>
    </w:p>
    <w:p>
      <w:pPr>
        <w:pStyle w:val="3"/>
        <w:spacing w:before="120"/>
        <w:rPr>
          <w:lang w:val="en-US"/>
        </w:rPr>
      </w:pPr>
      <w:r>
        <w:rPr>
          <w:lang w:val="en-US"/>
        </w:rPr>
        <w:t>Refer</w:t>
      </w:r>
      <w:bookmarkStart w:id="18" w:name="OLE_LINK25"/>
      <w:r>
        <w:rPr>
          <w:lang w:val="en-US"/>
        </w:rPr>
        <w:t>e</w:t>
      </w:r>
      <w:bookmarkEnd w:id="18"/>
      <w:r>
        <w:rPr>
          <w:lang w:val="en-US"/>
        </w:rPr>
        <w:t>nces</w:t>
      </w:r>
    </w:p>
    <w:p>
      <w:pPr>
        <w:pStyle w:val="133"/>
        <w:spacing w:before="120"/>
        <w:rPr>
          <w:lang w:eastAsia="zh-CN"/>
        </w:rPr>
      </w:pPr>
      <w:bookmarkStart w:id="19" w:name="OLE_LINK23"/>
      <w:r>
        <w:rPr>
          <w:rFonts w:hint="eastAsia"/>
          <w:lang w:eastAsia="zh-CN"/>
        </w:rPr>
        <w:t>RP-241824</w:t>
      </w:r>
      <w:r>
        <w:rPr>
          <w:lang w:eastAsia="zh-CN"/>
        </w:rPr>
        <w:t>, “Revised WID: Low-power wake-up signal and receiver for NR (LP-WUS/WUR)”</w:t>
      </w:r>
      <w:r>
        <w:rPr>
          <w:rFonts w:hint="eastAsia"/>
          <w:lang w:eastAsia="zh-CN"/>
        </w:rPr>
        <w:t>,</w:t>
      </w:r>
      <w:r>
        <w:rPr>
          <w:lang w:eastAsia="zh-CN"/>
        </w:rPr>
        <w:t xml:space="preserve"> RAN#</w:t>
      </w:r>
      <w:r>
        <w:rPr>
          <w:rFonts w:hint="eastAsia"/>
          <w:lang w:eastAsia="zh-CN"/>
        </w:rPr>
        <w:t>10</w:t>
      </w:r>
      <w:r>
        <w:rPr>
          <w:rFonts w:hint="eastAsia"/>
          <w:lang w:val="en-US" w:eastAsia="zh-CN"/>
        </w:rPr>
        <w:t>5</w:t>
      </w:r>
    </w:p>
    <w:bookmarkEnd w:id="19"/>
    <w:p>
      <w:pPr>
        <w:pStyle w:val="133"/>
        <w:spacing w:before="120" w:after="120"/>
        <w:ind w:left="363" w:hanging="363"/>
        <w:rPr>
          <w:szCs w:val="21"/>
        </w:rPr>
      </w:pPr>
      <w:r>
        <w:rPr>
          <w:rFonts w:hint="eastAsia"/>
          <w:szCs w:val="21"/>
          <w:lang w:eastAsia="zh-CN"/>
        </w:rPr>
        <w:t>Draft Report of 3GPP TSG RAN WG1 #11</w:t>
      </w:r>
      <w:r>
        <w:rPr>
          <w:rFonts w:hint="eastAsia"/>
          <w:szCs w:val="21"/>
          <w:lang w:val="en-US" w:eastAsia="zh-CN"/>
        </w:rPr>
        <w:t>8bis</w:t>
      </w:r>
    </w:p>
    <w:p>
      <w:pPr>
        <w:pStyle w:val="133"/>
        <w:numPr>
          <w:ilvl w:val="255"/>
          <w:numId w:val="0"/>
        </w:numPr>
        <w:spacing w:before="120" w:after="120"/>
        <w:ind w:left="363" w:hanging="363"/>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EBA9C5"/>
    <w:multiLevelType w:val="singleLevel"/>
    <w:tmpl w:val="8AEBA9C5"/>
    <w:lvl w:ilvl="0" w:tentative="0">
      <w:start w:val="1"/>
      <w:numFmt w:val="bullet"/>
      <w:lvlText w:val=""/>
      <w:lvlJc w:val="left"/>
      <w:pPr>
        <w:ind w:left="420" w:leftChars="0" w:hanging="420" w:firstLineChars="0"/>
      </w:pPr>
      <w:rPr>
        <w:rFonts w:hint="default" w:ascii="Symbol" w:hAnsi="Symbol" w:cs="Symbol"/>
      </w:rPr>
    </w:lvl>
  </w:abstractNum>
  <w:abstractNum w:abstractNumId="1">
    <w:nsid w:val="8CBED4DD"/>
    <w:multiLevelType w:val="singleLevel"/>
    <w:tmpl w:val="8CBED4DD"/>
    <w:lvl w:ilvl="0" w:tentative="0">
      <w:start w:val="1"/>
      <w:numFmt w:val="bullet"/>
      <w:lvlText w:val=""/>
      <w:lvlJc w:val="left"/>
      <w:pPr>
        <w:ind w:left="420" w:leftChars="0" w:hanging="420" w:firstLineChars="0"/>
      </w:pPr>
      <w:rPr>
        <w:rFonts w:hint="default" w:ascii="Symbol" w:hAnsi="Symbol" w:cs="Symbol"/>
      </w:rPr>
    </w:lvl>
  </w:abstractNum>
  <w:abstractNum w:abstractNumId="2">
    <w:nsid w:val="903B05DE"/>
    <w:multiLevelType w:val="singleLevel"/>
    <w:tmpl w:val="903B05DE"/>
    <w:lvl w:ilvl="0" w:tentative="0">
      <w:start w:val="1"/>
      <w:numFmt w:val="bullet"/>
      <w:lvlText w:val=""/>
      <w:lvlJc w:val="left"/>
      <w:pPr>
        <w:ind w:left="420" w:leftChars="0" w:hanging="420" w:firstLineChars="0"/>
      </w:pPr>
      <w:rPr>
        <w:rFonts w:hint="default" w:ascii="Symbol" w:hAnsi="Symbol" w:cs="Symbol"/>
      </w:rPr>
    </w:lvl>
  </w:abstractNum>
  <w:abstractNum w:abstractNumId="3">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4">
    <w:nsid w:val="D033D7EC"/>
    <w:multiLevelType w:val="singleLevel"/>
    <w:tmpl w:val="D033D7EC"/>
    <w:lvl w:ilvl="0" w:tentative="0">
      <w:start w:val="1"/>
      <w:numFmt w:val="bullet"/>
      <w:lvlText w:val=""/>
      <w:lvlJc w:val="left"/>
      <w:pPr>
        <w:ind w:left="420" w:hanging="420"/>
      </w:pPr>
      <w:rPr>
        <w:rFonts w:hint="default" w:ascii="Symbol" w:hAnsi="Symbol" w:cs="Symbol"/>
      </w:rPr>
    </w:lvl>
  </w:abstractNum>
  <w:abstractNum w:abstractNumId="5">
    <w:nsid w:val="E21E6F30"/>
    <w:multiLevelType w:val="singleLevel"/>
    <w:tmpl w:val="E21E6F30"/>
    <w:lvl w:ilvl="0" w:tentative="0">
      <w:start w:val="1"/>
      <w:numFmt w:val="bullet"/>
      <w:lvlText w:val=""/>
      <w:lvlJc w:val="left"/>
      <w:pPr>
        <w:ind w:left="420" w:leftChars="0" w:hanging="420" w:firstLineChars="0"/>
      </w:pPr>
      <w:rPr>
        <w:rFonts w:hint="default" w:ascii="Symbol" w:hAnsi="Symbol" w:cs="Symbol"/>
      </w:rPr>
    </w:lvl>
  </w:abstractNum>
  <w:abstractNum w:abstractNumId="6">
    <w:nsid w:val="F4CBA04D"/>
    <w:multiLevelType w:val="singleLevel"/>
    <w:tmpl w:val="F4CBA04D"/>
    <w:lvl w:ilvl="0" w:tentative="0">
      <w:start w:val="1"/>
      <w:numFmt w:val="bullet"/>
      <w:lvlText w:val=""/>
      <w:lvlJc w:val="left"/>
      <w:pPr>
        <w:tabs>
          <w:tab w:val="left" w:pos="420"/>
        </w:tabs>
        <w:ind w:left="840" w:leftChars="0" w:hanging="420" w:firstLineChars="0"/>
      </w:pPr>
      <w:rPr>
        <w:rFonts w:hint="default" w:ascii="Symbol" w:hAnsi="Symbol" w:cs="Symbol"/>
      </w:rPr>
    </w:lvl>
  </w:abstractNum>
  <w:abstractNum w:abstractNumId="7">
    <w:nsid w:val="05E72C80"/>
    <w:multiLevelType w:val="multilevel"/>
    <w:tmpl w:val="05E72C80"/>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05E84BC3"/>
    <w:multiLevelType w:val="multilevel"/>
    <w:tmpl w:val="05E84BC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C7DB80E"/>
    <w:multiLevelType w:val="multilevel"/>
    <w:tmpl w:val="0C7DB80E"/>
    <w:lvl w:ilvl="0" w:tentative="0">
      <w:start w:val="1"/>
      <w:numFmt w:val="bullet"/>
      <w:lvlText w:val=""/>
      <w:lvlJc w:val="left"/>
      <w:pPr>
        <w:ind w:left="420" w:leftChars="0" w:hanging="420" w:firstLineChars="0"/>
      </w:pPr>
      <w:rPr>
        <w:rFonts w:hint="default" w:ascii="Symbol" w:hAnsi="Symbol" w:cs="Symbo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0">
    <w:nsid w:val="13297FCE"/>
    <w:multiLevelType w:val="multilevel"/>
    <w:tmpl w:val="13297FCE"/>
    <w:lvl w:ilvl="0" w:tentative="0">
      <w:start w:val="1"/>
      <w:numFmt w:val="bullet"/>
      <w:lvlText w:val=""/>
      <w:lvlJc w:val="left"/>
      <w:pPr>
        <w:ind w:left="420" w:leftChars="0" w:hanging="420" w:firstLineChars="0"/>
      </w:pPr>
      <w:rPr>
        <w:rFonts w:hint="default" w:ascii="Symbol" w:hAnsi="Symbol" w:cs="Symbol"/>
      </w:rPr>
    </w:lvl>
    <w:lvl w:ilvl="1" w:tentative="0">
      <w:start w:val="1"/>
      <w:numFmt w:val="bullet"/>
      <w:lvlText w:val=""/>
      <w:lvlJc w:val="left"/>
      <w:pPr>
        <w:tabs>
          <w:tab w:val="left" w:pos="840"/>
        </w:tabs>
        <w:ind w:left="840" w:leftChars="0" w:hanging="420" w:firstLineChars="0"/>
      </w:pPr>
      <w:rPr>
        <w:rFonts w:hint="default" w:ascii="PMingLiU" w:hAnsi="PMingLiU"/>
      </w:rPr>
    </w:lvl>
    <w:lvl w:ilvl="2" w:tentative="0">
      <w:start w:val="1"/>
      <w:numFmt w:val="bullet"/>
      <w:lvlText w:val=""/>
      <w:lvlJc w:val="left"/>
      <w:pPr>
        <w:tabs>
          <w:tab w:val="left" w:pos="1260"/>
        </w:tabs>
        <w:ind w:left="1260" w:leftChars="0" w:hanging="420" w:firstLineChars="0"/>
      </w:pPr>
      <w:rPr>
        <w:rFonts w:hint="default" w:ascii="PMingLiU" w:hAnsi="PMingLiU"/>
      </w:rPr>
    </w:lvl>
    <w:lvl w:ilvl="3" w:tentative="0">
      <w:start w:val="1"/>
      <w:numFmt w:val="bullet"/>
      <w:lvlText w:val=""/>
      <w:lvlJc w:val="left"/>
      <w:pPr>
        <w:tabs>
          <w:tab w:val="left" w:pos="1680"/>
        </w:tabs>
        <w:ind w:left="1680" w:leftChars="0" w:hanging="420" w:firstLineChars="0"/>
      </w:pPr>
      <w:rPr>
        <w:rFonts w:hint="default" w:ascii="PMingLiU" w:hAnsi="PMingLiU"/>
      </w:rPr>
    </w:lvl>
    <w:lvl w:ilvl="4" w:tentative="0">
      <w:start w:val="1"/>
      <w:numFmt w:val="bullet"/>
      <w:lvlText w:val=""/>
      <w:lvlJc w:val="left"/>
      <w:pPr>
        <w:tabs>
          <w:tab w:val="left" w:pos="2100"/>
        </w:tabs>
        <w:ind w:left="2100" w:leftChars="0" w:hanging="420" w:firstLineChars="0"/>
      </w:pPr>
      <w:rPr>
        <w:rFonts w:hint="default" w:ascii="PMingLiU" w:hAnsi="PMingLiU"/>
      </w:rPr>
    </w:lvl>
    <w:lvl w:ilvl="5" w:tentative="0">
      <w:start w:val="1"/>
      <w:numFmt w:val="bullet"/>
      <w:lvlText w:val=""/>
      <w:lvlJc w:val="left"/>
      <w:pPr>
        <w:tabs>
          <w:tab w:val="left" w:pos="2520"/>
        </w:tabs>
        <w:ind w:left="2520" w:leftChars="0" w:hanging="420" w:firstLineChars="0"/>
      </w:pPr>
      <w:rPr>
        <w:rFonts w:hint="default" w:ascii="PMingLiU" w:hAnsi="PMingLiU"/>
      </w:rPr>
    </w:lvl>
    <w:lvl w:ilvl="6" w:tentative="0">
      <w:start w:val="1"/>
      <w:numFmt w:val="bullet"/>
      <w:lvlText w:val=""/>
      <w:lvlJc w:val="left"/>
      <w:pPr>
        <w:tabs>
          <w:tab w:val="left" w:pos="2940"/>
        </w:tabs>
        <w:ind w:left="2940" w:leftChars="0" w:hanging="420" w:firstLineChars="0"/>
      </w:pPr>
      <w:rPr>
        <w:rFonts w:hint="default" w:ascii="PMingLiU" w:hAnsi="PMingLiU"/>
      </w:rPr>
    </w:lvl>
    <w:lvl w:ilvl="7" w:tentative="0">
      <w:start w:val="1"/>
      <w:numFmt w:val="bullet"/>
      <w:lvlText w:val=""/>
      <w:lvlJc w:val="left"/>
      <w:pPr>
        <w:tabs>
          <w:tab w:val="left" w:pos="3360"/>
        </w:tabs>
        <w:ind w:left="3360" w:leftChars="0" w:hanging="420" w:firstLineChars="0"/>
      </w:pPr>
      <w:rPr>
        <w:rFonts w:hint="default" w:ascii="PMingLiU" w:hAnsi="PMingLiU"/>
      </w:rPr>
    </w:lvl>
    <w:lvl w:ilvl="8" w:tentative="0">
      <w:start w:val="1"/>
      <w:numFmt w:val="bullet"/>
      <w:lvlText w:val=""/>
      <w:lvlJc w:val="left"/>
      <w:pPr>
        <w:tabs>
          <w:tab w:val="left" w:pos="3780"/>
        </w:tabs>
        <w:ind w:left="3780" w:leftChars="0" w:hanging="420" w:firstLineChars="0"/>
      </w:pPr>
      <w:rPr>
        <w:rFonts w:hint="default" w:ascii="PMingLiU" w:hAnsi="PMingLiU"/>
      </w:rPr>
    </w:lvl>
  </w:abstractNum>
  <w:abstractNum w:abstractNumId="11">
    <w:nsid w:val="15CEDB07"/>
    <w:multiLevelType w:val="singleLevel"/>
    <w:tmpl w:val="15CEDB07"/>
    <w:lvl w:ilvl="0" w:tentative="0">
      <w:start w:val="1"/>
      <w:numFmt w:val="bullet"/>
      <w:lvlText w:val=""/>
      <w:lvlJc w:val="left"/>
      <w:pPr>
        <w:ind w:left="420" w:leftChars="0" w:hanging="420" w:firstLineChars="0"/>
      </w:pPr>
      <w:rPr>
        <w:rFonts w:hint="default" w:ascii="Symbol" w:hAnsi="Symbol" w:cs="Symbol"/>
      </w:rPr>
    </w:lvl>
  </w:abstractNum>
  <w:abstractNum w:abstractNumId="12">
    <w:nsid w:val="1FC36E9C"/>
    <w:multiLevelType w:val="singleLevel"/>
    <w:tmpl w:val="1FC36E9C"/>
    <w:lvl w:ilvl="0" w:tentative="0">
      <w:start w:val="1"/>
      <w:numFmt w:val="bullet"/>
      <w:lvlText w:val=""/>
      <w:lvlJc w:val="left"/>
      <w:pPr>
        <w:ind w:left="420" w:leftChars="0" w:hanging="420" w:firstLineChars="0"/>
      </w:pPr>
      <w:rPr>
        <w:rFonts w:hint="default" w:ascii="Symbol" w:hAnsi="Symbol" w:cs="Symbol"/>
      </w:rPr>
    </w:lvl>
  </w:abstractNum>
  <w:abstractNum w:abstractNumId="13">
    <w:nsid w:val="22221A1C"/>
    <w:multiLevelType w:val="multilevel"/>
    <w:tmpl w:val="22221A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26041374"/>
    <w:multiLevelType w:val="multilevel"/>
    <w:tmpl w:val="260413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AA0D67E"/>
    <w:multiLevelType w:val="multilevel"/>
    <w:tmpl w:val="2AA0D67E"/>
    <w:lvl w:ilvl="0" w:tentative="0">
      <w:start w:val="1"/>
      <w:numFmt w:val="bullet"/>
      <w:pStyle w:val="17"/>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2E6177E9"/>
    <w:multiLevelType w:val="multilevel"/>
    <w:tmpl w:val="2E6177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02E881F"/>
    <w:multiLevelType w:val="singleLevel"/>
    <w:tmpl w:val="302E881F"/>
    <w:lvl w:ilvl="0" w:tentative="0">
      <w:start w:val="1"/>
      <w:numFmt w:val="bullet"/>
      <w:lvlText w:val=""/>
      <w:lvlJc w:val="left"/>
      <w:pPr>
        <w:ind w:left="420" w:leftChars="0" w:hanging="420" w:firstLineChars="0"/>
      </w:pPr>
      <w:rPr>
        <w:rFonts w:hint="default" w:ascii="Symbol" w:hAnsi="Symbol" w:cs="Symbol"/>
      </w:rPr>
    </w:lvl>
  </w:abstractNum>
  <w:abstractNum w:abstractNumId="18">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20">
    <w:nsid w:val="4854C847"/>
    <w:multiLevelType w:val="singleLevel"/>
    <w:tmpl w:val="4854C847"/>
    <w:lvl w:ilvl="0" w:tentative="0">
      <w:start w:val="1"/>
      <w:numFmt w:val="bullet"/>
      <w:lvlText w:val=""/>
      <w:lvlJc w:val="left"/>
      <w:pPr>
        <w:ind w:left="420" w:leftChars="0" w:hanging="420" w:firstLineChars="0"/>
      </w:pPr>
      <w:rPr>
        <w:rFonts w:hint="default" w:ascii="Symbol" w:hAnsi="Symbol" w:cs="Symbol"/>
      </w:rPr>
    </w:lvl>
  </w:abstractNum>
  <w:abstractNum w:abstractNumId="21">
    <w:nsid w:val="4ED92DC2"/>
    <w:multiLevelType w:val="multilevel"/>
    <w:tmpl w:val="4ED92D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535C3390"/>
    <w:multiLevelType w:val="singleLevel"/>
    <w:tmpl w:val="535C3390"/>
    <w:lvl w:ilvl="0" w:tentative="0">
      <w:start w:val="1"/>
      <w:numFmt w:val="bullet"/>
      <w:lvlText w:val=""/>
      <w:lvlJc w:val="left"/>
      <w:pPr>
        <w:ind w:left="420" w:leftChars="0" w:hanging="420" w:firstLineChars="0"/>
      </w:pPr>
      <w:rPr>
        <w:rFonts w:hint="default" w:ascii="Symbol" w:hAnsi="Symbol" w:cs="Symbol"/>
      </w:rPr>
    </w:lvl>
  </w:abstractNum>
  <w:abstractNum w:abstractNumId="24">
    <w:nsid w:val="6222DBC6"/>
    <w:multiLevelType w:val="multilevel"/>
    <w:tmpl w:val="6222DBC6"/>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ascii="Arial" w:hAnsi="Arial" w:eastAsia="宋体" w:cs="宋体"/>
        <w:bCs/>
        <w:sz w:val="24"/>
      </w:rPr>
    </w:lvl>
    <w:lvl w:ilvl="2" w:tentative="0">
      <w:start w:val="1"/>
      <w:numFmt w:val="decimal"/>
      <w:pStyle w:val="5"/>
      <w:lvlText w:val="%1.%2.%3."/>
      <w:lvlJc w:val="left"/>
      <w:pPr>
        <w:ind w:left="720" w:hanging="720"/>
      </w:pPr>
      <w:rPr>
        <w:rFonts w:hint="default" w:ascii="Arial" w:hAnsi="Arial" w:eastAsia="宋体" w:cs="宋体"/>
        <w:sz w:val="21"/>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576"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25">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592409D"/>
    <w:multiLevelType w:val="multilevel"/>
    <w:tmpl w:val="759240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B8A42A4"/>
    <w:multiLevelType w:val="multilevel"/>
    <w:tmpl w:val="7B8A42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E4AE0CE"/>
    <w:multiLevelType w:val="singleLevel"/>
    <w:tmpl w:val="7E4AE0CE"/>
    <w:lvl w:ilvl="0" w:tentative="0">
      <w:start w:val="1"/>
      <w:numFmt w:val="bullet"/>
      <w:lvlText w:val=""/>
      <w:lvlJc w:val="left"/>
      <w:pPr>
        <w:ind w:left="420" w:leftChars="0" w:hanging="420" w:firstLineChars="0"/>
      </w:pPr>
      <w:rPr>
        <w:rFonts w:hint="default" w:ascii="Symbol" w:hAnsi="Symbol" w:cs="Symbol"/>
      </w:rPr>
    </w:lvl>
  </w:abstractNum>
  <w:num w:numId="1">
    <w:abstractNumId w:val="24"/>
  </w:num>
  <w:num w:numId="2">
    <w:abstractNumId w:val="15"/>
  </w:num>
  <w:num w:numId="3">
    <w:abstractNumId w:val="22"/>
  </w:num>
  <w:num w:numId="4">
    <w:abstractNumId w:val="19"/>
  </w:num>
  <w:num w:numId="5">
    <w:abstractNumId w:val="25"/>
  </w:num>
  <w:num w:numId="6">
    <w:abstractNumId w:val="18"/>
  </w:num>
  <w:num w:numId="7">
    <w:abstractNumId w:val="21"/>
  </w:num>
  <w:num w:numId="8">
    <w:abstractNumId w:val="8"/>
  </w:num>
  <w:num w:numId="9">
    <w:abstractNumId w:val="14"/>
  </w:num>
  <w:num w:numId="10">
    <w:abstractNumId w:val="7"/>
  </w:num>
  <w:num w:numId="11">
    <w:abstractNumId w:val="13"/>
  </w:num>
  <w:num w:numId="12">
    <w:abstractNumId w:val="16"/>
  </w:num>
  <w:num w:numId="13">
    <w:abstractNumId w:val="26"/>
  </w:num>
  <w:num w:numId="14">
    <w:abstractNumId w:val="23"/>
  </w:num>
  <w:num w:numId="15">
    <w:abstractNumId w:val="27"/>
  </w:num>
  <w:num w:numId="16">
    <w:abstractNumId w:val="28"/>
  </w:num>
  <w:num w:numId="17">
    <w:abstractNumId w:val="12"/>
  </w:num>
  <w:num w:numId="18">
    <w:abstractNumId w:val="3"/>
  </w:num>
  <w:num w:numId="19">
    <w:abstractNumId w:val="10"/>
  </w:num>
  <w:num w:numId="20">
    <w:abstractNumId w:val="6"/>
  </w:num>
  <w:num w:numId="21">
    <w:abstractNumId w:val="1"/>
  </w:num>
  <w:num w:numId="22">
    <w:abstractNumId w:val="17"/>
  </w:num>
  <w:num w:numId="23">
    <w:abstractNumId w:val="9"/>
  </w:num>
  <w:num w:numId="24">
    <w:abstractNumId w:val="11"/>
  </w:num>
  <w:num w:numId="25">
    <w:abstractNumId w:val="2"/>
  </w:num>
  <w:num w:numId="26">
    <w:abstractNumId w:val="5"/>
  </w:num>
  <w:num w:numId="27">
    <w:abstractNumId w:val="0"/>
  </w:num>
  <w:num w:numId="28">
    <w:abstractNumId w:val="4"/>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243"/>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1F"/>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27C"/>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68"/>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594"/>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0E9"/>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5EA"/>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C98"/>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4F2C"/>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86D"/>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A17"/>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2B04"/>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343"/>
    <w:rsid w:val="009C6A81"/>
    <w:rsid w:val="009C6CC9"/>
    <w:rsid w:val="009C6F57"/>
    <w:rsid w:val="009C72DE"/>
    <w:rsid w:val="009C7589"/>
    <w:rsid w:val="009D009C"/>
    <w:rsid w:val="009D019B"/>
    <w:rsid w:val="009D01A9"/>
    <w:rsid w:val="009D04FF"/>
    <w:rsid w:val="009D06D8"/>
    <w:rsid w:val="009D0982"/>
    <w:rsid w:val="009D09EB"/>
    <w:rsid w:val="009D0CA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10"/>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02A"/>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2B2"/>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4FB3"/>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9EA"/>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0A"/>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DDC"/>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10B"/>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8E"/>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6386B"/>
    <w:rsid w:val="0167471E"/>
    <w:rsid w:val="016C53E8"/>
    <w:rsid w:val="016F1A2E"/>
    <w:rsid w:val="01707D67"/>
    <w:rsid w:val="0179796A"/>
    <w:rsid w:val="017A1F91"/>
    <w:rsid w:val="017D2B3B"/>
    <w:rsid w:val="0184127A"/>
    <w:rsid w:val="01877E8E"/>
    <w:rsid w:val="018D5C04"/>
    <w:rsid w:val="019B5B19"/>
    <w:rsid w:val="019D2B5F"/>
    <w:rsid w:val="019F2143"/>
    <w:rsid w:val="01AA45E9"/>
    <w:rsid w:val="01B04005"/>
    <w:rsid w:val="01B81AF2"/>
    <w:rsid w:val="01B8347F"/>
    <w:rsid w:val="01BA32CC"/>
    <w:rsid w:val="01BC425F"/>
    <w:rsid w:val="01CD3F24"/>
    <w:rsid w:val="01D77ED7"/>
    <w:rsid w:val="01E61A06"/>
    <w:rsid w:val="01E92270"/>
    <w:rsid w:val="01F1660E"/>
    <w:rsid w:val="01F43309"/>
    <w:rsid w:val="020834C3"/>
    <w:rsid w:val="020C2DCB"/>
    <w:rsid w:val="021501BD"/>
    <w:rsid w:val="0216677E"/>
    <w:rsid w:val="02184946"/>
    <w:rsid w:val="021C4991"/>
    <w:rsid w:val="02206671"/>
    <w:rsid w:val="02207D73"/>
    <w:rsid w:val="022137F6"/>
    <w:rsid w:val="0222608E"/>
    <w:rsid w:val="02265D55"/>
    <w:rsid w:val="02266E5D"/>
    <w:rsid w:val="0227664A"/>
    <w:rsid w:val="023245FA"/>
    <w:rsid w:val="02365154"/>
    <w:rsid w:val="02373DC2"/>
    <w:rsid w:val="024020B7"/>
    <w:rsid w:val="024954F8"/>
    <w:rsid w:val="02517A58"/>
    <w:rsid w:val="025622C9"/>
    <w:rsid w:val="02571143"/>
    <w:rsid w:val="025779F1"/>
    <w:rsid w:val="026022C9"/>
    <w:rsid w:val="02607F96"/>
    <w:rsid w:val="02644657"/>
    <w:rsid w:val="026637FA"/>
    <w:rsid w:val="026B0F71"/>
    <w:rsid w:val="026B397E"/>
    <w:rsid w:val="02747219"/>
    <w:rsid w:val="02793093"/>
    <w:rsid w:val="027C240E"/>
    <w:rsid w:val="027D027C"/>
    <w:rsid w:val="02807ABD"/>
    <w:rsid w:val="02825FB2"/>
    <w:rsid w:val="02837BB9"/>
    <w:rsid w:val="028D2B07"/>
    <w:rsid w:val="028E24FC"/>
    <w:rsid w:val="028E2B6D"/>
    <w:rsid w:val="028E74C9"/>
    <w:rsid w:val="02903F44"/>
    <w:rsid w:val="02935BFE"/>
    <w:rsid w:val="02944BA6"/>
    <w:rsid w:val="029772A7"/>
    <w:rsid w:val="029B5329"/>
    <w:rsid w:val="02A24EAC"/>
    <w:rsid w:val="02A65ED7"/>
    <w:rsid w:val="02AB3FFB"/>
    <w:rsid w:val="02AF57BA"/>
    <w:rsid w:val="02B30715"/>
    <w:rsid w:val="02B477E1"/>
    <w:rsid w:val="02B73965"/>
    <w:rsid w:val="02B752F4"/>
    <w:rsid w:val="02B75C93"/>
    <w:rsid w:val="02B91C51"/>
    <w:rsid w:val="02C31FE8"/>
    <w:rsid w:val="02C41336"/>
    <w:rsid w:val="02CB566D"/>
    <w:rsid w:val="02CD3FE0"/>
    <w:rsid w:val="02D15DD7"/>
    <w:rsid w:val="02D34FF1"/>
    <w:rsid w:val="02D50C5C"/>
    <w:rsid w:val="02DA7333"/>
    <w:rsid w:val="02DE3CC3"/>
    <w:rsid w:val="02DF32E1"/>
    <w:rsid w:val="02E60FAD"/>
    <w:rsid w:val="02F11E59"/>
    <w:rsid w:val="02F24C80"/>
    <w:rsid w:val="02F400B3"/>
    <w:rsid w:val="02F43FD5"/>
    <w:rsid w:val="02F520A6"/>
    <w:rsid w:val="02FE7720"/>
    <w:rsid w:val="02FF24ED"/>
    <w:rsid w:val="03030E62"/>
    <w:rsid w:val="03034770"/>
    <w:rsid w:val="030622C5"/>
    <w:rsid w:val="0309724D"/>
    <w:rsid w:val="030F13EA"/>
    <w:rsid w:val="03124B47"/>
    <w:rsid w:val="03144CE8"/>
    <w:rsid w:val="03166FA7"/>
    <w:rsid w:val="0318052D"/>
    <w:rsid w:val="031A5A41"/>
    <w:rsid w:val="031E68E0"/>
    <w:rsid w:val="032018C8"/>
    <w:rsid w:val="0324444A"/>
    <w:rsid w:val="033802F5"/>
    <w:rsid w:val="033F24AC"/>
    <w:rsid w:val="034B245A"/>
    <w:rsid w:val="0352534A"/>
    <w:rsid w:val="03527A17"/>
    <w:rsid w:val="035335FA"/>
    <w:rsid w:val="0356450F"/>
    <w:rsid w:val="03565327"/>
    <w:rsid w:val="03593D16"/>
    <w:rsid w:val="035A6F75"/>
    <w:rsid w:val="035A7C1B"/>
    <w:rsid w:val="035F290B"/>
    <w:rsid w:val="035F3252"/>
    <w:rsid w:val="036A3BD0"/>
    <w:rsid w:val="037B5058"/>
    <w:rsid w:val="03807DAB"/>
    <w:rsid w:val="03873A54"/>
    <w:rsid w:val="03892ABA"/>
    <w:rsid w:val="038A6707"/>
    <w:rsid w:val="03952D20"/>
    <w:rsid w:val="03965F9F"/>
    <w:rsid w:val="039C7DEF"/>
    <w:rsid w:val="03A147F7"/>
    <w:rsid w:val="03A244B5"/>
    <w:rsid w:val="03AB7D12"/>
    <w:rsid w:val="03AF6161"/>
    <w:rsid w:val="03B16C31"/>
    <w:rsid w:val="03B20B49"/>
    <w:rsid w:val="03B33D91"/>
    <w:rsid w:val="03B76643"/>
    <w:rsid w:val="03BC7AC0"/>
    <w:rsid w:val="03D71CDD"/>
    <w:rsid w:val="03D87489"/>
    <w:rsid w:val="03DA35F3"/>
    <w:rsid w:val="03DC09B2"/>
    <w:rsid w:val="03E43410"/>
    <w:rsid w:val="03F558F1"/>
    <w:rsid w:val="03FE0879"/>
    <w:rsid w:val="03FF3D9A"/>
    <w:rsid w:val="04004D99"/>
    <w:rsid w:val="04027497"/>
    <w:rsid w:val="04027EF0"/>
    <w:rsid w:val="04047236"/>
    <w:rsid w:val="040B5E04"/>
    <w:rsid w:val="040E50DA"/>
    <w:rsid w:val="041212F7"/>
    <w:rsid w:val="04176A57"/>
    <w:rsid w:val="041B5A74"/>
    <w:rsid w:val="0420621C"/>
    <w:rsid w:val="043174B0"/>
    <w:rsid w:val="043E4011"/>
    <w:rsid w:val="04414BAE"/>
    <w:rsid w:val="044E4AA1"/>
    <w:rsid w:val="04664EE1"/>
    <w:rsid w:val="04706CD7"/>
    <w:rsid w:val="04756487"/>
    <w:rsid w:val="047E4672"/>
    <w:rsid w:val="04801064"/>
    <w:rsid w:val="04830488"/>
    <w:rsid w:val="04842FF2"/>
    <w:rsid w:val="048E06FC"/>
    <w:rsid w:val="04947443"/>
    <w:rsid w:val="049534BA"/>
    <w:rsid w:val="049766A6"/>
    <w:rsid w:val="04A11ADB"/>
    <w:rsid w:val="04A31E3A"/>
    <w:rsid w:val="04A34073"/>
    <w:rsid w:val="04A66C6A"/>
    <w:rsid w:val="04A93804"/>
    <w:rsid w:val="04AB0590"/>
    <w:rsid w:val="04AC3F1E"/>
    <w:rsid w:val="04B42AAF"/>
    <w:rsid w:val="04B51667"/>
    <w:rsid w:val="04CB127E"/>
    <w:rsid w:val="04DA72AC"/>
    <w:rsid w:val="04DE7C00"/>
    <w:rsid w:val="04DF69BC"/>
    <w:rsid w:val="04E226B3"/>
    <w:rsid w:val="04E7515D"/>
    <w:rsid w:val="04E93366"/>
    <w:rsid w:val="04EF68C9"/>
    <w:rsid w:val="04F43D09"/>
    <w:rsid w:val="04F564FF"/>
    <w:rsid w:val="04F713E5"/>
    <w:rsid w:val="04F7195B"/>
    <w:rsid w:val="04FC7151"/>
    <w:rsid w:val="050350F8"/>
    <w:rsid w:val="05161870"/>
    <w:rsid w:val="05170BBC"/>
    <w:rsid w:val="05184428"/>
    <w:rsid w:val="051A5574"/>
    <w:rsid w:val="05230410"/>
    <w:rsid w:val="052445C5"/>
    <w:rsid w:val="05315285"/>
    <w:rsid w:val="053C4F29"/>
    <w:rsid w:val="05412018"/>
    <w:rsid w:val="054B5430"/>
    <w:rsid w:val="05574EC8"/>
    <w:rsid w:val="055E0D42"/>
    <w:rsid w:val="055E53F1"/>
    <w:rsid w:val="055E5CFF"/>
    <w:rsid w:val="05614226"/>
    <w:rsid w:val="05663426"/>
    <w:rsid w:val="05693F8C"/>
    <w:rsid w:val="05743112"/>
    <w:rsid w:val="05792786"/>
    <w:rsid w:val="057A3E53"/>
    <w:rsid w:val="057D0F08"/>
    <w:rsid w:val="05801B11"/>
    <w:rsid w:val="0587265C"/>
    <w:rsid w:val="058F1989"/>
    <w:rsid w:val="05920980"/>
    <w:rsid w:val="05986C25"/>
    <w:rsid w:val="05A11C07"/>
    <w:rsid w:val="05A1376A"/>
    <w:rsid w:val="05A14873"/>
    <w:rsid w:val="05A572A8"/>
    <w:rsid w:val="05A6076A"/>
    <w:rsid w:val="05A67A7B"/>
    <w:rsid w:val="05AA3DD4"/>
    <w:rsid w:val="05AF4D49"/>
    <w:rsid w:val="05B01635"/>
    <w:rsid w:val="05B75055"/>
    <w:rsid w:val="05BA5EF0"/>
    <w:rsid w:val="05BC5506"/>
    <w:rsid w:val="05C949FB"/>
    <w:rsid w:val="05D2520B"/>
    <w:rsid w:val="05D85B25"/>
    <w:rsid w:val="05E22C45"/>
    <w:rsid w:val="05E625E2"/>
    <w:rsid w:val="05EF29B1"/>
    <w:rsid w:val="05F01E2F"/>
    <w:rsid w:val="05F447F5"/>
    <w:rsid w:val="05F53335"/>
    <w:rsid w:val="05FF451B"/>
    <w:rsid w:val="060361C4"/>
    <w:rsid w:val="06072B25"/>
    <w:rsid w:val="06073107"/>
    <w:rsid w:val="060C1575"/>
    <w:rsid w:val="061C10CF"/>
    <w:rsid w:val="06222386"/>
    <w:rsid w:val="062D3B55"/>
    <w:rsid w:val="062E76F9"/>
    <w:rsid w:val="06301A1D"/>
    <w:rsid w:val="0635512F"/>
    <w:rsid w:val="063F0605"/>
    <w:rsid w:val="064279D2"/>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A871BD"/>
    <w:rsid w:val="06B33312"/>
    <w:rsid w:val="06B84F2B"/>
    <w:rsid w:val="06C349D5"/>
    <w:rsid w:val="06C47F0F"/>
    <w:rsid w:val="06C64DC2"/>
    <w:rsid w:val="06C824F0"/>
    <w:rsid w:val="06C95F58"/>
    <w:rsid w:val="06D50ECC"/>
    <w:rsid w:val="06D541A8"/>
    <w:rsid w:val="06D63647"/>
    <w:rsid w:val="06D85059"/>
    <w:rsid w:val="06D87730"/>
    <w:rsid w:val="06D97305"/>
    <w:rsid w:val="06E44298"/>
    <w:rsid w:val="06E45B8E"/>
    <w:rsid w:val="06E62399"/>
    <w:rsid w:val="06EA47C2"/>
    <w:rsid w:val="06EB3DBC"/>
    <w:rsid w:val="07043657"/>
    <w:rsid w:val="070902E0"/>
    <w:rsid w:val="070C2762"/>
    <w:rsid w:val="07197EC4"/>
    <w:rsid w:val="071E49B8"/>
    <w:rsid w:val="072437B4"/>
    <w:rsid w:val="072E22EE"/>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37045"/>
    <w:rsid w:val="07842814"/>
    <w:rsid w:val="07860886"/>
    <w:rsid w:val="07866004"/>
    <w:rsid w:val="078A2DBA"/>
    <w:rsid w:val="078C505F"/>
    <w:rsid w:val="078D0F6F"/>
    <w:rsid w:val="079F4BBC"/>
    <w:rsid w:val="07AE279F"/>
    <w:rsid w:val="07B04FBA"/>
    <w:rsid w:val="07B22D71"/>
    <w:rsid w:val="07B35316"/>
    <w:rsid w:val="07B50461"/>
    <w:rsid w:val="07B6661D"/>
    <w:rsid w:val="07B9334A"/>
    <w:rsid w:val="07BA1371"/>
    <w:rsid w:val="07BE30FF"/>
    <w:rsid w:val="07C46B94"/>
    <w:rsid w:val="07C6720A"/>
    <w:rsid w:val="07CF283A"/>
    <w:rsid w:val="07D236A3"/>
    <w:rsid w:val="07D31E6A"/>
    <w:rsid w:val="07D83F95"/>
    <w:rsid w:val="07E421DD"/>
    <w:rsid w:val="07E45CD3"/>
    <w:rsid w:val="07E8690E"/>
    <w:rsid w:val="07F22CA1"/>
    <w:rsid w:val="07F326C5"/>
    <w:rsid w:val="07F85A7A"/>
    <w:rsid w:val="07FE365F"/>
    <w:rsid w:val="07FF7CEA"/>
    <w:rsid w:val="08002E51"/>
    <w:rsid w:val="08015370"/>
    <w:rsid w:val="08025653"/>
    <w:rsid w:val="080336F5"/>
    <w:rsid w:val="080462BF"/>
    <w:rsid w:val="08054515"/>
    <w:rsid w:val="080912E8"/>
    <w:rsid w:val="080D605F"/>
    <w:rsid w:val="080D7636"/>
    <w:rsid w:val="080E260A"/>
    <w:rsid w:val="080F069F"/>
    <w:rsid w:val="08144360"/>
    <w:rsid w:val="081649D6"/>
    <w:rsid w:val="081A3A01"/>
    <w:rsid w:val="081E260E"/>
    <w:rsid w:val="08241EC9"/>
    <w:rsid w:val="082E1DFF"/>
    <w:rsid w:val="08312CAD"/>
    <w:rsid w:val="083256C2"/>
    <w:rsid w:val="08364F60"/>
    <w:rsid w:val="083A107C"/>
    <w:rsid w:val="083B6FD7"/>
    <w:rsid w:val="083D5C17"/>
    <w:rsid w:val="08456A02"/>
    <w:rsid w:val="08496D27"/>
    <w:rsid w:val="08550511"/>
    <w:rsid w:val="085554B6"/>
    <w:rsid w:val="08555F4F"/>
    <w:rsid w:val="08591F17"/>
    <w:rsid w:val="085A327F"/>
    <w:rsid w:val="085A7F73"/>
    <w:rsid w:val="085C4043"/>
    <w:rsid w:val="085F3482"/>
    <w:rsid w:val="0863266D"/>
    <w:rsid w:val="08657BB7"/>
    <w:rsid w:val="086730AF"/>
    <w:rsid w:val="086E23B2"/>
    <w:rsid w:val="086E242C"/>
    <w:rsid w:val="0873143F"/>
    <w:rsid w:val="087D41CA"/>
    <w:rsid w:val="088469C4"/>
    <w:rsid w:val="0891400A"/>
    <w:rsid w:val="08925983"/>
    <w:rsid w:val="089646A7"/>
    <w:rsid w:val="089674C7"/>
    <w:rsid w:val="089F1422"/>
    <w:rsid w:val="08A860E6"/>
    <w:rsid w:val="08AB0479"/>
    <w:rsid w:val="08B37166"/>
    <w:rsid w:val="08B77A81"/>
    <w:rsid w:val="08B82642"/>
    <w:rsid w:val="08C0320F"/>
    <w:rsid w:val="08C2072B"/>
    <w:rsid w:val="08C24691"/>
    <w:rsid w:val="08CB62DF"/>
    <w:rsid w:val="08CD0222"/>
    <w:rsid w:val="08D079F7"/>
    <w:rsid w:val="08D91C5D"/>
    <w:rsid w:val="08E80EB1"/>
    <w:rsid w:val="08E968D8"/>
    <w:rsid w:val="08ED243B"/>
    <w:rsid w:val="08EF26B2"/>
    <w:rsid w:val="08F808F8"/>
    <w:rsid w:val="090304DE"/>
    <w:rsid w:val="090341C1"/>
    <w:rsid w:val="0904269C"/>
    <w:rsid w:val="09080360"/>
    <w:rsid w:val="091254BA"/>
    <w:rsid w:val="091619D6"/>
    <w:rsid w:val="091B7BE0"/>
    <w:rsid w:val="09203AED"/>
    <w:rsid w:val="09352021"/>
    <w:rsid w:val="09395883"/>
    <w:rsid w:val="093C12D3"/>
    <w:rsid w:val="093C303C"/>
    <w:rsid w:val="093C6509"/>
    <w:rsid w:val="094031B7"/>
    <w:rsid w:val="09417C10"/>
    <w:rsid w:val="09477F2D"/>
    <w:rsid w:val="094C56ED"/>
    <w:rsid w:val="094E297A"/>
    <w:rsid w:val="095A5849"/>
    <w:rsid w:val="095E39CB"/>
    <w:rsid w:val="097731C0"/>
    <w:rsid w:val="097D0261"/>
    <w:rsid w:val="097D7FFF"/>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832AE"/>
    <w:rsid w:val="09FB29F2"/>
    <w:rsid w:val="09FE046E"/>
    <w:rsid w:val="0A0C0C06"/>
    <w:rsid w:val="0A0D1879"/>
    <w:rsid w:val="0A1A09D5"/>
    <w:rsid w:val="0A1F3A9B"/>
    <w:rsid w:val="0A213D44"/>
    <w:rsid w:val="0A2278D3"/>
    <w:rsid w:val="0A253B43"/>
    <w:rsid w:val="0A256377"/>
    <w:rsid w:val="0A256C53"/>
    <w:rsid w:val="0A34296C"/>
    <w:rsid w:val="0A370408"/>
    <w:rsid w:val="0A3E1048"/>
    <w:rsid w:val="0A431615"/>
    <w:rsid w:val="0A4613B1"/>
    <w:rsid w:val="0A5B43BC"/>
    <w:rsid w:val="0A5F71CD"/>
    <w:rsid w:val="0A660DD4"/>
    <w:rsid w:val="0A664FFC"/>
    <w:rsid w:val="0A83691D"/>
    <w:rsid w:val="0A8C7DA8"/>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AF555BA"/>
    <w:rsid w:val="0B03601B"/>
    <w:rsid w:val="0B0D567B"/>
    <w:rsid w:val="0B1308EF"/>
    <w:rsid w:val="0B292D30"/>
    <w:rsid w:val="0B2F3694"/>
    <w:rsid w:val="0B304FB1"/>
    <w:rsid w:val="0B380C7D"/>
    <w:rsid w:val="0B3C4010"/>
    <w:rsid w:val="0B3F22DA"/>
    <w:rsid w:val="0B47672B"/>
    <w:rsid w:val="0B484A0F"/>
    <w:rsid w:val="0B4A58D1"/>
    <w:rsid w:val="0B50319E"/>
    <w:rsid w:val="0B553C0D"/>
    <w:rsid w:val="0B591453"/>
    <w:rsid w:val="0B5F33CA"/>
    <w:rsid w:val="0B615B13"/>
    <w:rsid w:val="0B717EE5"/>
    <w:rsid w:val="0B7205C3"/>
    <w:rsid w:val="0B7356F2"/>
    <w:rsid w:val="0B7E5229"/>
    <w:rsid w:val="0B7F2FA8"/>
    <w:rsid w:val="0B860844"/>
    <w:rsid w:val="0B863002"/>
    <w:rsid w:val="0B8D6AD8"/>
    <w:rsid w:val="0B937EFF"/>
    <w:rsid w:val="0B9C4929"/>
    <w:rsid w:val="0B9E69B8"/>
    <w:rsid w:val="0BA166AE"/>
    <w:rsid w:val="0BA411F0"/>
    <w:rsid w:val="0BA666AA"/>
    <w:rsid w:val="0BA87F9D"/>
    <w:rsid w:val="0BAC22AF"/>
    <w:rsid w:val="0BB23F15"/>
    <w:rsid w:val="0BB36CF9"/>
    <w:rsid w:val="0BB727AF"/>
    <w:rsid w:val="0BB84C77"/>
    <w:rsid w:val="0BBC484C"/>
    <w:rsid w:val="0BC90E22"/>
    <w:rsid w:val="0BC9496C"/>
    <w:rsid w:val="0BCA38D8"/>
    <w:rsid w:val="0BCF0317"/>
    <w:rsid w:val="0BCF40E1"/>
    <w:rsid w:val="0BD3377D"/>
    <w:rsid w:val="0BD75512"/>
    <w:rsid w:val="0BDD7F90"/>
    <w:rsid w:val="0BEC0BDE"/>
    <w:rsid w:val="0BF3046B"/>
    <w:rsid w:val="0BFF0D11"/>
    <w:rsid w:val="0C0A09D9"/>
    <w:rsid w:val="0C0A27E8"/>
    <w:rsid w:val="0C183642"/>
    <w:rsid w:val="0C1B23F1"/>
    <w:rsid w:val="0C1C0679"/>
    <w:rsid w:val="0C1E7B04"/>
    <w:rsid w:val="0C2607FA"/>
    <w:rsid w:val="0C2A7806"/>
    <w:rsid w:val="0C2D49F6"/>
    <w:rsid w:val="0C2E3322"/>
    <w:rsid w:val="0C2F4935"/>
    <w:rsid w:val="0C2F5FE9"/>
    <w:rsid w:val="0C384F0C"/>
    <w:rsid w:val="0C3F7CD1"/>
    <w:rsid w:val="0C484AC7"/>
    <w:rsid w:val="0C4867F4"/>
    <w:rsid w:val="0C4B6F82"/>
    <w:rsid w:val="0C5613A8"/>
    <w:rsid w:val="0C60611E"/>
    <w:rsid w:val="0C6803A4"/>
    <w:rsid w:val="0C6F3FB2"/>
    <w:rsid w:val="0C6F5A31"/>
    <w:rsid w:val="0C7565D7"/>
    <w:rsid w:val="0C7B7987"/>
    <w:rsid w:val="0C7E6C90"/>
    <w:rsid w:val="0C816FA3"/>
    <w:rsid w:val="0C8702A6"/>
    <w:rsid w:val="0C8B6344"/>
    <w:rsid w:val="0C922493"/>
    <w:rsid w:val="0C923341"/>
    <w:rsid w:val="0C9D6BDF"/>
    <w:rsid w:val="0CA352C8"/>
    <w:rsid w:val="0CA70AC6"/>
    <w:rsid w:val="0CA83EB4"/>
    <w:rsid w:val="0CB61F18"/>
    <w:rsid w:val="0CB708F8"/>
    <w:rsid w:val="0CBB22BB"/>
    <w:rsid w:val="0CC50305"/>
    <w:rsid w:val="0CC60211"/>
    <w:rsid w:val="0CC837F8"/>
    <w:rsid w:val="0CCB6408"/>
    <w:rsid w:val="0CCC07CB"/>
    <w:rsid w:val="0CD17287"/>
    <w:rsid w:val="0CDF07BC"/>
    <w:rsid w:val="0CDF6E27"/>
    <w:rsid w:val="0CE141F4"/>
    <w:rsid w:val="0CE25D9A"/>
    <w:rsid w:val="0CE32A7B"/>
    <w:rsid w:val="0CE669A3"/>
    <w:rsid w:val="0CE95F8D"/>
    <w:rsid w:val="0CEE2AA0"/>
    <w:rsid w:val="0CF031C9"/>
    <w:rsid w:val="0CF166CC"/>
    <w:rsid w:val="0CF43242"/>
    <w:rsid w:val="0CF43BFB"/>
    <w:rsid w:val="0CF85CDC"/>
    <w:rsid w:val="0CFB1D7E"/>
    <w:rsid w:val="0D020B05"/>
    <w:rsid w:val="0D026291"/>
    <w:rsid w:val="0D0740D8"/>
    <w:rsid w:val="0D1036FE"/>
    <w:rsid w:val="0D1679D7"/>
    <w:rsid w:val="0D1C42F8"/>
    <w:rsid w:val="0D1E4F72"/>
    <w:rsid w:val="0D2E53D6"/>
    <w:rsid w:val="0D2F6CD3"/>
    <w:rsid w:val="0D2F722D"/>
    <w:rsid w:val="0D3374CA"/>
    <w:rsid w:val="0D362085"/>
    <w:rsid w:val="0D3D5B51"/>
    <w:rsid w:val="0D4238F0"/>
    <w:rsid w:val="0D484C76"/>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9389B"/>
    <w:rsid w:val="0DBD6735"/>
    <w:rsid w:val="0DBE4F1A"/>
    <w:rsid w:val="0DBF42D1"/>
    <w:rsid w:val="0DC31756"/>
    <w:rsid w:val="0DCF181B"/>
    <w:rsid w:val="0DD52FD6"/>
    <w:rsid w:val="0DDC54EB"/>
    <w:rsid w:val="0DE54E2C"/>
    <w:rsid w:val="0DEB3281"/>
    <w:rsid w:val="0DF75661"/>
    <w:rsid w:val="0DFA5F57"/>
    <w:rsid w:val="0DFB3680"/>
    <w:rsid w:val="0E007907"/>
    <w:rsid w:val="0E034917"/>
    <w:rsid w:val="0E0447AC"/>
    <w:rsid w:val="0E0A57DB"/>
    <w:rsid w:val="0E0C5E7B"/>
    <w:rsid w:val="0E0D5E06"/>
    <w:rsid w:val="0E1D3F18"/>
    <w:rsid w:val="0E214219"/>
    <w:rsid w:val="0E3020F4"/>
    <w:rsid w:val="0E372947"/>
    <w:rsid w:val="0E3A22CB"/>
    <w:rsid w:val="0E3D61CC"/>
    <w:rsid w:val="0E425AF0"/>
    <w:rsid w:val="0E43748B"/>
    <w:rsid w:val="0E487C99"/>
    <w:rsid w:val="0E4F1EA9"/>
    <w:rsid w:val="0E5E7848"/>
    <w:rsid w:val="0E63143D"/>
    <w:rsid w:val="0E654BED"/>
    <w:rsid w:val="0E7218B8"/>
    <w:rsid w:val="0E7259F4"/>
    <w:rsid w:val="0E735BA0"/>
    <w:rsid w:val="0E7660EA"/>
    <w:rsid w:val="0E790AF4"/>
    <w:rsid w:val="0E830BEC"/>
    <w:rsid w:val="0E832048"/>
    <w:rsid w:val="0E87643A"/>
    <w:rsid w:val="0E905D06"/>
    <w:rsid w:val="0E96169C"/>
    <w:rsid w:val="0EA3211D"/>
    <w:rsid w:val="0EA57ECD"/>
    <w:rsid w:val="0EA647D6"/>
    <w:rsid w:val="0EA76C97"/>
    <w:rsid w:val="0EAC5F31"/>
    <w:rsid w:val="0EAE32CA"/>
    <w:rsid w:val="0EBA1AD0"/>
    <w:rsid w:val="0EBC1184"/>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247A9"/>
    <w:rsid w:val="0F29096F"/>
    <w:rsid w:val="0F2A0C7E"/>
    <w:rsid w:val="0F2A2880"/>
    <w:rsid w:val="0F3022D4"/>
    <w:rsid w:val="0F305B73"/>
    <w:rsid w:val="0F414017"/>
    <w:rsid w:val="0F440986"/>
    <w:rsid w:val="0F492403"/>
    <w:rsid w:val="0F4B2C4C"/>
    <w:rsid w:val="0F4F1996"/>
    <w:rsid w:val="0F4F6964"/>
    <w:rsid w:val="0F533C79"/>
    <w:rsid w:val="0F534A37"/>
    <w:rsid w:val="0F5568FA"/>
    <w:rsid w:val="0F5876DF"/>
    <w:rsid w:val="0F587F40"/>
    <w:rsid w:val="0F5F4256"/>
    <w:rsid w:val="0F6A28D6"/>
    <w:rsid w:val="0F6B6C2D"/>
    <w:rsid w:val="0F713F3B"/>
    <w:rsid w:val="0F842CEB"/>
    <w:rsid w:val="0F8D5715"/>
    <w:rsid w:val="0F9A5E68"/>
    <w:rsid w:val="0F9E5674"/>
    <w:rsid w:val="0FA4540E"/>
    <w:rsid w:val="0FA61643"/>
    <w:rsid w:val="0FA73FBA"/>
    <w:rsid w:val="0FA93488"/>
    <w:rsid w:val="0FB33CD1"/>
    <w:rsid w:val="0FB445B0"/>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941FD"/>
    <w:rsid w:val="100E6202"/>
    <w:rsid w:val="10161F22"/>
    <w:rsid w:val="101B771C"/>
    <w:rsid w:val="102171E2"/>
    <w:rsid w:val="102D3950"/>
    <w:rsid w:val="103023B5"/>
    <w:rsid w:val="103354CD"/>
    <w:rsid w:val="10362111"/>
    <w:rsid w:val="103D6C5C"/>
    <w:rsid w:val="103E1E10"/>
    <w:rsid w:val="10411FB1"/>
    <w:rsid w:val="1042596A"/>
    <w:rsid w:val="10475958"/>
    <w:rsid w:val="10496CCE"/>
    <w:rsid w:val="104B50EC"/>
    <w:rsid w:val="104F09AB"/>
    <w:rsid w:val="10612000"/>
    <w:rsid w:val="10666875"/>
    <w:rsid w:val="10666E09"/>
    <w:rsid w:val="10673557"/>
    <w:rsid w:val="106B4E90"/>
    <w:rsid w:val="10736865"/>
    <w:rsid w:val="10742538"/>
    <w:rsid w:val="107454FF"/>
    <w:rsid w:val="107816E8"/>
    <w:rsid w:val="107D50B8"/>
    <w:rsid w:val="107E075F"/>
    <w:rsid w:val="108016CB"/>
    <w:rsid w:val="108529DC"/>
    <w:rsid w:val="109A07DA"/>
    <w:rsid w:val="10A1301E"/>
    <w:rsid w:val="10A1582F"/>
    <w:rsid w:val="10A23EB3"/>
    <w:rsid w:val="10A734BA"/>
    <w:rsid w:val="10AA4ADC"/>
    <w:rsid w:val="10AD361E"/>
    <w:rsid w:val="10B30DAF"/>
    <w:rsid w:val="10B30E4A"/>
    <w:rsid w:val="10B860D2"/>
    <w:rsid w:val="10B93863"/>
    <w:rsid w:val="10BC78B7"/>
    <w:rsid w:val="10BD5956"/>
    <w:rsid w:val="10C05732"/>
    <w:rsid w:val="10CC555A"/>
    <w:rsid w:val="10CF26FE"/>
    <w:rsid w:val="10D13D78"/>
    <w:rsid w:val="10D83495"/>
    <w:rsid w:val="10D92410"/>
    <w:rsid w:val="10E25EFD"/>
    <w:rsid w:val="10E601B6"/>
    <w:rsid w:val="10E84F60"/>
    <w:rsid w:val="10E94A81"/>
    <w:rsid w:val="10F3405F"/>
    <w:rsid w:val="10F37D29"/>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756AF3"/>
    <w:rsid w:val="11872BEF"/>
    <w:rsid w:val="118905F0"/>
    <w:rsid w:val="118A1119"/>
    <w:rsid w:val="11910A79"/>
    <w:rsid w:val="11936AA2"/>
    <w:rsid w:val="119C1A45"/>
    <w:rsid w:val="11A52A41"/>
    <w:rsid w:val="11B62C43"/>
    <w:rsid w:val="11B849F1"/>
    <w:rsid w:val="11BB57F0"/>
    <w:rsid w:val="11C0779D"/>
    <w:rsid w:val="11C43BC4"/>
    <w:rsid w:val="11CB131E"/>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82912"/>
    <w:rsid w:val="122B739A"/>
    <w:rsid w:val="12307316"/>
    <w:rsid w:val="123C0E5F"/>
    <w:rsid w:val="12430446"/>
    <w:rsid w:val="12442232"/>
    <w:rsid w:val="12450619"/>
    <w:rsid w:val="124C6206"/>
    <w:rsid w:val="124D2192"/>
    <w:rsid w:val="124F34BD"/>
    <w:rsid w:val="12554B80"/>
    <w:rsid w:val="125D56D7"/>
    <w:rsid w:val="125E75D4"/>
    <w:rsid w:val="12623B20"/>
    <w:rsid w:val="126252E2"/>
    <w:rsid w:val="126A59FE"/>
    <w:rsid w:val="126B471D"/>
    <w:rsid w:val="126D3D3C"/>
    <w:rsid w:val="126E5F20"/>
    <w:rsid w:val="127200FB"/>
    <w:rsid w:val="12735F26"/>
    <w:rsid w:val="12771A0C"/>
    <w:rsid w:val="1289061C"/>
    <w:rsid w:val="128944E1"/>
    <w:rsid w:val="128B54AD"/>
    <w:rsid w:val="128E77C3"/>
    <w:rsid w:val="12A2166D"/>
    <w:rsid w:val="12B02EE1"/>
    <w:rsid w:val="12B10B2F"/>
    <w:rsid w:val="12B560E2"/>
    <w:rsid w:val="12BF1CEB"/>
    <w:rsid w:val="12C9719C"/>
    <w:rsid w:val="12CF15C3"/>
    <w:rsid w:val="12CF5BE4"/>
    <w:rsid w:val="12D17323"/>
    <w:rsid w:val="12DA7FC3"/>
    <w:rsid w:val="12E20408"/>
    <w:rsid w:val="12EB0579"/>
    <w:rsid w:val="12EB7968"/>
    <w:rsid w:val="12EC4418"/>
    <w:rsid w:val="12F07D1F"/>
    <w:rsid w:val="12F3505A"/>
    <w:rsid w:val="12F9759B"/>
    <w:rsid w:val="12FA6B3F"/>
    <w:rsid w:val="12FF3379"/>
    <w:rsid w:val="13060F56"/>
    <w:rsid w:val="130B479A"/>
    <w:rsid w:val="130D1138"/>
    <w:rsid w:val="130D31CD"/>
    <w:rsid w:val="13121F8D"/>
    <w:rsid w:val="1312735C"/>
    <w:rsid w:val="13127DB7"/>
    <w:rsid w:val="131524C9"/>
    <w:rsid w:val="13164834"/>
    <w:rsid w:val="13170AE0"/>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15532"/>
    <w:rsid w:val="13522929"/>
    <w:rsid w:val="135A4701"/>
    <w:rsid w:val="136815B8"/>
    <w:rsid w:val="137106A9"/>
    <w:rsid w:val="13724D72"/>
    <w:rsid w:val="13785CA1"/>
    <w:rsid w:val="139325D2"/>
    <w:rsid w:val="13957328"/>
    <w:rsid w:val="13974F39"/>
    <w:rsid w:val="139C585C"/>
    <w:rsid w:val="13A31680"/>
    <w:rsid w:val="13A37644"/>
    <w:rsid w:val="13A44EE2"/>
    <w:rsid w:val="13A9574B"/>
    <w:rsid w:val="13AD755A"/>
    <w:rsid w:val="13AF0C48"/>
    <w:rsid w:val="13B445A9"/>
    <w:rsid w:val="13B4794F"/>
    <w:rsid w:val="13B7231A"/>
    <w:rsid w:val="13B947C5"/>
    <w:rsid w:val="13BA0FD2"/>
    <w:rsid w:val="13BB3A0D"/>
    <w:rsid w:val="13C30BF9"/>
    <w:rsid w:val="13D0234B"/>
    <w:rsid w:val="13D146C1"/>
    <w:rsid w:val="13D377DE"/>
    <w:rsid w:val="13D74458"/>
    <w:rsid w:val="13DA3606"/>
    <w:rsid w:val="13DB1682"/>
    <w:rsid w:val="13DC5FA1"/>
    <w:rsid w:val="13DD2063"/>
    <w:rsid w:val="13DE787C"/>
    <w:rsid w:val="13E04354"/>
    <w:rsid w:val="13E538AC"/>
    <w:rsid w:val="13E578CE"/>
    <w:rsid w:val="13F111E6"/>
    <w:rsid w:val="13F118C1"/>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0F7"/>
    <w:rsid w:val="14475F7B"/>
    <w:rsid w:val="1448778F"/>
    <w:rsid w:val="144B305C"/>
    <w:rsid w:val="144E223D"/>
    <w:rsid w:val="14557965"/>
    <w:rsid w:val="14560A87"/>
    <w:rsid w:val="145B672D"/>
    <w:rsid w:val="146732F3"/>
    <w:rsid w:val="146C5DC3"/>
    <w:rsid w:val="1475406C"/>
    <w:rsid w:val="147927CD"/>
    <w:rsid w:val="147C3557"/>
    <w:rsid w:val="147E5940"/>
    <w:rsid w:val="147F6EAF"/>
    <w:rsid w:val="147F7E60"/>
    <w:rsid w:val="14895FD7"/>
    <w:rsid w:val="148D5B33"/>
    <w:rsid w:val="148D6AFA"/>
    <w:rsid w:val="148E0E0F"/>
    <w:rsid w:val="149173D4"/>
    <w:rsid w:val="149414DE"/>
    <w:rsid w:val="14967024"/>
    <w:rsid w:val="14981701"/>
    <w:rsid w:val="149D5A8D"/>
    <w:rsid w:val="149F6938"/>
    <w:rsid w:val="14A01FF6"/>
    <w:rsid w:val="14A20472"/>
    <w:rsid w:val="14A40A32"/>
    <w:rsid w:val="14B37A0C"/>
    <w:rsid w:val="14BD5410"/>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9770F"/>
    <w:rsid w:val="151A4DCE"/>
    <w:rsid w:val="151D2EDA"/>
    <w:rsid w:val="152475EF"/>
    <w:rsid w:val="152C6456"/>
    <w:rsid w:val="152C7D6F"/>
    <w:rsid w:val="15327296"/>
    <w:rsid w:val="153E70B1"/>
    <w:rsid w:val="15434E2C"/>
    <w:rsid w:val="15452855"/>
    <w:rsid w:val="15455C66"/>
    <w:rsid w:val="15524FA7"/>
    <w:rsid w:val="15532760"/>
    <w:rsid w:val="155B2748"/>
    <w:rsid w:val="15614B7E"/>
    <w:rsid w:val="1565291E"/>
    <w:rsid w:val="15683B2E"/>
    <w:rsid w:val="15686D2B"/>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C3F9C"/>
    <w:rsid w:val="15AF6692"/>
    <w:rsid w:val="15B14DFF"/>
    <w:rsid w:val="15B164E8"/>
    <w:rsid w:val="15B62848"/>
    <w:rsid w:val="15BD2774"/>
    <w:rsid w:val="15CA50D8"/>
    <w:rsid w:val="15CB70AE"/>
    <w:rsid w:val="15CE3040"/>
    <w:rsid w:val="15D572A3"/>
    <w:rsid w:val="15D75AD0"/>
    <w:rsid w:val="15D8653E"/>
    <w:rsid w:val="15D90292"/>
    <w:rsid w:val="15DD3466"/>
    <w:rsid w:val="15DE4F45"/>
    <w:rsid w:val="15E8344F"/>
    <w:rsid w:val="15EE4ED6"/>
    <w:rsid w:val="15EE77CF"/>
    <w:rsid w:val="15F03B25"/>
    <w:rsid w:val="1600565C"/>
    <w:rsid w:val="16030670"/>
    <w:rsid w:val="160D1773"/>
    <w:rsid w:val="160D41D9"/>
    <w:rsid w:val="162033FA"/>
    <w:rsid w:val="16233D48"/>
    <w:rsid w:val="16252961"/>
    <w:rsid w:val="16412A74"/>
    <w:rsid w:val="16415466"/>
    <w:rsid w:val="16423C1A"/>
    <w:rsid w:val="164D407F"/>
    <w:rsid w:val="164F4E6C"/>
    <w:rsid w:val="16583794"/>
    <w:rsid w:val="165A5E90"/>
    <w:rsid w:val="165B5705"/>
    <w:rsid w:val="166069D0"/>
    <w:rsid w:val="16640371"/>
    <w:rsid w:val="16665605"/>
    <w:rsid w:val="166754B4"/>
    <w:rsid w:val="166B3BEF"/>
    <w:rsid w:val="16752080"/>
    <w:rsid w:val="1678039A"/>
    <w:rsid w:val="167C3E2A"/>
    <w:rsid w:val="168154F8"/>
    <w:rsid w:val="16871048"/>
    <w:rsid w:val="168C7C83"/>
    <w:rsid w:val="168D22C4"/>
    <w:rsid w:val="168F70D3"/>
    <w:rsid w:val="168F7627"/>
    <w:rsid w:val="1691523A"/>
    <w:rsid w:val="16981AF5"/>
    <w:rsid w:val="169907AD"/>
    <w:rsid w:val="16A1115C"/>
    <w:rsid w:val="16A13667"/>
    <w:rsid w:val="16A41FC2"/>
    <w:rsid w:val="16A50176"/>
    <w:rsid w:val="16AC051E"/>
    <w:rsid w:val="16B30761"/>
    <w:rsid w:val="16B57ABA"/>
    <w:rsid w:val="16B766B8"/>
    <w:rsid w:val="16BC1E0A"/>
    <w:rsid w:val="16C03589"/>
    <w:rsid w:val="16C57940"/>
    <w:rsid w:val="16C9790B"/>
    <w:rsid w:val="16CB0642"/>
    <w:rsid w:val="16CB60EA"/>
    <w:rsid w:val="16D23EF5"/>
    <w:rsid w:val="16D639FB"/>
    <w:rsid w:val="16DF50D5"/>
    <w:rsid w:val="16E67996"/>
    <w:rsid w:val="16ED3305"/>
    <w:rsid w:val="16EF553C"/>
    <w:rsid w:val="16F65D2C"/>
    <w:rsid w:val="16FB4F5A"/>
    <w:rsid w:val="16FC35EC"/>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2161A"/>
    <w:rsid w:val="17766358"/>
    <w:rsid w:val="177837B6"/>
    <w:rsid w:val="177D0859"/>
    <w:rsid w:val="178064E8"/>
    <w:rsid w:val="178202C9"/>
    <w:rsid w:val="178513E5"/>
    <w:rsid w:val="17853C6A"/>
    <w:rsid w:val="17896473"/>
    <w:rsid w:val="178B22F7"/>
    <w:rsid w:val="1790766F"/>
    <w:rsid w:val="179761FE"/>
    <w:rsid w:val="179D3102"/>
    <w:rsid w:val="17A37A6E"/>
    <w:rsid w:val="17A43B58"/>
    <w:rsid w:val="17A60277"/>
    <w:rsid w:val="17AC1C02"/>
    <w:rsid w:val="17B07959"/>
    <w:rsid w:val="17B304A8"/>
    <w:rsid w:val="17B35A37"/>
    <w:rsid w:val="17BA3DF4"/>
    <w:rsid w:val="17C05296"/>
    <w:rsid w:val="17C16DEF"/>
    <w:rsid w:val="17D5010B"/>
    <w:rsid w:val="17D86F47"/>
    <w:rsid w:val="17E060B6"/>
    <w:rsid w:val="17E21F4E"/>
    <w:rsid w:val="17E562A4"/>
    <w:rsid w:val="17EA3230"/>
    <w:rsid w:val="17EB7496"/>
    <w:rsid w:val="17F52E5D"/>
    <w:rsid w:val="17F5647B"/>
    <w:rsid w:val="17FA1255"/>
    <w:rsid w:val="17FF3BD2"/>
    <w:rsid w:val="18020AA1"/>
    <w:rsid w:val="180508AC"/>
    <w:rsid w:val="18087D14"/>
    <w:rsid w:val="180A0F6B"/>
    <w:rsid w:val="180A4025"/>
    <w:rsid w:val="18104CC4"/>
    <w:rsid w:val="18136CFA"/>
    <w:rsid w:val="181F3664"/>
    <w:rsid w:val="182B1090"/>
    <w:rsid w:val="182F6BE1"/>
    <w:rsid w:val="18345DD0"/>
    <w:rsid w:val="184043FA"/>
    <w:rsid w:val="184F75A9"/>
    <w:rsid w:val="18512C49"/>
    <w:rsid w:val="185A308D"/>
    <w:rsid w:val="185E59BD"/>
    <w:rsid w:val="186053E8"/>
    <w:rsid w:val="18647C6E"/>
    <w:rsid w:val="186503AC"/>
    <w:rsid w:val="18664068"/>
    <w:rsid w:val="186851F6"/>
    <w:rsid w:val="186E3500"/>
    <w:rsid w:val="186F3D2C"/>
    <w:rsid w:val="186F4289"/>
    <w:rsid w:val="187A461B"/>
    <w:rsid w:val="187C114A"/>
    <w:rsid w:val="187E2380"/>
    <w:rsid w:val="18821AB9"/>
    <w:rsid w:val="18822361"/>
    <w:rsid w:val="18834D66"/>
    <w:rsid w:val="1884739C"/>
    <w:rsid w:val="18881A32"/>
    <w:rsid w:val="18984110"/>
    <w:rsid w:val="18A8268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42452"/>
    <w:rsid w:val="18EE510F"/>
    <w:rsid w:val="18F25180"/>
    <w:rsid w:val="18F37F5B"/>
    <w:rsid w:val="18F731F3"/>
    <w:rsid w:val="19003E45"/>
    <w:rsid w:val="190715D8"/>
    <w:rsid w:val="190A3672"/>
    <w:rsid w:val="190C3BCF"/>
    <w:rsid w:val="192067A6"/>
    <w:rsid w:val="193711A2"/>
    <w:rsid w:val="19412878"/>
    <w:rsid w:val="1941417E"/>
    <w:rsid w:val="19453458"/>
    <w:rsid w:val="19463133"/>
    <w:rsid w:val="19480D5C"/>
    <w:rsid w:val="19531B6C"/>
    <w:rsid w:val="195416F1"/>
    <w:rsid w:val="19560740"/>
    <w:rsid w:val="19576E7C"/>
    <w:rsid w:val="19607BF9"/>
    <w:rsid w:val="19651414"/>
    <w:rsid w:val="196D612A"/>
    <w:rsid w:val="196F6C34"/>
    <w:rsid w:val="1976524E"/>
    <w:rsid w:val="197A46A5"/>
    <w:rsid w:val="197D2441"/>
    <w:rsid w:val="19860C87"/>
    <w:rsid w:val="1987766D"/>
    <w:rsid w:val="19885AC1"/>
    <w:rsid w:val="198A670E"/>
    <w:rsid w:val="19982F2E"/>
    <w:rsid w:val="1999778C"/>
    <w:rsid w:val="199F2DAA"/>
    <w:rsid w:val="199F434E"/>
    <w:rsid w:val="19A663F7"/>
    <w:rsid w:val="19AC5395"/>
    <w:rsid w:val="19AE57FE"/>
    <w:rsid w:val="19B17D5A"/>
    <w:rsid w:val="19B21E63"/>
    <w:rsid w:val="19B523C0"/>
    <w:rsid w:val="19B61942"/>
    <w:rsid w:val="19B87C4A"/>
    <w:rsid w:val="19BE43A7"/>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C22D60"/>
    <w:rsid w:val="1ADF03A3"/>
    <w:rsid w:val="1AE23D75"/>
    <w:rsid w:val="1AE35A53"/>
    <w:rsid w:val="1AE36B83"/>
    <w:rsid w:val="1AE5467F"/>
    <w:rsid w:val="1AFE54A1"/>
    <w:rsid w:val="1B010EF0"/>
    <w:rsid w:val="1B080AA1"/>
    <w:rsid w:val="1B0B74D8"/>
    <w:rsid w:val="1B0D5630"/>
    <w:rsid w:val="1B0F24A7"/>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503596"/>
    <w:rsid w:val="1B566EF8"/>
    <w:rsid w:val="1B5D1EA7"/>
    <w:rsid w:val="1B5E0F3F"/>
    <w:rsid w:val="1B5E7672"/>
    <w:rsid w:val="1B6A08D0"/>
    <w:rsid w:val="1B6C4BFD"/>
    <w:rsid w:val="1B784727"/>
    <w:rsid w:val="1B7976C3"/>
    <w:rsid w:val="1B7A475B"/>
    <w:rsid w:val="1B7A4C29"/>
    <w:rsid w:val="1B8221E6"/>
    <w:rsid w:val="1B881705"/>
    <w:rsid w:val="1B8D24E6"/>
    <w:rsid w:val="1B9273DB"/>
    <w:rsid w:val="1B936AF6"/>
    <w:rsid w:val="1B9F0D78"/>
    <w:rsid w:val="1BA4576F"/>
    <w:rsid w:val="1BA859FB"/>
    <w:rsid w:val="1BAB11B4"/>
    <w:rsid w:val="1BAE647A"/>
    <w:rsid w:val="1BBF1274"/>
    <w:rsid w:val="1BBF676D"/>
    <w:rsid w:val="1BC26F09"/>
    <w:rsid w:val="1BC45008"/>
    <w:rsid w:val="1BC624D9"/>
    <w:rsid w:val="1BC73994"/>
    <w:rsid w:val="1BCE4112"/>
    <w:rsid w:val="1BD80673"/>
    <w:rsid w:val="1BE32A8A"/>
    <w:rsid w:val="1BE355B0"/>
    <w:rsid w:val="1BE76342"/>
    <w:rsid w:val="1BF36301"/>
    <w:rsid w:val="1BF46A61"/>
    <w:rsid w:val="1BF830D1"/>
    <w:rsid w:val="1BFA1814"/>
    <w:rsid w:val="1BFE562F"/>
    <w:rsid w:val="1C00639F"/>
    <w:rsid w:val="1C1672DC"/>
    <w:rsid w:val="1C245DA4"/>
    <w:rsid w:val="1C282794"/>
    <w:rsid w:val="1C2C4C0F"/>
    <w:rsid w:val="1C2C5DF4"/>
    <w:rsid w:val="1C2F4A60"/>
    <w:rsid w:val="1C2F766C"/>
    <w:rsid w:val="1C30326F"/>
    <w:rsid w:val="1C390FC4"/>
    <w:rsid w:val="1C3C5060"/>
    <w:rsid w:val="1C503B94"/>
    <w:rsid w:val="1C52658A"/>
    <w:rsid w:val="1C595825"/>
    <w:rsid w:val="1C5A6626"/>
    <w:rsid w:val="1C600622"/>
    <w:rsid w:val="1C611B80"/>
    <w:rsid w:val="1C626DDD"/>
    <w:rsid w:val="1C64628B"/>
    <w:rsid w:val="1C6E549C"/>
    <w:rsid w:val="1C721DBC"/>
    <w:rsid w:val="1C73150F"/>
    <w:rsid w:val="1C742675"/>
    <w:rsid w:val="1C762B41"/>
    <w:rsid w:val="1C7A7445"/>
    <w:rsid w:val="1C805D15"/>
    <w:rsid w:val="1C811076"/>
    <w:rsid w:val="1C8609D9"/>
    <w:rsid w:val="1C8862C8"/>
    <w:rsid w:val="1C8A2D76"/>
    <w:rsid w:val="1C8E1FED"/>
    <w:rsid w:val="1C921E0B"/>
    <w:rsid w:val="1CA11EBE"/>
    <w:rsid w:val="1CA3733E"/>
    <w:rsid w:val="1CA53299"/>
    <w:rsid w:val="1CA644D0"/>
    <w:rsid w:val="1CA71DBD"/>
    <w:rsid w:val="1CAC359F"/>
    <w:rsid w:val="1CAC4687"/>
    <w:rsid w:val="1CAD0D0E"/>
    <w:rsid w:val="1CBB214E"/>
    <w:rsid w:val="1CBC31BA"/>
    <w:rsid w:val="1CBF1295"/>
    <w:rsid w:val="1CC06203"/>
    <w:rsid w:val="1CC606DF"/>
    <w:rsid w:val="1CCE319B"/>
    <w:rsid w:val="1CD26CDD"/>
    <w:rsid w:val="1CDC2785"/>
    <w:rsid w:val="1CE3753F"/>
    <w:rsid w:val="1CE42B5D"/>
    <w:rsid w:val="1CEE67C3"/>
    <w:rsid w:val="1CFA4CEC"/>
    <w:rsid w:val="1CFD303B"/>
    <w:rsid w:val="1D093430"/>
    <w:rsid w:val="1D0D2A38"/>
    <w:rsid w:val="1D0F7034"/>
    <w:rsid w:val="1D1B59BF"/>
    <w:rsid w:val="1D1F0CB2"/>
    <w:rsid w:val="1D2141F1"/>
    <w:rsid w:val="1D375354"/>
    <w:rsid w:val="1D3A4B1D"/>
    <w:rsid w:val="1D3B732D"/>
    <w:rsid w:val="1D3D3599"/>
    <w:rsid w:val="1D4239FA"/>
    <w:rsid w:val="1D442E93"/>
    <w:rsid w:val="1D480956"/>
    <w:rsid w:val="1D4A5A89"/>
    <w:rsid w:val="1D4E0C88"/>
    <w:rsid w:val="1D4E41B6"/>
    <w:rsid w:val="1D537BD5"/>
    <w:rsid w:val="1D575C2C"/>
    <w:rsid w:val="1D5B4B48"/>
    <w:rsid w:val="1D645AD8"/>
    <w:rsid w:val="1D651BFF"/>
    <w:rsid w:val="1D6823CD"/>
    <w:rsid w:val="1D6834A7"/>
    <w:rsid w:val="1D695AE8"/>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54A72"/>
    <w:rsid w:val="1DCA2750"/>
    <w:rsid w:val="1DCF0BE9"/>
    <w:rsid w:val="1DD33CD4"/>
    <w:rsid w:val="1DD875C6"/>
    <w:rsid w:val="1DDE33E1"/>
    <w:rsid w:val="1DDE5846"/>
    <w:rsid w:val="1DE14886"/>
    <w:rsid w:val="1DF02138"/>
    <w:rsid w:val="1DFD34F7"/>
    <w:rsid w:val="1DFE3D2C"/>
    <w:rsid w:val="1DFF7AE1"/>
    <w:rsid w:val="1E041BF6"/>
    <w:rsid w:val="1E075452"/>
    <w:rsid w:val="1E0A7758"/>
    <w:rsid w:val="1E0E4706"/>
    <w:rsid w:val="1E0F7E3B"/>
    <w:rsid w:val="1E1063E1"/>
    <w:rsid w:val="1E1D5F1A"/>
    <w:rsid w:val="1E22765E"/>
    <w:rsid w:val="1E24641B"/>
    <w:rsid w:val="1E24676D"/>
    <w:rsid w:val="1E287013"/>
    <w:rsid w:val="1E290EF4"/>
    <w:rsid w:val="1E38721D"/>
    <w:rsid w:val="1E3B5C85"/>
    <w:rsid w:val="1E3D1777"/>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55AEA"/>
    <w:rsid w:val="1E89016B"/>
    <w:rsid w:val="1E8E0193"/>
    <w:rsid w:val="1E922DBA"/>
    <w:rsid w:val="1E974C83"/>
    <w:rsid w:val="1E977DD0"/>
    <w:rsid w:val="1E9A5BC5"/>
    <w:rsid w:val="1E9E3A42"/>
    <w:rsid w:val="1EA85F60"/>
    <w:rsid w:val="1EA935DA"/>
    <w:rsid w:val="1EA96F7D"/>
    <w:rsid w:val="1EAC7F90"/>
    <w:rsid w:val="1EAF4BD6"/>
    <w:rsid w:val="1EBB10BE"/>
    <w:rsid w:val="1EBE5CB7"/>
    <w:rsid w:val="1EC167E4"/>
    <w:rsid w:val="1EC219B7"/>
    <w:rsid w:val="1EC64612"/>
    <w:rsid w:val="1ED11588"/>
    <w:rsid w:val="1ED12BC9"/>
    <w:rsid w:val="1ED63161"/>
    <w:rsid w:val="1EDF3E98"/>
    <w:rsid w:val="1EE05B39"/>
    <w:rsid w:val="1EE1372F"/>
    <w:rsid w:val="1EE30D7B"/>
    <w:rsid w:val="1EEA5E3B"/>
    <w:rsid w:val="1EEC0864"/>
    <w:rsid w:val="1EEE370A"/>
    <w:rsid w:val="1EEE49B4"/>
    <w:rsid w:val="1EFD0709"/>
    <w:rsid w:val="1EFE623D"/>
    <w:rsid w:val="1EFF61EC"/>
    <w:rsid w:val="1F021D32"/>
    <w:rsid w:val="1F1C22DF"/>
    <w:rsid w:val="1F20022E"/>
    <w:rsid w:val="1F28753E"/>
    <w:rsid w:val="1F2C6456"/>
    <w:rsid w:val="1F323469"/>
    <w:rsid w:val="1F3805F8"/>
    <w:rsid w:val="1F3A3B7C"/>
    <w:rsid w:val="1F3F2D3F"/>
    <w:rsid w:val="1F455C99"/>
    <w:rsid w:val="1F4E539B"/>
    <w:rsid w:val="1F4F44E9"/>
    <w:rsid w:val="1F4F4677"/>
    <w:rsid w:val="1F52137F"/>
    <w:rsid w:val="1F5F2826"/>
    <w:rsid w:val="1F643B5C"/>
    <w:rsid w:val="1F680638"/>
    <w:rsid w:val="1F687E82"/>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31B05"/>
    <w:rsid w:val="1FDF5CFE"/>
    <w:rsid w:val="1FE8311C"/>
    <w:rsid w:val="1FEE0E99"/>
    <w:rsid w:val="1FF8164F"/>
    <w:rsid w:val="1FFF1ECC"/>
    <w:rsid w:val="20022282"/>
    <w:rsid w:val="20034004"/>
    <w:rsid w:val="200377E2"/>
    <w:rsid w:val="20052498"/>
    <w:rsid w:val="20092180"/>
    <w:rsid w:val="2009247C"/>
    <w:rsid w:val="200A5BE1"/>
    <w:rsid w:val="200D3A6E"/>
    <w:rsid w:val="200D5153"/>
    <w:rsid w:val="200E31D5"/>
    <w:rsid w:val="200F281D"/>
    <w:rsid w:val="20165DE1"/>
    <w:rsid w:val="201840AB"/>
    <w:rsid w:val="20246F90"/>
    <w:rsid w:val="202B568B"/>
    <w:rsid w:val="20340A52"/>
    <w:rsid w:val="203505EF"/>
    <w:rsid w:val="2035526E"/>
    <w:rsid w:val="20397DB1"/>
    <w:rsid w:val="203A428A"/>
    <w:rsid w:val="203D6470"/>
    <w:rsid w:val="204464C7"/>
    <w:rsid w:val="20471F92"/>
    <w:rsid w:val="20484A3E"/>
    <w:rsid w:val="204A5224"/>
    <w:rsid w:val="204F43C2"/>
    <w:rsid w:val="205C3927"/>
    <w:rsid w:val="20601F3B"/>
    <w:rsid w:val="206C2785"/>
    <w:rsid w:val="206F4751"/>
    <w:rsid w:val="206F784D"/>
    <w:rsid w:val="20700D48"/>
    <w:rsid w:val="207765EC"/>
    <w:rsid w:val="20794761"/>
    <w:rsid w:val="207C04F9"/>
    <w:rsid w:val="208147DE"/>
    <w:rsid w:val="208B4DF4"/>
    <w:rsid w:val="208C6B8C"/>
    <w:rsid w:val="209232CB"/>
    <w:rsid w:val="209D53BA"/>
    <w:rsid w:val="20AA0D8A"/>
    <w:rsid w:val="20AD5F39"/>
    <w:rsid w:val="20B36B9F"/>
    <w:rsid w:val="20B86A91"/>
    <w:rsid w:val="20B9046B"/>
    <w:rsid w:val="20C928CA"/>
    <w:rsid w:val="20CC4CBE"/>
    <w:rsid w:val="20D94B61"/>
    <w:rsid w:val="20DA53A0"/>
    <w:rsid w:val="20E02450"/>
    <w:rsid w:val="20E33181"/>
    <w:rsid w:val="20E74C64"/>
    <w:rsid w:val="20EA1C74"/>
    <w:rsid w:val="20EE1AA7"/>
    <w:rsid w:val="20F72783"/>
    <w:rsid w:val="20F93B75"/>
    <w:rsid w:val="21023A7C"/>
    <w:rsid w:val="21024A04"/>
    <w:rsid w:val="21053D47"/>
    <w:rsid w:val="210551F3"/>
    <w:rsid w:val="21092803"/>
    <w:rsid w:val="21092A15"/>
    <w:rsid w:val="210F7863"/>
    <w:rsid w:val="2113589E"/>
    <w:rsid w:val="21196B8A"/>
    <w:rsid w:val="21220939"/>
    <w:rsid w:val="212637E5"/>
    <w:rsid w:val="212D408D"/>
    <w:rsid w:val="212E2B0F"/>
    <w:rsid w:val="212F4608"/>
    <w:rsid w:val="21317B0E"/>
    <w:rsid w:val="2134434C"/>
    <w:rsid w:val="213F06F1"/>
    <w:rsid w:val="213F7B16"/>
    <w:rsid w:val="2143203D"/>
    <w:rsid w:val="214467EC"/>
    <w:rsid w:val="21460172"/>
    <w:rsid w:val="21461BDA"/>
    <w:rsid w:val="214702F0"/>
    <w:rsid w:val="214B234C"/>
    <w:rsid w:val="214E615C"/>
    <w:rsid w:val="2153203D"/>
    <w:rsid w:val="215336ED"/>
    <w:rsid w:val="2157796B"/>
    <w:rsid w:val="21590BCE"/>
    <w:rsid w:val="215C0588"/>
    <w:rsid w:val="215C2136"/>
    <w:rsid w:val="216225B0"/>
    <w:rsid w:val="21634E83"/>
    <w:rsid w:val="21644482"/>
    <w:rsid w:val="21647276"/>
    <w:rsid w:val="216C69AF"/>
    <w:rsid w:val="217069D9"/>
    <w:rsid w:val="2177648E"/>
    <w:rsid w:val="2181394F"/>
    <w:rsid w:val="21855FB9"/>
    <w:rsid w:val="218B225B"/>
    <w:rsid w:val="2191567D"/>
    <w:rsid w:val="21972DD3"/>
    <w:rsid w:val="219C0657"/>
    <w:rsid w:val="21AB1AA1"/>
    <w:rsid w:val="21AC0A94"/>
    <w:rsid w:val="21B043CF"/>
    <w:rsid w:val="21B369BA"/>
    <w:rsid w:val="21C53489"/>
    <w:rsid w:val="21C85E83"/>
    <w:rsid w:val="21C91BD7"/>
    <w:rsid w:val="21CC061D"/>
    <w:rsid w:val="21D14048"/>
    <w:rsid w:val="21D70EFE"/>
    <w:rsid w:val="21E004F1"/>
    <w:rsid w:val="21E40E84"/>
    <w:rsid w:val="21E573A1"/>
    <w:rsid w:val="21E71039"/>
    <w:rsid w:val="21EC79F9"/>
    <w:rsid w:val="21ED77C9"/>
    <w:rsid w:val="21F35396"/>
    <w:rsid w:val="21F51CE2"/>
    <w:rsid w:val="21F617B1"/>
    <w:rsid w:val="21F97F32"/>
    <w:rsid w:val="220103C8"/>
    <w:rsid w:val="22024355"/>
    <w:rsid w:val="220D2A2A"/>
    <w:rsid w:val="22131393"/>
    <w:rsid w:val="22153B4E"/>
    <w:rsid w:val="221611EE"/>
    <w:rsid w:val="221643BD"/>
    <w:rsid w:val="22185284"/>
    <w:rsid w:val="222973BF"/>
    <w:rsid w:val="222A6D42"/>
    <w:rsid w:val="222E4177"/>
    <w:rsid w:val="223162EF"/>
    <w:rsid w:val="223B3A0E"/>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37536"/>
    <w:rsid w:val="228529E9"/>
    <w:rsid w:val="228831F1"/>
    <w:rsid w:val="2292029B"/>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53021"/>
    <w:rsid w:val="22DC54AA"/>
    <w:rsid w:val="22E46845"/>
    <w:rsid w:val="22E92B5C"/>
    <w:rsid w:val="22EB5D3E"/>
    <w:rsid w:val="22ED1934"/>
    <w:rsid w:val="22F67032"/>
    <w:rsid w:val="230212B8"/>
    <w:rsid w:val="23030702"/>
    <w:rsid w:val="23062764"/>
    <w:rsid w:val="23080E38"/>
    <w:rsid w:val="230843F0"/>
    <w:rsid w:val="230F3229"/>
    <w:rsid w:val="23112352"/>
    <w:rsid w:val="23177E0F"/>
    <w:rsid w:val="231F390F"/>
    <w:rsid w:val="2320730F"/>
    <w:rsid w:val="232331F6"/>
    <w:rsid w:val="232338CB"/>
    <w:rsid w:val="23235F04"/>
    <w:rsid w:val="23273354"/>
    <w:rsid w:val="232B1FC8"/>
    <w:rsid w:val="233B5102"/>
    <w:rsid w:val="23435D33"/>
    <w:rsid w:val="2346039F"/>
    <w:rsid w:val="234B6052"/>
    <w:rsid w:val="23514F5B"/>
    <w:rsid w:val="23526895"/>
    <w:rsid w:val="23527442"/>
    <w:rsid w:val="235765CA"/>
    <w:rsid w:val="23607755"/>
    <w:rsid w:val="23656AAE"/>
    <w:rsid w:val="2368083A"/>
    <w:rsid w:val="236F1030"/>
    <w:rsid w:val="23727A7C"/>
    <w:rsid w:val="23775A27"/>
    <w:rsid w:val="237A368A"/>
    <w:rsid w:val="237C3D59"/>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B021A"/>
    <w:rsid w:val="23BD1ACB"/>
    <w:rsid w:val="23C60923"/>
    <w:rsid w:val="23CC07DA"/>
    <w:rsid w:val="23CE4F35"/>
    <w:rsid w:val="23D95F77"/>
    <w:rsid w:val="23DE0038"/>
    <w:rsid w:val="23F6180F"/>
    <w:rsid w:val="23F81A94"/>
    <w:rsid w:val="23FC4588"/>
    <w:rsid w:val="240B3DA0"/>
    <w:rsid w:val="240D13EE"/>
    <w:rsid w:val="241008C8"/>
    <w:rsid w:val="241534A7"/>
    <w:rsid w:val="241D1FFB"/>
    <w:rsid w:val="24266691"/>
    <w:rsid w:val="242B4AD8"/>
    <w:rsid w:val="242B73A3"/>
    <w:rsid w:val="2430145D"/>
    <w:rsid w:val="24395979"/>
    <w:rsid w:val="243C04DF"/>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A0064D"/>
    <w:rsid w:val="24A37E3F"/>
    <w:rsid w:val="24A44C2B"/>
    <w:rsid w:val="24A710D1"/>
    <w:rsid w:val="24A75F10"/>
    <w:rsid w:val="24A9794E"/>
    <w:rsid w:val="24AB7455"/>
    <w:rsid w:val="24AE3282"/>
    <w:rsid w:val="24B47EEE"/>
    <w:rsid w:val="24B571BF"/>
    <w:rsid w:val="24B608A6"/>
    <w:rsid w:val="24BD33B3"/>
    <w:rsid w:val="24C076C6"/>
    <w:rsid w:val="24C805DB"/>
    <w:rsid w:val="24CB58F2"/>
    <w:rsid w:val="24CF2F3D"/>
    <w:rsid w:val="24CF6349"/>
    <w:rsid w:val="24DA1699"/>
    <w:rsid w:val="24DA3502"/>
    <w:rsid w:val="24DC1CDC"/>
    <w:rsid w:val="24DD549F"/>
    <w:rsid w:val="24EA1D3C"/>
    <w:rsid w:val="24F50072"/>
    <w:rsid w:val="24F5476D"/>
    <w:rsid w:val="24F552FD"/>
    <w:rsid w:val="24FB1A11"/>
    <w:rsid w:val="24FB73DF"/>
    <w:rsid w:val="24FE12C5"/>
    <w:rsid w:val="251430EA"/>
    <w:rsid w:val="2516548F"/>
    <w:rsid w:val="25187901"/>
    <w:rsid w:val="251E7323"/>
    <w:rsid w:val="25286A85"/>
    <w:rsid w:val="25322FA9"/>
    <w:rsid w:val="2535601D"/>
    <w:rsid w:val="253C5757"/>
    <w:rsid w:val="253E54DA"/>
    <w:rsid w:val="254602F5"/>
    <w:rsid w:val="254A78A8"/>
    <w:rsid w:val="254D7DE7"/>
    <w:rsid w:val="25587F10"/>
    <w:rsid w:val="255A2902"/>
    <w:rsid w:val="255D2987"/>
    <w:rsid w:val="255E68ED"/>
    <w:rsid w:val="25693D83"/>
    <w:rsid w:val="256B1E5E"/>
    <w:rsid w:val="256C43CF"/>
    <w:rsid w:val="2572075C"/>
    <w:rsid w:val="25743B93"/>
    <w:rsid w:val="25770905"/>
    <w:rsid w:val="257730B5"/>
    <w:rsid w:val="25775594"/>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D502E"/>
    <w:rsid w:val="25DE7B28"/>
    <w:rsid w:val="25E17C21"/>
    <w:rsid w:val="25E424FD"/>
    <w:rsid w:val="25EC197C"/>
    <w:rsid w:val="25EE3ED6"/>
    <w:rsid w:val="25F02801"/>
    <w:rsid w:val="25F46164"/>
    <w:rsid w:val="25FA76F8"/>
    <w:rsid w:val="25FF05F7"/>
    <w:rsid w:val="26012331"/>
    <w:rsid w:val="260651DF"/>
    <w:rsid w:val="26116D9A"/>
    <w:rsid w:val="261414B8"/>
    <w:rsid w:val="2614439B"/>
    <w:rsid w:val="26194AAA"/>
    <w:rsid w:val="261C3368"/>
    <w:rsid w:val="261C45E5"/>
    <w:rsid w:val="261E59B9"/>
    <w:rsid w:val="261E5DAA"/>
    <w:rsid w:val="26367DDD"/>
    <w:rsid w:val="263725F3"/>
    <w:rsid w:val="26384145"/>
    <w:rsid w:val="26395362"/>
    <w:rsid w:val="264568CC"/>
    <w:rsid w:val="264A1B3C"/>
    <w:rsid w:val="264C6402"/>
    <w:rsid w:val="265E54BD"/>
    <w:rsid w:val="26655DC4"/>
    <w:rsid w:val="266759B4"/>
    <w:rsid w:val="266D67CA"/>
    <w:rsid w:val="26716B7E"/>
    <w:rsid w:val="2678123C"/>
    <w:rsid w:val="2678314A"/>
    <w:rsid w:val="2679522B"/>
    <w:rsid w:val="267F6970"/>
    <w:rsid w:val="26814BD1"/>
    <w:rsid w:val="26815F61"/>
    <w:rsid w:val="2688233B"/>
    <w:rsid w:val="268B3AC2"/>
    <w:rsid w:val="26962104"/>
    <w:rsid w:val="269A7829"/>
    <w:rsid w:val="269F051F"/>
    <w:rsid w:val="26B062CC"/>
    <w:rsid w:val="26B15CBD"/>
    <w:rsid w:val="26B57A60"/>
    <w:rsid w:val="26BA755B"/>
    <w:rsid w:val="26BA7DD8"/>
    <w:rsid w:val="26BE5867"/>
    <w:rsid w:val="26C40749"/>
    <w:rsid w:val="26D37CFD"/>
    <w:rsid w:val="26D51F37"/>
    <w:rsid w:val="26D55359"/>
    <w:rsid w:val="26D66B4B"/>
    <w:rsid w:val="26D77B1E"/>
    <w:rsid w:val="26D90E94"/>
    <w:rsid w:val="26DC4F1F"/>
    <w:rsid w:val="26E908F9"/>
    <w:rsid w:val="26ED7F27"/>
    <w:rsid w:val="26EF7AC9"/>
    <w:rsid w:val="26F015F2"/>
    <w:rsid w:val="26F518C9"/>
    <w:rsid w:val="26F77589"/>
    <w:rsid w:val="26FE2F73"/>
    <w:rsid w:val="2708189B"/>
    <w:rsid w:val="270D4902"/>
    <w:rsid w:val="270F0925"/>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31369"/>
    <w:rsid w:val="275721E3"/>
    <w:rsid w:val="275A6531"/>
    <w:rsid w:val="275E798A"/>
    <w:rsid w:val="2763655C"/>
    <w:rsid w:val="27654C33"/>
    <w:rsid w:val="27655E15"/>
    <w:rsid w:val="27657C77"/>
    <w:rsid w:val="277005F0"/>
    <w:rsid w:val="27702AAA"/>
    <w:rsid w:val="27716C57"/>
    <w:rsid w:val="27787EC9"/>
    <w:rsid w:val="277A2228"/>
    <w:rsid w:val="277C41CD"/>
    <w:rsid w:val="277F5E97"/>
    <w:rsid w:val="27877B31"/>
    <w:rsid w:val="278D3DF3"/>
    <w:rsid w:val="27966399"/>
    <w:rsid w:val="279664C8"/>
    <w:rsid w:val="27A722FB"/>
    <w:rsid w:val="27AE498E"/>
    <w:rsid w:val="27AF0149"/>
    <w:rsid w:val="27C70146"/>
    <w:rsid w:val="27DC482F"/>
    <w:rsid w:val="27DE7EEA"/>
    <w:rsid w:val="27E3007B"/>
    <w:rsid w:val="27E56907"/>
    <w:rsid w:val="27F37B9F"/>
    <w:rsid w:val="27F400A6"/>
    <w:rsid w:val="27F917EF"/>
    <w:rsid w:val="27FA52C2"/>
    <w:rsid w:val="27FF3B59"/>
    <w:rsid w:val="28003037"/>
    <w:rsid w:val="28031F9E"/>
    <w:rsid w:val="28047910"/>
    <w:rsid w:val="28063F00"/>
    <w:rsid w:val="28114684"/>
    <w:rsid w:val="28151073"/>
    <w:rsid w:val="28156AF0"/>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5C4CC5"/>
    <w:rsid w:val="28630A4F"/>
    <w:rsid w:val="286E1A46"/>
    <w:rsid w:val="2873427F"/>
    <w:rsid w:val="28786F66"/>
    <w:rsid w:val="28790EC8"/>
    <w:rsid w:val="287D3E92"/>
    <w:rsid w:val="288775DB"/>
    <w:rsid w:val="288A7753"/>
    <w:rsid w:val="289A413A"/>
    <w:rsid w:val="28A26206"/>
    <w:rsid w:val="28A877E9"/>
    <w:rsid w:val="28AB79A3"/>
    <w:rsid w:val="28BB4238"/>
    <w:rsid w:val="28BB455C"/>
    <w:rsid w:val="28C47CAF"/>
    <w:rsid w:val="28D01731"/>
    <w:rsid w:val="28D60F5D"/>
    <w:rsid w:val="28D66E45"/>
    <w:rsid w:val="28D90442"/>
    <w:rsid w:val="28D92FC8"/>
    <w:rsid w:val="28D93C5D"/>
    <w:rsid w:val="28DA559C"/>
    <w:rsid w:val="28DB0218"/>
    <w:rsid w:val="28DF6B18"/>
    <w:rsid w:val="28E309D7"/>
    <w:rsid w:val="28E923FD"/>
    <w:rsid w:val="28EA37AB"/>
    <w:rsid w:val="28EA39A4"/>
    <w:rsid w:val="28F6001D"/>
    <w:rsid w:val="28F67160"/>
    <w:rsid w:val="28F95B87"/>
    <w:rsid w:val="28FD4174"/>
    <w:rsid w:val="2900651C"/>
    <w:rsid w:val="2908660F"/>
    <w:rsid w:val="29086F3D"/>
    <w:rsid w:val="290A7C49"/>
    <w:rsid w:val="290B3FB4"/>
    <w:rsid w:val="291025A6"/>
    <w:rsid w:val="29181460"/>
    <w:rsid w:val="292147ED"/>
    <w:rsid w:val="29265026"/>
    <w:rsid w:val="292A24E2"/>
    <w:rsid w:val="292A5054"/>
    <w:rsid w:val="292D4390"/>
    <w:rsid w:val="293171B7"/>
    <w:rsid w:val="29361179"/>
    <w:rsid w:val="29367CF8"/>
    <w:rsid w:val="293B71E4"/>
    <w:rsid w:val="294562C8"/>
    <w:rsid w:val="29466767"/>
    <w:rsid w:val="294A7CF4"/>
    <w:rsid w:val="2956167A"/>
    <w:rsid w:val="29571B39"/>
    <w:rsid w:val="29637C0B"/>
    <w:rsid w:val="29643B67"/>
    <w:rsid w:val="2964687E"/>
    <w:rsid w:val="296514A9"/>
    <w:rsid w:val="2965373C"/>
    <w:rsid w:val="29670E2C"/>
    <w:rsid w:val="2968322A"/>
    <w:rsid w:val="296E5EF3"/>
    <w:rsid w:val="29710F8A"/>
    <w:rsid w:val="29741478"/>
    <w:rsid w:val="29745595"/>
    <w:rsid w:val="29747AFA"/>
    <w:rsid w:val="2979744C"/>
    <w:rsid w:val="297D3B11"/>
    <w:rsid w:val="297F382E"/>
    <w:rsid w:val="29822F50"/>
    <w:rsid w:val="298A7E62"/>
    <w:rsid w:val="299145D8"/>
    <w:rsid w:val="299777F1"/>
    <w:rsid w:val="299D435B"/>
    <w:rsid w:val="29A01182"/>
    <w:rsid w:val="29A222F4"/>
    <w:rsid w:val="29A240AD"/>
    <w:rsid w:val="29A77E3F"/>
    <w:rsid w:val="29B05CCB"/>
    <w:rsid w:val="29B129C2"/>
    <w:rsid w:val="29B67FFD"/>
    <w:rsid w:val="29C32223"/>
    <w:rsid w:val="29C357E2"/>
    <w:rsid w:val="29C5567B"/>
    <w:rsid w:val="29C63395"/>
    <w:rsid w:val="29C846A2"/>
    <w:rsid w:val="29C9026B"/>
    <w:rsid w:val="29C9052E"/>
    <w:rsid w:val="29CD675A"/>
    <w:rsid w:val="29D3777A"/>
    <w:rsid w:val="29D932EB"/>
    <w:rsid w:val="29E0682D"/>
    <w:rsid w:val="29E56C2B"/>
    <w:rsid w:val="29EF08D5"/>
    <w:rsid w:val="29EF1A13"/>
    <w:rsid w:val="29F421D2"/>
    <w:rsid w:val="29FB5D7B"/>
    <w:rsid w:val="2A004A98"/>
    <w:rsid w:val="2A072E6D"/>
    <w:rsid w:val="2A0C27D2"/>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95FAC"/>
    <w:rsid w:val="2A4A70DA"/>
    <w:rsid w:val="2A4F0640"/>
    <w:rsid w:val="2A4F6EEE"/>
    <w:rsid w:val="2A537BA7"/>
    <w:rsid w:val="2A566386"/>
    <w:rsid w:val="2A5E7A5B"/>
    <w:rsid w:val="2A5F1697"/>
    <w:rsid w:val="2A610F9C"/>
    <w:rsid w:val="2A6219B3"/>
    <w:rsid w:val="2A686983"/>
    <w:rsid w:val="2A6B7605"/>
    <w:rsid w:val="2A7142DB"/>
    <w:rsid w:val="2A7701DC"/>
    <w:rsid w:val="2A7721EB"/>
    <w:rsid w:val="2A7E463F"/>
    <w:rsid w:val="2A8135C1"/>
    <w:rsid w:val="2A822CFC"/>
    <w:rsid w:val="2A874DCE"/>
    <w:rsid w:val="2A932749"/>
    <w:rsid w:val="2A95301D"/>
    <w:rsid w:val="2A9A00B8"/>
    <w:rsid w:val="2A9F368E"/>
    <w:rsid w:val="2AA102C7"/>
    <w:rsid w:val="2AA501D6"/>
    <w:rsid w:val="2AA75203"/>
    <w:rsid w:val="2AAB4D8B"/>
    <w:rsid w:val="2AAB70B8"/>
    <w:rsid w:val="2ACF29D0"/>
    <w:rsid w:val="2AD23946"/>
    <w:rsid w:val="2AD757C5"/>
    <w:rsid w:val="2AD8268C"/>
    <w:rsid w:val="2ADC7704"/>
    <w:rsid w:val="2AE24958"/>
    <w:rsid w:val="2AE311EC"/>
    <w:rsid w:val="2AE3144E"/>
    <w:rsid w:val="2AEA5FD6"/>
    <w:rsid w:val="2AEB3566"/>
    <w:rsid w:val="2AED024D"/>
    <w:rsid w:val="2AF64858"/>
    <w:rsid w:val="2B006B0F"/>
    <w:rsid w:val="2B0C73F8"/>
    <w:rsid w:val="2B0D431B"/>
    <w:rsid w:val="2B126E77"/>
    <w:rsid w:val="2B2542FC"/>
    <w:rsid w:val="2B2A6042"/>
    <w:rsid w:val="2B323A17"/>
    <w:rsid w:val="2B3D434D"/>
    <w:rsid w:val="2B3E0DCF"/>
    <w:rsid w:val="2B3F6E91"/>
    <w:rsid w:val="2B4170BC"/>
    <w:rsid w:val="2B492A69"/>
    <w:rsid w:val="2B4B1A6B"/>
    <w:rsid w:val="2B4B1B15"/>
    <w:rsid w:val="2B4F3B95"/>
    <w:rsid w:val="2B510493"/>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CF30F0"/>
    <w:rsid w:val="2BD41206"/>
    <w:rsid w:val="2BD44296"/>
    <w:rsid w:val="2BD57773"/>
    <w:rsid w:val="2BD60BD1"/>
    <w:rsid w:val="2BD64759"/>
    <w:rsid w:val="2BDB258A"/>
    <w:rsid w:val="2BE67312"/>
    <w:rsid w:val="2BEA4226"/>
    <w:rsid w:val="2BEC167A"/>
    <w:rsid w:val="2BEC68E1"/>
    <w:rsid w:val="2BFF2267"/>
    <w:rsid w:val="2C0261A6"/>
    <w:rsid w:val="2C092A93"/>
    <w:rsid w:val="2C0C64E4"/>
    <w:rsid w:val="2C125DFC"/>
    <w:rsid w:val="2C1D44CC"/>
    <w:rsid w:val="2C204AC2"/>
    <w:rsid w:val="2C216417"/>
    <w:rsid w:val="2C296497"/>
    <w:rsid w:val="2C32741A"/>
    <w:rsid w:val="2C3A79D3"/>
    <w:rsid w:val="2C3F269E"/>
    <w:rsid w:val="2C407C6C"/>
    <w:rsid w:val="2C4170CD"/>
    <w:rsid w:val="2C424ECF"/>
    <w:rsid w:val="2C53091D"/>
    <w:rsid w:val="2C600F77"/>
    <w:rsid w:val="2C6442F8"/>
    <w:rsid w:val="2C6A4649"/>
    <w:rsid w:val="2C7077B6"/>
    <w:rsid w:val="2C7358D9"/>
    <w:rsid w:val="2C75153D"/>
    <w:rsid w:val="2C8A4E2C"/>
    <w:rsid w:val="2C9368EA"/>
    <w:rsid w:val="2C9622DD"/>
    <w:rsid w:val="2C971D86"/>
    <w:rsid w:val="2C9833B9"/>
    <w:rsid w:val="2C9C090E"/>
    <w:rsid w:val="2C9D585F"/>
    <w:rsid w:val="2CA10581"/>
    <w:rsid w:val="2CA13BB5"/>
    <w:rsid w:val="2CA20A1F"/>
    <w:rsid w:val="2CA74B9E"/>
    <w:rsid w:val="2CA8128D"/>
    <w:rsid w:val="2CB2766A"/>
    <w:rsid w:val="2CB73B1A"/>
    <w:rsid w:val="2CB902A3"/>
    <w:rsid w:val="2CBA43E0"/>
    <w:rsid w:val="2CBC3E6E"/>
    <w:rsid w:val="2CC035BE"/>
    <w:rsid w:val="2CC176C2"/>
    <w:rsid w:val="2CC17E78"/>
    <w:rsid w:val="2CC5768B"/>
    <w:rsid w:val="2CC86C6D"/>
    <w:rsid w:val="2CD27B37"/>
    <w:rsid w:val="2CE0188C"/>
    <w:rsid w:val="2CE05C1D"/>
    <w:rsid w:val="2CE35774"/>
    <w:rsid w:val="2CE81AAE"/>
    <w:rsid w:val="2CE93C83"/>
    <w:rsid w:val="2CEC632B"/>
    <w:rsid w:val="2CFB60A5"/>
    <w:rsid w:val="2D02233E"/>
    <w:rsid w:val="2D18778F"/>
    <w:rsid w:val="2D1C0E34"/>
    <w:rsid w:val="2D1D4506"/>
    <w:rsid w:val="2D2176DC"/>
    <w:rsid w:val="2D2642DD"/>
    <w:rsid w:val="2D30371F"/>
    <w:rsid w:val="2D3D2B71"/>
    <w:rsid w:val="2D3D34CD"/>
    <w:rsid w:val="2D436EEB"/>
    <w:rsid w:val="2D457CF5"/>
    <w:rsid w:val="2D4F3F2D"/>
    <w:rsid w:val="2D582E2A"/>
    <w:rsid w:val="2D611C47"/>
    <w:rsid w:val="2D6A33D8"/>
    <w:rsid w:val="2D6D4F8A"/>
    <w:rsid w:val="2D6E2A3E"/>
    <w:rsid w:val="2D6E2C94"/>
    <w:rsid w:val="2D6F258E"/>
    <w:rsid w:val="2D704CAB"/>
    <w:rsid w:val="2D7517F5"/>
    <w:rsid w:val="2D7A621F"/>
    <w:rsid w:val="2D7B3681"/>
    <w:rsid w:val="2D7E16E3"/>
    <w:rsid w:val="2D8251A3"/>
    <w:rsid w:val="2D846603"/>
    <w:rsid w:val="2D8941E9"/>
    <w:rsid w:val="2D8D2FD2"/>
    <w:rsid w:val="2D8D7DD2"/>
    <w:rsid w:val="2D8D7DE4"/>
    <w:rsid w:val="2D8E41AF"/>
    <w:rsid w:val="2D942475"/>
    <w:rsid w:val="2D95522D"/>
    <w:rsid w:val="2D9810CE"/>
    <w:rsid w:val="2D9924F3"/>
    <w:rsid w:val="2D9A3742"/>
    <w:rsid w:val="2DA8032A"/>
    <w:rsid w:val="2DA92C79"/>
    <w:rsid w:val="2DAD740E"/>
    <w:rsid w:val="2DB35253"/>
    <w:rsid w:val="2DB53D1A"/>
    <w:rsid w:val="2DBD68C9"/>
    <w:rsid w:val="2DC17FE9"/>
    <w:rsid w:val="2DC26073"/>
    <w:rsid w:val="2DCB59DC"/>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0D45F0"/>
    <w:rsid w:val="2E0D4ED4"/>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84D69"/>
    <w:rsid w:val="2E8C1561"/>
    <w:rsid w:val="2E8C5299"/>
    <w:rsid w:val="2E960599"/>
    <w:rsid w:val="2E9825EB"/>
    <w:rsid w:val="2E990B2D"/>
    <w:rsid w:val="2E9B02FB"/>
    <w:rsid w:val="2E9F44BB"/>
    <w:rsid w:val="2EA04261"/>
    <w:rsid w:val="2EA05286"/>
    <w:rsid w:val="2EA21A2E"/>
    <w:rsid w:val="2EA35DD1"/>
    <w:rsid w:val="2EAB04C6"/>
    <w:rsid w:val="2EB43613"/>
    <w:rsid w:val="2EB4754A"/>
    <w:rsid w:val="2EB7097F"/>
    <w:rsid w:val="2EB77C87"/>
    <w:rsid w:val="2EB961D0"/>
    <w:rsid w:val="2EC060FC"/>
    <w:rsid w:val="2EC55E8F"/>
    <w:rsid w:val="2EC63F27"/>
    <w:rsid w:val="2ED57B02"/>
    <w:rsid w:val="2EDC7563"/>
    <w:rsid w:val="2EDE08A2"/>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482128"/>
    <w:rsid w:val="2F583576"/>
    <w:rsid w:val="2F5963E3"/>
    <w:rsid w:val="2F623CD7"/>
    <w:rsid w:val="2F633092"/>
    <w:rsid w:val="2F697663"/>
    <w:rsid w:val="2F6E3F63"/>
    <w:rsid w:val="2F6F6C79"/>
    <w:rsid w:val="2F71356F"/>
    <w:rsid w:val="2F734281"/>
    <w:rsid w:val="2F7E38A6"/>
    <w:rsid w:val="2F822199"/>
    <w:rsid w:val="2F8438F7"/>
    <w:rsid w:val="2F8E2242"/>
    <w:rsid w:val="2F916547"/>
    <w:rsid w:val="2F92553D"/>
    <w:rsid w:val="2F9C71E6"/>
    <w:rsid w:val="2FAE4FF9"/>
    <w:rsid w:val="2FAE7C87"/>
    <w:rsid w:val="2FB045B4"/>
    <w:rsid w:val="2FB162B8"/>
    <w:rsid w:val="2FB553E2"/>
    <w:rsid w:val="2FBB564B"/>
    <w:rsid w:val="2FBD122E"/>
    <w:rsid w:val="2FBE0595"/>
    <w:rsid w:val="2FC16DB7"/>
    <w:rsid w:val="2FC274CC"/>
    <w:rsid w:val="2FC96004"/>
    <w:rsid w:val="2FCA40D8"/>
    <w:rsid w:val="2FD16DD9"/>
    <w:rsid w:val="2FD538B8"/>
    <w:rsid w:val="2FEA3302"/>
    <w:rsid w:val="2FF33761"/>
    <w:rsid w:val="2FF73E67"/>
    <w:rsid w:val="2FFD0FFD"/>
    <w:rsid w:val="300368B8"/>
    <w:rsid w:val="30056651"/>
    <w:rsid w:val="301D542F"/>
    <w:rsid w:val="30281822"/>
    <w:rsid w:val="30287F8A"/>
    <w:rsid w:val="302B56DE"/>
    <w:rsid w:val="302B577D"/>
    <w:rsid w:val="30310CF7"/>
    <w:rsid w:val="30372F27"/>
    <w:rsid w:val="30461D3C"/>
    <w:rsid w:val="304A4AE3"/>
    <w:rsid w:val="304D0444"/>
    <w:rsid w:val="304D2498"/>
    <w:rsid w:val="304E3DAF"/>
    <w:rsid w:val="30563D07"/>
    <w:rsid w:val="30603661"/>
    <w:rsid w:val="306359A3"/>
    <w:rsid w:val="306A7D3C"/>
    <w:rsid w:val="307103A9"/>
    <w:rsid w:val="30731E41"/>
    <w:rsid w:val="307447F6"/>
    <w:rsid w:val="307944E0"/>
    <w:rsid w:val="307B04ED"/>
    <w:rsid w:val="307F4253"/>
    <w:rsid w:val="30824AE4"/>
    <w:rsid w:val="3087418B"/>
    <w:rsid w:val="308E1E29"/>
    <w:rsid w:val="308E65CB"/>
    <w:rsid w:val="30917A9B"/>
    <w:rsid w:val="30930955"/>
    <w:rsid w:val="30937738"/>
    <w:rsid w:val="3095170F"/>
    <w:rsid w:val="309940BA"/>
    <w:rsid w:val="30A2534D"/>
    <w:rsid w:val="30A37A25"/>
    <w:rsid w:val="30A879BA"/>
    <w:rsid w:val="30AF69AB"/>
    <w:rsid w:val="30B64C25"/>
    <w:rsid w:val="30BA62B6"/>
    <w:rsid w:val="30C02B8C"/>
    <w:rsid w:val="30C41A6E"/>
    <w:rsid w:val="30C6739F"/>
    <w:rsid w:val="30D84F5C"/>
    <w:rsid w:val="30D95BA0"/>
    <w:rsid w:val="30DC4BD6"/>
    <w:rsid w:val="30DE7E00"/>
    <w:rsid w:val="30DF1FC9"/>
    <w:rsid w:val="30E509B6"/>
    <w:rsid w:val="30E87E58"/>
    <w:rsid w:val="30EB3994"/>
    <w:rsid w:val="30F04BD6"/>
    <w:rsid w:val="30F2771A"/>
    <w:rsid w:val="30F66F6F"/>
    <w:rsid w:val="310103AC"/>
    <w:rsid w:val="31025E7B"/>
    <w:rsid w:val="31026767"/>
    <w:rsid w:val="31035DBC"/>
    <w:rsid w:val="3108169F"/>
    <w:rsid w:val="310A66A3"/>
    <w:rsid w:val="310F3CB6"/>
    <w:rsid w:val="3111657C"/>
    <w:rsid w:val="311F4A1D"/>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57475"/>
    <w:rsid w:val="31692F62"/>
    <w:rsid w:val="316C7E94"/>
    <w:rsid w:val="316E46A1"/>
    <w:rsid w:val="31713A25"/>
    <w:rsid w:val="317B638F"/>
    <w:rsid w:val="31844348"/>
    <w:rsid w:val="31873D5E"/>
    <w:rsid w:val="31881AA2"/>
    <w:rsid w:val="318821E9"/>
    <w:rsid w:val="31885F90"/>
    <w:rsid w:val="318B4D8B"/>
    <w:rsid w:val="319747C2"/>
    <w:rsid w:val="31A41393"/>
    <w:rsid w:val="31A57F81"/>
    <w:rsid w:val="31A70420"/>
    <w:rsid w:val="31A86B8F"/>
    <w:rsid w:val="31AA671D"/>
    <w:rsid w:val="31AC4198"/>
    <w:rsid w:val="31B41B4E"/>
    <w:rsid w:val="31B55448"/>
    <w:rsid w:val="31C0094C"/>
    <w:rsid w:val="31C649A9"/>
    <w:rsid w:val="31CA235E"/>
    <w:rsid w:val="31CB7FC7"/>
    <w:rsid w:val="31CE18A9"/>
    <w:rsid w:val="31CF4261"/>
    <w:rsid w:val="31D360D7"/>
    <w:rsid w:val="31D84D84"/>
    <w:rsid w:val="31DE539E"/>
    <w:rsid w:val="31E048FE"/>
    <w:rsid w:val="31E85086"/>
    <w:rsid w:val="31E915E6"/>
    <w:rsid w:val="31EE087C"/>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2231D"/>
    <w:rsid w:val="325E7A37"/>
    <w:rsid w:val="32605735"/>
    <w:rsid w:val="326C7AFA"/>
    <w:rsid w:val="32700291"/>
    <w:rsid w:val="32756594"/>
    <w:rsid w:val="32784CA3"/>
    <w:rsid w:val="327B0A94"/>
    <w:rsid w:val="3285484B"/>
    <w:rsid w:val="328B56E0"/>
    <w:rsid w:val="328C6A65"/>
    <w:rsid w:val="329041F9"/>
    <w:rsid w:val="32922FD7"/>
    <w:rsid w:val="32933F70"/>
    <w:rsid w:val="32970DAF"/>
    <w:rsid w:val="32996D4B"/>
    <w:rsid w:val="32B27B7D"/>
    <w:rsid w:val="32B37D53"/>
    <w:rsid w:val="32B47213"/>
    <w:rsid w:val="32B67D8C"/>
    <w:rsid w:val="32BD342B"/>
    <w:rsid w:val="32BF0BF9"/>
    <w:rsid w:val="32BF5DF2"/>
    <w:rsid w:val="32C157F1"/>
    <w:rsid w:val="32C44AF7"/>
    <w:rsid w:val="32D26B58"/>
    <w:rsid w:val="32D72999"/>
    <w:rsid w:val="32D912FC"/>
    <w:rsid w:val="32DD2FD6"/>
    <w:rsid w:val="32DE7DAA"/>
    <w:rsid w:val="32E17D3A"/>
    <w:rsid w:val="32E73FA1"/>
    <w:rsid w:val="32E95112"/>
    <w:rsid w:val="32EA17B6"/>
    <w:rsid w:val="32EF2C1C"/>
    <w:rsid w:val="32F64BF5"/>
    <w:rsid w:val="32FC080A"/>
    <w:rsid w:val="32FC69EA"/>
    <w:rsid w:val="32FD60F2"/>
    <w:rsid w:val="32FF0E26"/>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569AB"/>
    <w:rsid w:val="335B244B"/>
    <w:rsid w:val="336265C9"/>
    <w:rsid w:val="336A752D"/>
    <w:rsid w:val="33705109"/>
    <w:rsid w:val="33712302"/>
    <w:rsid w:val="337202B8"/>
    <w:rsid w:val="33726127"/>
    <w:rsid w:val="3375460E"/>
    <w:rsid w:val="33771B49"/>
    <w:rsid w:val="33825C49"/>
    <w:rsid w:val="33851BF3"/>
    <w:rsid w:val="338B2C77"/>
    <w:rsid w:val="33904F3C"/>
    <w:rsid w:val="33947856"/>
    <w:rsid w:val="339859F4"/>
    <w:rsid w:val="33991775"/>
    <w:rsid w:val="339E6AA5"/>
    <w:rsid w:val="33A1408D"/>
    <w:rsid w:val="33A7394A"/>
    <w:rsid w:val="33BA6DAB"/>
    <w:rsid w:val="33BB3797"/>
    <w:rsid w:val="33BF0C11"/>
    <w:rsid w:val="33C52ABC"/>
    <w:rsid w:val="33CA06A0"/>
    <w:rsid w:val="33E829D4"/>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3D7FB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8E62EB"/>
    <w:rsid w:val="349044E5"/>
    <w:rsid w:val="34920BD2"/>
    <w:rsid w:val="349833B9"/>
    <w:rsid w:val="349843E6"/>
    <w:rsid w:val="349B65DA"/>
    <w:rsid w:val="349C11FB"/>
    <w:rsid w:val="34A05180"/>
    <w:rsid w:val="34A50560"/>
    <w:rsid w:val="34A72315"/>
    <w:rsid w:val="34A76222"/>
    <w:rsid w:val="34AF3A4C"/>
    <w:rsid w:val="34B4045E"/>
    <w:rsid w:val="34B477A2"/>
    <w:rsid w:val="34BB1DA7"/>
    <w:rsid w:val="34C33186"/>
    <w:rsid w:val="34C5664E"/>
    <w:rsid w:val="34C60556"/>
    <w:rsid w:val="34C66DE1"/>
    <w:rsid w:val="34CA51D8"/>
    <w:rsid w:val="34D82996"/>
    <w:rsid w:val="34E157DF"/>
    <w:rsid w:val="34E319B5"/>
    <w:rsid w:val="34E95802"/>
    <w:rsid w:val="34EB52CF"/>
    <w:rsid w:val="34F72982"/>
    <w:rsid w:val="35052E5A"/>
    <w:rsid w:val="350539CE"/>
    <w:rsid w:val="350937A0"/>
    <w:rsid w:val="350F48CD"/>
    <w:rsid w:val="35152C10"/>
    <w:rsid w:val="35174818"/>
    <w:rsid w:val="35182215"/>
    <w:rsid w:val="351B60C1"/>
    <w:rsid w:val="351B6399"/>
    <w:rsid w:val="35292322"/>
    <w:rsid w:val="352E6DCD"/>
    <w:rsid w:val="35311FD5"/>
    <w:rsid w:val="3533584E"/>
    <w:rsid w:val="353540CD"/>
    <w:rsid w:val="353E1DE5"/>
    <w:rsid w:val="353F3676"/>
    <w:rsid w:val="35425BE4"/>
    <w:rsid w:val="3543437C"/>
    <w:rsid w:val="35457908"/>
    <w:rsid w:val="35471BA1"/>
    <w:rsid w:val="354D2AAA"/>
    <w:rsid w:val="354D4E93"/>
    <w:rsid w:val="35506BDA"/>
    <w:rsid w:val="3559235C"/>
    <w:rsid w:val="355B2AD6"/>
    <w:rsid w:val="355E0D20"/>
    <w:rsid w:val="35621298"/>
    <w:rsid w:val="356532E7"/>
    <w:rsid w:val="35664830"/>
    <w:rsid w:val="356D3B80"/>
    <w:rsid w:val="357D28A5"/>
    <w:rsid w:val="357E5620"/>
    <w:rsid w:val="35813D37"/>
    <w:rsid w:val="35816089"/>
    <w:rsid w:val="35817907"/>
    <w:rsid w:val="35825908"/>
    <w:rsid w:val="358F6D54"/>
    <w:rsid w:val="3592738C"/>
    <w:rsid w:val="3598725E"/>
    <w:rsid w:val="359979C1"/>
    <w:rsid w:val="359F691B"/>
    <w:rsid w:val="35A85B74"/>
    <w:rsid w:val="35A93699"/>
    <w:rsid w:val="35B46047"/>
    <w:rsid w:val="35BA3206"/>
    <w:rsid w:val="35BE0E24"/>
    <w:rsid w:val="35C17C7C"/>
    <w:rsid w:val="35C737A2"/>
    <w:rsid w:val="35CD118E"/>
    <w:rsid w:val="35D72B1B"/>
    <w:rsid w:val="35E1422A"/>
    <w:rsid w:val="35E82CCA"/>
    <w:rsid w:val="35E94278"/>
    <w:rsid w:val="35EB2475"/>
    <w:rsid w:val="35ED15D8"/>
    <w:rsid w:val="35ED78B2"/>
    <w:rsid w:val="35F253D6"/>
    <w:rsid w:val="35F81959"/>
    <w:rsid w:val="36032297"/>
    <w:rsid w:val="36097F16"/>
    <w:rsid w:val="360C27FC"/>
    <w:rsid w:val="36222A1B"/>
    <w:rsid w:val="362418C3"/>
    <w:rsid w:val="363028AC"/>
    <w:rsid w:val="363600F7"/>
    <w:rsid w:val="36363818"/>
    <w:rsid w:val="36396621"/>
    <w:rsid w:val="363B4CE0"/>
    <w:rsid w:val="3641568A"/>
    <w:rsid w:val="36443F40"/>
    <w:rsid w:val="36484DD5"/>
    <w:rsid w:val="36490095"/>
    <w:rsid w:val="365612FF"/>
    <w:rsid w:val="365629FE"/>
    <w:rsid w:val="365E711B"/>
    <w:rsid w:val="366A2478"/>
    <w:rsid w:val="366D0132"/>
    <w:rsid w:val="366E0859"/>
    <w:rsid w:val="36704397"/>
    <w:rsid w:val="36721BC6"/>
    <w:rsid w:val="367857DF"/>
    <w:rsid w:val="367D3756"/>
    <w:rsid w:val="36837539"/>
    <w:rsid w:val="36841DAF"/>
    <w:rsid w:val="368A3831"/>
    <w:rsid w:val="36933DCE"/>
    <w:rsid w:val="36A72B98"/>
    <w:rsid w:val="36A871B1"/>
    <w:rsid w:val="36A93FF3"/>
    <w:rsid w:val="36AB673F"/>
    <w:rsid w:val="36B42485"/>
    <w:rsid w:val="36B54261"/>
    <w:rsid w:val="36B67FC4"/>
    <w:rsid w:val="36B7786D"/>
    <w:rsid w:val="36B93C0A"/>
    <w:rsid w:val="36B93E5D"/>
    <w:rsid w:val="36CD037D"/>
    <w:rsid w:val="36CE012C"/>
    <w:rsid w:val="36DB1057"/>
    <w:rsid w:val="36DB6FD7"/>
    <w:rsid w:val="36DE2EAD"/>
    <w:rsid w:val="36DF6D3A"/>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39C7"/>
    <w:rsid w:val="372E465A"/>
    <w:rsid w:val="37382537"/>
    <w:rsid w:val="37413CBB"/>
    <w:rsid w:val="37430055"/>
    <w:rsid w:val="3750765A"/>
    <w:rsid w:val="375246AE"/>
    <w:rsid w:val="37623834"/>
    <w:rsid w:val="37674BAF"/>
    <w:rsid w:val="376D31BE"/>
    <w:rsid w:val="37731700"/>
    <w:rsid w:val="37796A29"/>
    <w:rsid w:val="377A2FD1"/>
    <w:rsid w:val="378622FD"/>
    <w:rsid w:val="378722CF"/>
    <w:rsid w:val="37946F1E"/>
    <w:rsid w:val="37972405"/>
    <w:rsid w:val="37A327A6"/>
    <w:rsid w:val="37A63FC9"/>
    <w:rsid w:val="37A7404F"/>
    <w:rsid w:val="37AA0AA6"/>
    <w:rsid w:val="37AB63D8"/>
    <w:rsid w:val="37BB71C5"/>
    <w:rsid w:val="37C969DF"/>
    <w:rsid w:val="37CE6D63"/>
    <w:rsid w:val="37D00E5F"/>
    <w:rsid w:val="37D41C80"/>
    <w:rsid w:val="37D83379"/>
    <w:rsid w:val="37F1004D"/>
    <w:rsid w:val="37F610A9"/>
    <w:rsid w:val="37F8391D"/>
    <w:rsid w:val="37FC0618"/>
    <w:rsid w:val="37FC6A45"/>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370368"/>
    <w:rsid w:val="384B717D"/>
    <w:rsid w:val="384D47BA"/>
    <w:rsid w:val="385744D7"/>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F4126"/>
    <w:rsid w:val="38A25348"/>
    <w:rsid w:val="38A86593"/>
    <w:rsid w:val="38AE477B"/>
    <w:rsid w:val="38B54764"/>
    <w:rsid w:val="38BE344B"/>
    <w:rsid w:val="38BF50D4"/>
    <w:rsid w:val="38CB4881"/>
    <w:rsid w:val="38D71DA8"/>
    <w:rsid w:val="38EA37CF"/>
    <w:rsid w:val="38ED2171"/>
    <w:rsid w:val="38F16824"/>
    <w:rsid w:val="38F3347A"/>
    <w:rsid w:val="38FA5F28"/>
    <w:rsid w:val="39094419"/>
    <w:rsid w:val="390E1FDB"/>
    <w:rsid w:val="391856C6"/>
    <w:rsid w:val="391E0BE4"/>
    <w:rsid w:val="3923166A"/>
    <w:rsid w:val="39261AF9"/>
    <w:rsid w:val="392745E2"/>
    <w:rsid w:val="392C4DA2"/>
    <w:rsid w:val="392D1312"/>
    <w:rsid w:val="392F7D74"/>
    <w:rsid w:val="3933346A"/>
    <w:rsid w:val="39372FDA"/>
    <w:rsid w:val="393F316E"/>
    <w:rsid w:val="39450D00"/>
    <w:rsid w:val="394A1F57"/>
    <w:rsid w:val="39545758"/>
    <w:rsid w:val="39575F7A"/>
    <w:rsid w:val="395C2867"/>
    <w:rsid w:val="395F5EE2"/>
    <w:rsid w:val="39680555"/>
    <w:rsid w:val="396D32D7"/>
    <w:rsid w:val="396E15FA"/>
    <w:rsid w:val="39717A15"/>
    <w:rsid w:val="39730417"/>
    <w:rsid w:val="39741792"/>
    <w:rsid w:val="39775926"/>
    <w:rsid w:val="397A5E35"/>
    <w:rsid w:val="397D1396"/>
    <w:rsid w:val="3981746A"/>
    <w:rsid w:val="39850838"/>
    <w:rsid w:val="398E1897"/>
    <w:rsid w:val="39917E76"/>
    <w:rsid w:val="39931208"/>
    <w:rsid w:val="39977CA8"/>
    <w:rsid w:val="39A32391"/>
    <w:rsid w:val="39A85BAD"/>
    <w:rsid w:val="39A95B31"/>
    <w:rsid w:val="39B53EA1"/>
    <w:rsid w:val="39B77A5E"/>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0E17C4"/>
    <w:rsid w:val="3A13646F"/>
    <w:rsid w:val="3A1A06CD"/>
    <w:rsid w:val="3A1F4E17"/>
    <w:rsid w:val="3A214BDA"/>
    <w:rsid w:val="3A23096C"/>
    <w:rsid w:val="3A250311"/>
    <w:rsid w:val="3A276787"/>
    <w:rsid w:val="3A2914BC"/>
    <w:rsid w:val="3A293886"/>
    <w:rsid w:val="3A2D4D06"/>
    <w:rsid w:val="3A3342CA"/>
    <w:rsid w:val="3A376046"/>
    <w:rsid w:val="3A3A7E56"/>
    <w:rsid w:val="3A3D7BEE"/>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643F6"/>
    <w:rsid w:val="3AB705DC"/>
    <w:rsid w:val="3AB7641D"/>
    <w:rsid w:val="3ABA1C58"/>
    <w:rsid w:val="3AC65EDE"/>
    <w:rsid w:val="3ACD36DF"/>
    <w:rsid w:val="3AD42257"/>
    <w:rsid w:val="3AD54094"/>
    <w:rsid w:val="3AD63AE5"/>
    <w:rsid w:val="3AD748F8"/>
    <w:rsid w:val="3AD86CB5"/>
    <w:rsid w:val="3ADB33BF"/>
    <w:rsid w:val="3ADC0A6D"/>
    <w:rsid w:val="3ADE2A58"/>
    <w:rsid w:val="3ADF247F"/>
    <w:rsid w:val="3AE10B62"/>
    <w:rsid w:val="3AE67AAF"/>
    <w:rsid w:val="3AE85039"/>
    <w:rsid w:val="3AE929DC"/>
    <w:rsid w:val="3AEF1382"/>
    <w:rsid w:val="3AF23EB4"/>
    <w:rsid w:val="3AF80CD5"/>
    <w:rsid w:val="3B0551A7"/>
    <w:rsid w:val="3B097412"/>
    <w:rsid w:val="3B0B6E12"/>
    <w:rsid w:val="3B180BC8"/>
    <w:rsid w:val="3B1F2E92"/>
    <w:rsid w:val="3B1F5346"/>
    <w:rsid w:val="3B213E5A"/>
    <w:rsid w:val="3B2B1AB8"/>
    <w:rsid w:val="3B31792D"/>
    <w:rsid w:val="3B350FB0"/>
    <w:rsid w:val="3B3918CD"/>
    <w:rsid w:val="3B39669F"/>
    <w:rsid w:val="3B3A2D8A"/>
    <w:rsid w:val="3B3B4DE6"/>
    <w:rsid w:val="3B3D5762"/>
    <w:rsid w:val="3B450639"/>
    <w:rsid w:val="3B463754"/>
    <w:rsid w:val="3B4B36D4"/>
    <w:rsid w:val="3B4D4ECE"/>
    <w:rsid w:val="3B530269"/>
    <w:rsid w:val="3B537180"/>
    <w:rsid w:val="3B5E1708"/>
    <w:rsid w:val="3B613725"/>
    <w:rsid w:val="3B6254E6"/>
    <w:rsid w:val="3B62550E"/>
    <w:rsid w:val="3B6271AB"/>
    <w:rsid w:val="3B6F5D77"/>
    <w:rsid w:val="3B761121"/>
    <w:rsid w:val="3B795E9B"/>
    <w:rsid w:val="3B7B0727"/>
    <w:rsid w:val="3B7F3BFE"/>
    <w:rsid w:val="3B8203A0"/>
    <w:rsid w:val="3B8D222A"/>
    <w:rsid w:val="3B9059E7"/>
    <w:rsid w:val="3B916AEB"/>
    <w:rsid w:val="3B9733D4"/>
    <w:rsid w:val="3B973B3F"/>
    <w:rsid w:val="3B98100A"/>
    <w:rsid w:val="3B9C3902"/>
    <w:rsid w:val="3BA35366"/>
    <w:rsid w:val="3BA45C50"/>
    <w:rsid w:val="3BA71C6A"/>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2D795B"/>
    <w:rsid w:val="3C3D1818"/>
    <w:rsid w:val="3C462744"/>
    <w:rsid w:val="3C5061C7"/>
    <w:rsid w:val="3C5364F3"/>
    <w:rsid w:val="3C5B694C"/>
    <w:rsid w:val="3C5E18FC"/>
    <w:rsid w:val="3C5F0E5A"/>
    <w:rsid w:val="3C620954"/>
    <w:rsid w:val="3C635990"/>
    <w:rsid w:val="3C6449EE"/>
    <w:rsid w:val="3C646598"/>
    <w:rsid w:val="3C6E215C"/>
    <w:rsid w:val="3C726B87"/>
    <w:rsid w:val="3C7654FD"/>
    <w:rsid w:val="3C7C233A"/>
    <w:rsid w:val="3C8105DC"/>
    <w:rsid w:val="3C8707F4"/>
    <w:rsid w:val="3C8E6ACF"/>
    <w:rsid w:val="3C8F63E5"/>
    <w:rsid w:val="3C9B0FC1"/>
    <w:rsid w:val="3CAA67F9"/>
    <w:rsid w:val="3CB42C70"/>
    <w:rsid w:val="3CB44305"/>
    <w:rsid w:val="3CB86919"/>
    <w:rsid w:val="3CBF5CB5"/>
    <w:rsid w:val="3CC12AC6"/>
    <w:rsid w:val="3CD25EFD"/>
    <w:rsid w:val="3CD27DA4"/>
    <w:rsid w:val="3CD554C9"/>
    <w:rsid w:val="3CD8086F"/>
    <w:rsid w:val="3CD84477"/>
    <w:rsid w:val="3CD85019"/>
    <w:rsid w:val="3CDC4BE9"/>
    <w:rsid w:val="3CE33AA5"/>
    <w:rsid w:val="3D03070D"/>
    <w:rsid w:val="3D095557"/>
    <w:rsid w:val="3D096EE5"/>
    <w:rsid w:val="3D0B622A"/>
    <w:rsid w:val="3D2252CB"/>
    <w:rsid w:val="3D2A0D70"/>
    <w:rsid w:val="3D2A6C6D"/>
    <w:rsid w:val="3D2F62CF"/>
    <w:rsid w:val="3D311E8F"/>
    <w:rsid w:val="3D3155F7"/>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253C4"/>
    <w:rsid w:val="3DA5148E"/>
    <w:rsid w:val="3DA72EE8"/>
    <w:rsid w:val="3DB13037"/>
    <w:rsid w:val="3DC502AB"/>
    <w:rsid w:val="3DCB4DF5"/>
    <w:rsid w:val="3DCC6909"/>
    <w:rsid w:val="3DD057F5"/>
    <w:rsid w:val="3DD23404"/>
    <w:rsid w:val="3DD74E98"/>
    <w:rsid w:val="3DDA40AD"/>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C09AF"/>
    <w:rsid w:val="3E1E5F09"/>
    <w:rsid w:val="3E1F0ADB"/>
    <w:rsid w:val="3E230026"/>
    <w:rsid w:val="3E275A52"/>
    <w:rsid w:val="3E2C0333"/>
    <w:rsid w:val="3E302DD3"/>
    <w:rsid w:val="3E364E0A"/>
    <w:rsid w:val="3E3A425C"/>
    <w:rsid w:val="3E3F7AEF"/>
    <w:rsid w:val="3E452C1B"/>
    <w:rsid w:val="3E484D24"/>
    <w:rsid w:val="3E495E72"/>
    <w:rsid w:val="3E4A589B"/>
    <w:rsid w:val="3E4D564A"/>
    <w:rsid w:val="3E5211EF"/>
    <w:rsid w:val="3E5A402D"/>
    <w:rsid w:val="3E642967"/>
    <w:rsid w:val="3E64612D"/>
    <w:rsid w:val="3E6713DE"/>
    <w:rsid w:val="3E6A4946"/>
    <w:rsid w:val="3E6B0E94"/>
    <w:rsid w:val="3E6D7B84"/>
    <w:rsid w:val="3E6E592C"/>
    <w:rsid w:val="3E7E1EF3"/>
    <w:rsid w:val="3E8015D5"/>
    <w:rsid w:val="3E8B0DB8"/>
    <w:rsid w:val="3E8C49FF"/>
    <w:rsid w:val="3E95018E"/>
    <w:rsid w:val="3E964160"/>
    <w:rsid w:val="3E964D9B"/>
    <w:rsid w:val="3EA3323E"/>
    <w:rsid w:val="3EA46FF9"/>
    <w:rsid w:val="3EA645CC"/>
    <w:rsid w:val="3EAC39D4"/>
    <w:rsid w:val="3EB307C4"/>
    <w:rsid w:val="3EB770F1"/>
    <w:rsid w:val="3EBB576E"/>
    <w:rsid w:val="3EBF5A51"/>
    <w:rsid w:val="3EC10D3E"/>
    <w:rsid w:val="3EC22DA5"/>
    <w:rsid w:val="3EC35E0E"/>
    <w:rsid w:val="3EC87D64"/>
    <w:rsid w:val="3ECB352A"/>
    <w:rsid w:val="3ECD5D94"/>
    <w:rsid w:val="3ECE445A"/>
    <w:rsid w:val="3ECF6863"/>
    <w:rsid w:val="3ED026C1"/>
    <w:rsid w:val="3ED218A0"/>
    <w:rsid w:val="3ED65D9E"/>
    <w:rsid w:val="3EDF3F5A"/>
    <w:rsid w:val="3EE10C7E"/>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4349C6"/>
    <w:rsid w:val="3F496200"/>
    <w:rsid w:val="3F4F19AF"/>
    <w:rsid w:val="3F5A65B9"/>
    <w:rsid w:val="3F5B3ABC"/>
    <w:rsid w:val="3F654EE4"/>
    <w:rsid w:val="3F655CF0"/>
    <w:rsid w:val="3F672747"/>
    <w:rsid w:val="3F6D06DB"/>
    <w:rsid w:val="3F6E3744"/>
    <w:rsid w:val="3F7137D4"/>
    <w:rsid w:val="3F773C6D"/>
    <w:rsid w:val="3F7861D1"/>
    <w:rsid w:val="3F8725BC"/>
    <w:rsid w:val="3F8841BC"/>
    <w:rsid w:val="3F8C0DC1"/>
    <w:rsid w:val="3F9169C1"/>
    <w:rsid w:val="3FA17552"/>
    <w:rsid w:val="3FA77042"/>
    <w:rsid w:val="3FAA09B4"/>
    <w:rsid w:val="3FAA1F65"/>
    <w:rsid w:val="3FAC379D"/>
    <w:rsid w:val="3FBC0878"/>
    <w:rsid w:val="3FBD530E"/>
    <w:rsid w:val="3FCD091D"/>
    <w:rsid w:val="3FD22CEB"/>
    <w:rsid w:val="3FD267B2"/>
    <w:rsid w:val="3FE3743A"/>
    <w:rsid w:val="3FE6358E"/>
    <w:rsid w:val="3FEA4351"/>
    <w:rsid w:val="3FEB25EC"/>
    <w:rsid w:val="3FF33CFC"/>
    <w:rsid w:val="3FF354EE"/>
    <w:rsid w:val="3FF46963"/>
    <w:rsid w:val="3FF54B8B"/>
    <w:rsid w:val="3FF74C54"/>
    <w:rsid w:val="3FFB5098"/>
    <w:rsid w:val="3FFB659B"/>
    <w:rsid w:val="3FFC201A"/>
    <w:rsid w:val="3FFC728C"/>
    <w:rsid w:val="3FFF36E0"/>
    <w:rsid w:val="4009185D"/>
    <w:rsid w:val="400A1B69"/>
    <w:rsid w:val="4010048F"/>
    <w:rsid w:val="40102D21"/>
    <w:rsid w:val="401550FC"/>
    <w:rsid w:val="401B387A"/>
    <w:rsid w:val="401D7677"/>
    <w:rsid w:val="402B42A6"/>
    <w:rsid w:val="402C4147"/>
    <w:rsid w:val="402E64F6"/>
    <w:rsid w:val="40425E53"/>
    <w:rsid w:val="404B7F98"/>
    <w:rsid w:val="404F0D71"/>
    <w:rsid w:val="405227E5"/>
    <w:rsid w:val="405C60C7"/>
    <w:rsid w:val="4064526D"/>
    <w:rsid w:val="40711817"/>
    <w:rsid w:val="40852331"/>
    <w:rsid w:val="40857C15"/>
    <w:rsid w:val="408858A3"/>
    <w:rsid w:val="408D3F35"/>
    <w:rsid w:val="408E5F96"/>
    <w:rsid w:val="40945D23"/>
    <w:rsid w:val="40947236"/>
    <w:rsid w:val="40951880"/>
    <w:rsid w:val="40953B71"/>
    <w:rsid w:val="409B1C4D"/>
    <w:rsid w:val="409C5FA4"/>
    <w:rsid w:val="409E5E65"/>
    <w:rsid w:val="40A77203"/>
    <w:rsid w:val="40AB162F"/>
    <w:rsid w:val="40B536F2"/>
    <w:rsid w:val="40BA653B"/>
    <w:rsid w:val="40BA680B"/>
    <w:rsid w:val="40C54AFC"/>
    <w:rsid w:val="40C71613"/>
    <w:rsid w:val="40CC28AB"/>
    <w:rsid w:val="40CD323A"/>
    <w:rsid w:val="40D07877"/>
    <w:rsid w:val="40D3441B"/>
    <w:rsid w:val="40D92041"/>
    <w:rsid w:val="40DC4586"/>
    <w:rsid w:val="40DC542A"/>
    <w:rsid w:val="40E3185A"/>
    <w:rsid w:val="40E37809"/>
    <w:rsid w:val="40E61D20"/>
    <w:rsid w:val="40E84BC5"/>
    <w:rsid w:val="40F62B04"/>
    <w:rsid w:val="40F80976"/>
    <w:rsid w:val="40FC7F91"/>
    <w:rsid w:val="4101056F"/>
    <w:rsid w:val="410325A4"/>
    <w:rsid w:val="411B2ABE"/>
    <w:rsid w:val="41352229"/>
    <w:rsid w:val="41361C7D"/>
    <w:rsid w:val="41386614"/>
    <w:rsid w:val="413A4789"/>
    <w:rsid w:val="414175C0"/>
    <w:rsid w:val="414204A1"/>
    <w:rsid w:val="414469FF"/>
    <w:rsid w:val="414A49B9"/>
    <w:rsid w:val="41520AC3"/>
    <w:rsid w:val="41523E4B"/>
    <w:rsid w:val="415343B9"/>
    <w:rsid w:val="415772B6"/>
    <w:rsid w:val="415D0B5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92C37"/>
    <w:rsid w:val="41DA2D7D"/>
    <w:rsid w:val="41E008B2"/>
    <w:rsid w:val="41E11EC6"/>
    <w:rsid w:val="41E2108F"/>
    <w:rsid w:val="41E44267"/>
    <w:rsid w:val="41E621F2"/>
    <w:rsid w:val="41F2544D"/>
    <w:rsid w:val="41F33723"/>
    <w:rsid w:val="41F41496"/>
    <w:rsid w:val="41F8201F"/>
    <w:rsid w:val="42052BE7"/>
    <w:rsid w:val="42152FB1"/>
    <w:rsid w:val="421D27C6"/>
    <w:rsid w:val="422004A7"/>
    <w:rsid w:val="422E0991"/>
    <w:rsid w:val="422E5BA7"/>
    <w:rsid w:val="42325E07"/>
    <w:rsid w:val="42342D08"/>
    <w:rsid w:val="42352FBC"/>
    <w:rsid w:val="423C7488"/>
    <w:rsid w:val="424250AF"/>
    <w:rsid w:val="42444686"/>
    <w:rsid w:val="42466082"/>
    <w:rsid w:val="425062B5"/>
    <w:rsid w:val="42566684"/>
    <w:rsid w:val="42591C79"/>
    <w:rsid w:val="425B190B"/>
    <w:rsid w:val="425E13F0"/>
    <w:rsid w:val="426219DF"/>
    <w:rsid w:val="42656BF3"/>
    <w:rsid w:val="426B5FA6"/>
    <w:rsid w:val="426F5A74"/>
    <w:rsid w:val="42757194"/>
    <w:rsid w:val="42762F7B"/>
    <w:rsid w:val="42765C76"/>
    <w:rsid w:val="42777E2B"/>
    <w:rsid w:val="42791D17"/>
    <w:rsid w:val="427D3490"/>
    <w:rsid w:val="427F65BC"/>
    <w:rsid w:val="4282140A"/>
    <w:rsid w:val="42882501"/>
    <w:rsid w:val="428A78C4"/>
    <w:rsid w:val="42945691"/>
    <w:rsid w:val="429747E5"/>
    <w:rsid w:val="429C745A"/>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43ED9"/>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953660"/>
    <w:rsid w:val="43A17D02"/>
    <w:rsid w:val="43AF3D36"/>
    <w:rsid w:val="43B13719"/>
    <w:rsid w:val="43BB5A16"/>
    <w:rsid w:val="43BD1EA5"/>
    <w:rsid w:val="43CD2F77"/>
    <w:rsid w:val="43D14D45"/>
    <w:rsid w:val="43D61947"/>
    <w:rsid w:val="43D97CE3"/>
    <w:rsid w:val="43E56252"/>
    <w:rsid w:val="43EA6859"/>
    <w:rsid w:val="43EC7A55"/>
    <w:rsid w:val="43F25507"/>
    <w:rsid w:val="43F479C1"/>
    <w:rsid w:val="43F747E6"/>
    <w:rsid w:val="43F916C2"/>
    <w:rsid w:val="43F97649"/>
    <w:rsid w:val="43FE7D50"/>
    <w:rsid w:val="44030D6D"/>
    <w:rsid w:val="4408216C"/>
    <w:rsid w:val="44116F52"/>
    <w:rsid w:val="441642DA"/>
    <w:rsid w:val="441E1781"/>
    <w:rsid w:val="4422384F"/>
    <w:rsid w:val="442F2730"/>
    <w:rsid w:val="443311D1"/>
    <w:rsid w:val="443E2A93"/>
    <w:rsid w:val="443F521B"/>
    <w:rsid w:val="44427484"/>
    <w:rsid w:val="44444B14"/>
    <w:rsid w:val="444B2A8C"/>
    <w:rsid w:val="44516146"/>
    <w:rsid w:val="445B4590"/>
    <w:rsid w:val="446C0EA9"/>
    <w:rsid w:val="446E1BDA"/>
    <w:rsid w:val="44754893"/>
    <w:rsid w:val="4476089A"/>
    <w:rsid w:val="447847FC"/>
    <w:rsid w:val="4478566C"/>
    <w:rsid w:val="447A1E68"/>
    <w:rsid w:val="447D5911"/>
    <w:rsid w:val="44852E6D"/>
    <w:rsid w:val="44860BB6"/>
    <w:rsid w:val="448816B6"/>
    <w:rsid w:val="44912CC3"/>
    <w:rsid w:val="449319E5"/>
    <w:rsid w:val="449454D0"/>
    <w:rsid w:val="449A45B3"/>
    <w:rsid w:val="449E2FB2"/>
    <w:rsid w:val="44A34A8B"/>
    <w:rsid w:val="44A57709"/>
    <w:rsid w:val="44A9477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1D7728"/>
    <w:rsid w:val="45246BAC"/>
    <w:rsid w:val="452504F3"/>
    <w:rsid w:val="45272719"/>
    <w:rsid w:val="452A7854"/>
    <w:rsid w:val="452D2540"/>
    <w:rsid w:val="453D2DD1"/>
    <w:rsid w:val="454061F0"/>
    <w:rsid w:val="454367E9"/>
    <w:rsid w:val="455D46CC"/>
    <w:rsid w:val="455F3602"/>
    <w:rsid w:val="45793B89"/>
    <w:rsid w:val="457F1EF2"/>
    <w:rsid w:val="457F5DFA"/>
    <w:rsid w:val="45823EF1"/>
    <w:rsid w:val="45833A04"/>
    <w:rsid w:val="45840CA9"/>
    <w:rsid w:val="45892961"/>
    <w:rsid w:val="458B6A0A"/>
    <w:rsid w:val="45911C91"/>
    <w:rsid w:val="459B0BF5"/>
    <w:rsid w:val="459C3601"/>
    <w:rsid w:val="45A078D0"/>
    <w:rsid w:val="45A11DC8"/>
    <w:rsid w:val="45A15B59"/>
    <w:rsid w:val="45AA12BC"/>
    <w:rsid w:val="45B77EAD"/>
    <w:rsid w:val="45BC03D9"/>
    <w:rsid w:val="45BD2B00"/>
    <w:rsid w:val="45C50197"/>
    <w:rsid w:val="45C9418D"/>
    <w:rsid w:val="45D34CA8"/>
    <w:rsid w:val="45D61F5C"/>
    <w:rsid w:val="45D749C8"/>
    <w:rsid w:val="45EA376E"/>
    <w:rsid w:val="45EB4B7D"/>
    <w:rsid w:val="45ED130D"/>
    <w:rsid w:val="45ED1F21"/>
    <w:rsid w:val="45EF30E3"/>
    <w:rsid w:val="45F6196B"/>
    <w:rsid w:val="45F8123A"/>
    <w:rsid w:val="45FC14DD"/>
    <w:rsid w:val="45FE6AF6"/>
    <w:rsid w:val="460B6235"/>
    <w:rsid w:val="46170F64"/>
    <w:rsid w:val="462538C3"/>
    <w:rsid w:val="46283EBC"/>
    <w:rsid w:val="462A540E"/>
    <w:rsid w:val="462C2C0B"/>
    <w:rsid w:val="462F1795"/>
    <w:rsid w:val="46325FE0"/>
    <w:rsid w:val="463D5F4E"/>
    <w:rsid w:val="46494538"/>
    <w:rsid w:val="4649542D"/>
    <w:rsid w:val="466276A2"/>
    <w:rsid w:val="466600B0"/>
    <w:rsid w:val="466E7893"/>
    <w:rsid w:val="467936D2"/>
    <w:rsid w:val="46820676"/>
    <w:rsid w:val="46873303"/>
    <w:rsid w:val="46891A23"/>
    <w:rsid w:val="468F17FD"/>
    <w:rsid w:val="468F56BB"/>
    <w:rsid w:val="469417EE"/>
    <w:rsid w:val="46951EF7"/>
    <w:rsid w:val="46954D1C"/>
    <w:rsid w:val="46961019"/>
    <w:rsid w:val="469A348A"/>
    <w:rsid w:val="469E62EA"/>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62721"/>
    <w:rsid w:val="46F66036"/>
    <w:rsid w:val="46FA20C5"/>
    <w:rsid w:val="470579A9"/>
    <w:rsid w:val="470965C4"/>
    <w:rsid w:val="470F7037"/>
    <w:rsid w:val="471401E1"/>
    <w:rsid w:val="472130DC"/>
    <w:rsid w:val="47287ED3"/>
    <w:rsid w:val="472B436D"/>
    <w:rsid w:val="472B7711"/>
    <w:rsid w:val="473707E0"/>
    <w:rsid w:val="47385B1F"/>
    <w:rsid w:val="47402977"/>
    <w:rsid w:val="47434715"/>
    <w:rsid w:val="474A3ED0"/>
    <w:rsid w:val="474E2B60"/>
    <w:rsid w:val="474F2EB0"/>
    <w:rsid w:val="47570762"/>
    <w:rsid w:val="475C29E1"/>
    <w:rsid w:val="47610698"/>
    <w:rsid w:val="4762363F"/>
    <w:rsid w:val="47633155"/>
    <w:rsid w:val="476D63CA"/>
    <w:rsid w:val="47747010"/>
    <w:rsid w:val="47784A11"/>
    <w:rsid w:val="477F4A54"/>
    <w:rsid w:val="478033DA"/>
    <w:rsid w:val="47831305"/>
    <w:rsid w:val="47843193"/>
    <w:rsid w:val="478753F1"/>
    <w:rsid w:val="478C047B"/>
    <w:rsid w:val="478D3050"/>
    <w:rsid w:val="478D7135"/>
    <w:rsid w:val="47964B9F"/>
    <w:rsid w:val="4797152B"/>
    <w:rsid w:val="479846DE"/>
    <w:rsid w:val="479B074E"/>
    <w:rsid w:val="47A04900"/>
    <w:rsid w:val="47A42B17"/>
    <w:rsid w:val="47A63299"/>
    <w:rsid w:val="47A67150"/>
    <w:rsid w:val="47A863DE"/>
    <w:rsid w:val="47B21E44"/>
    <w:rsid w:val="47B8046A"/>
    <w:rsid w:val="47B81186"/>
    <w:rsid w:val="47B935C6"/>
    <w:rsid w:val="47C05015"/>
    <w:rsid w:val="47C12DC5"/>
    <w:rsid w:val="47C30919"/>
    <w:rsid w:val="47C43AF6"/>
    <w:rsid w:val="47C51170"/>
    <w:rsid w:val="47C9638D"/>
    <w:rsid w:val="47D03A31"/>
    <w:rsid w:val="47D32D03"/>
    <w:rsid w:val="47D33ABC"/>
    <w:rsid w:val="47D40016"/>
    <w:rsid w:val="47D75B03"/>
    <w:rsid w:val="47DE1933"/>
    <w:rsid w:val="47E411B2"/>
    <w:rsid w:val="47E60FD0"/>
    <w:rsid w:val="47F275A4"/>
    <w:rsid w:val="47F50230"/>
    <w:rsid w:val="48022AD0"/>
    <w:rsid w:val="480B18DA"/>
    <w:rsid w:val="480E3DFB"/>
    <w:rsid w:val="48137D1F"/>
    <w:rsid w:val="48163C42"/>
    <w:rsid w:val="48190EAB"/>
    <w:rsid w:val="481D0D6A"/>
    <w:rsid w:val="482031D4"/>
    <w:rsid w:val="482156FA"/>
    <w:rsid w:val="48295E9F"/>
    <w:rsid w:val="482F5F12"/>
    <w:rsid w:val="483249FF"/>
    <w:rsid w:val="483364B6"/>
    <w:rsid w:val="483B38A0"/>
    <w:rsid w:val="483F6AAC"/>
    <w:rsid w:val="48403765"/>
    <w:rsid w:val="48482D5A"/>
    <w:rsid w:val="484B710C"/>
    <w:rsid w:val="484C306D"/>
    <w:rsid w:val="485119A2"/>
    <w:rsid w:val="485573E8"/>
    <w:rsid w:val="48612454"/>
    <w:rsid w:val="4867618C"/>
    <w:rsid w:val="486E2355"/>
    <w:rsid w:val="48707991"/>
    <w:rsid w:val="48724E89"/>
    <w:rsid w:val="48733ADD"/>
    <w:rsid w:val="4885764A"/>
    <w:rsid w:val="4887326C"/>
    <w:rsid w:val="48896DE5"/>
    <w:rsid w:val="488F396A"/>
    <w:rsid w:val="48971031"/>
    <w:rsid w:val="4899648A"/>
    <w:rsid w:val="48A46E9E"/>
    <w:rsid w:val="48A60DAF"/>
    <w:rsid w:val="48AE2134"/>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19DE"/>
    <w:rsid w:val="490E68F3"/>
    <w:rsid w:val="49184823"/>
    <w:rsid w:val="49196DB6"/>
    <w:rsid w:val="491B4227"/>
    <w:rsid w:val="492B43A8"/>
    <w:rsid w:val="4933190E"/>
    <w:rsid w:val="49333F4C"/>
    <w:rsid w:val="493647EE"/>
    <w:rsid w:val="49472D4F"/>
    <w:rsid w:val="494A3901"/>
    <w:rsid w:val="494F1C22"/>
    <w:rsid w:val="496160B0"/>
    <w:rsid w:val="496376E9"/>
    <w:rsid w:val="49692BCE"/>
    <w:rsid w:val="496973E5"/>
    <w:rsid w:val="49732564"/>
    <w:rsid w:val="49774BE0"/>
    <w:rsid w:val="497A7473"/>
    <w:rsid w:val="498A5F70"/>
    <w:rsid w:val="498B11C9"/>
    <w:rsid w:val="498C530E"/>
    <w:rsid w:val="498D64CB"/>
    <w:rsid w:val="49961AC1"/>
    <w:rsid w:val="4997050C"/>
    <w:rsid w:val="4998052F"/>
    <w:rsid w:val="49984053"/>
    <w:rsid w:val="49A54196"/>
    <w:rsid w:val="49AA0A84"/>
    <w:rsid w:val="49B31A95"/>
    <w:rsid w:val="49B94286"/>
    <w:rsid w:val="49B94D08"/>
    <w:rsid w:val="49BB7510"/>
    <w:rsid w:val="49BE530D"/>
    <w:rsid w:val="49BF6D27"/>
    <w:rsid w:val="49C31230"/>
    <w:rsid w:val="49C664C2"/>
    <w:rsid w:val="49C8600F"/>
    <w:rsid w:val="49CC653A"/>
    <w:rsid w:val="49D07892"/>
    <w:rsid w:val="49D10AD4"/>
    <w:rsid w:val="49D41B5D"/>
    <w:rsid w:val="49D679D8"/>
    <w:rsid w:val="49E65D4E"/>
    <w:rsid w:val="49E665C2"/>
    <w:rsid w:val="49EE5020"/>
    <w:rsid w:val="49F547D5"/>
    <w:rsid w:val="49FE714A"/>
    <w:rsid w:val="4A071BAB"/>
    <w:rsid w:val="4A0A0351"/>
    <w:rsid w:val="4A0D6EFE"/>
    <w:rsid w:val="4A110397"/>
    <w:rsid w:val="4A173A13"/>
    <w:rsid w:val="4A1A3009"/>
    <w:rsid w:val="4A1D18F5"/>
    <w:rsid w:val="4A204E1C"/>
    <w:rsid w:val="4A3E672A"/>
    <w:rsid w:val="4A3F3237"/>
    <w:rsid w:val="4A446E7B"/>
    <w:rsid w:val="4A465CB3"/>
    <w:rsid w:val="4A476768"/>
    <w:rsid w:val="4A4A4BCA"/>
    <w:rsid w:val="4A4C4F79"/>
    <w:rsid w:val="4A4C5D2F"/>
    <w:rsid w:val="4A4E7AF4"/>
    <w:rsid w:val="4A510E8C"/>
    <w:rsid w:val="4A5179C8"/>
    <w:rsid w:val="4A5E4FAA"/>
    <w:rsid w:val="4A631D34"/>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22FB2"/>
    <w:rsid w:val="4AB463EE"/>
    <w:rsid w:val="4AC23582"/>
    <w:rsid w:val="4ACB2E69"/>
    <w:rsid w:val="4ACD28E1"/>
    <w:rsid w:val="4ACD5A72"/>
    <w:rsid w:val="4AD01A77"/>
    <w:rsid w:val="4ADB0CC7"/>
    <w:rsid w:val="4ADF411D"/>
    <w:rsid w:val="4AE045CD"/>
    <w:rsid w:val="4AE14B87"/>
    <w:rsid w:val="4AE14CE5"/>
    <w:rsid w:val="4AE24FD3"/>
    <w:rsid w:val="4AE340AE"/>
    <w:rsid w:val="4AE84F4C"/>
    <w:rsid w:val="4AE87EF3"/>
    <w:rsid w:val="4AF176BB"/>
    <w:rsid w:val="4AF34DD4"/>
    <w:rsid w:val="4AF539FB"/>
    <w:rsid w:val="4B083231"/>
    <w:rsid w:val="4B0A15F3"/>
    <w:rsid w:val="4B0B495E"/>
    <w:rsid w:val="4B0D6E25"/>
    <w:rsid w:val="4B1F57D7"/>
    <w:rsid w:val="4B2403BD"/>
    <w:rsid w:val="4B24683E"/>
    <w:rsid w:val="4B2468A5"/>
    <w:rsid w:val="4B336958"/>
    <w:rsid w:val="4B4B7DA6"/>
    <w:rsid w:val="4B4F238E"/>
    <w:rsid w:val="4B4F460D"/>
    <w:rsid w:val="4B555AD0"/>
    <w:rsid w:val="4B6C45EE"/>
    <w:rsid w:val="4B7345FE"/>
    <w:rsid w:val="4B8268F5"/>
    <w:rsid w:val="4B927B01"/>
    <w:rsid w:val="4B9A1CC3"/>
    <w:rsid w:val="4B9E3D3D"/>
    <w:rsid w:val="4BA855FA"/>
    <w:rsid w:val="4BAA0BAE"/>
    <w:rsid w:val="4BAC1607"/>
    <w:rsid w:val="4BAC6FD1"/>
    <w:rsid w:val="4BBD413B"/>
    <w:rsid w:val="4BC42199"/>
    <w:rsid w:val="4BC44C17"/>
    <w:rsid w:val="4BC6613B"/>
    <w:rsid w:val="4BC767B8"/>
    <w:rsid w:val="4BC92119"/>
    <w:rsid w:val="4BCA2CA2"/>
    <w:rsid w:val="4BCD06DF"/>
    <w:rsid w:val="4BCE09B8"/>
    <w:rsid w:val="4BDA198F"/>
    <w:rsid w:val="4BDD7C6C"/>
    <w:rsid w:val="4BDF5520"/>
    <w:rsid w:val="4BE733D4"/>
    <w:rsid w:val="4BE73C86"/>
    <w:rsid w:val="4BEA4ECE"/>
    <w:rsid w:val="4BEA625E"/>
    <w:rsid w:val="4BEB3B5C"/>
    <w:rsid w:val="4BEF1426"/>
    <w:rsid w:val="4BF36C34"/>
    <w:rsid w:val="4BF63A08"/>
    <w:rsid w:val="4BFD14AE"/>
    <w:rsid w:val="4C027E26"/>
    <w:rsid w:val="4C0D35C2"/>
    <w:rsid w:val="4C1C0EB9"/>
    <w:rsid w:val="4C2D4C46"/>
    <w:rsid w:val="4C2E1078"/>
    <w:rsid w:val="4C3065B7"/>
    <w:rsid w:val="4C3E3676"/>
    <w:rsid w:val="4C465A0C"/>
    <w:rsid w:val="4C4A63AC"/>
    <w:rsid w:val="4C547EF9"/>
    <w:rsid w:val="4C575CA7"/>
    <w:rsid w:val="4C5823A9"/>
    <w:rsid w:val="4C653979"/>
    <w:rsid w:val="4C655512"/>
    <w:rsid w:val="4C6C1388"/>
    <w:rsid w:val="4C6D42AA"/>
    <w:rsid w:val="4C6F4676"/>
    <w:rsid w:val="4C714C25"/>
    <w:rsid w:val="4C754179"/>
    <w:rsid w:val="4C77467C"/>
    <w:rsid w:val="4C7D6450"/>
    <w:rsid w:val="4C7F0120"/>
    <w:rsid w:val="4C842074"/>
    <w:rsid w:val="4C8679A1"/>
    <w:rsid w:val="4C8B5472"/>
    <w:rsid w:val="4C8F3BC4"/>
    <w:rsid w:val="4C965048"/>
    <w:rsid w:val="4C9750F1"/>
    <w:rsid w:val="4C97643A"/>
    <w:rsid w:val="4CA00569"/>
    <w:rsid w:val="4CA34769"/>
    <w:rsid w:val="4CA61A04"/>
    <w:rsid w:val="4CA660CC"/>
    <w:rsid w:val="4CA83EDD"/>
    <w:rsid w:val="4CA9755A"/>
    <w:rsid w:val="4CAC1A61"/>
    <w:rsid w:val="4CB76E6A"/>
    <w:rsid w:val="4CC01C7A"/>
    <w:rsid w:val="4CC34270"/>
    <w:rsid w:val="4CC53D80"/>
    <w:rsid w:val="4CC91048"/>
    <w:rsid w:val="4CCA4E9B"/>
    <w:rsid w:val="4CD259FD"/>
    <w:rsid w:val="4CD74E9E"/>
    <w:rsid w:val="4CDC74F7"/>
    <w:rsid w:val="4CDF71E7"/>
    <w:rsid w:val="4CE55FF9"/>
    <w:rsid w:val="4CE72816"/>
    <w:rsid w:val="4CEF2A1D"/>
    <w:rsid w:val="4CFD1B63"/>
    <w:rsid w:val="4D002FD0"/>
    <w:rsid w:val="4D054EB0"/>
    <w:rsid w:val="4D0827C3"/>
    <w:rsid w:val="4D0E1614"/>
    <w:rsid w:val="4D1563CC"/>
    <w:rsid w:val="4D1941A9"/>
    <w:rsid w:val="4D1E709E"/>
    <w:rsid w:val="4D2420BE"/>
    <w:rsid w:val="4D261375"/>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10021"/>
    <w:rsid w:val="4D691FB6"/>
    <w:rsid w:val="4D6F6587"/>
    <w:rsid w:val="4D78560B"/>
    <w:rsid w:val="4D7A6D8D"/>
    <w:rsid w:val="4D7F1370"/>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B6768A"/>
    <w:rsid w:val="4DC21284"/>
    <w:rsid w:val="4DC3392B"/>
    <w:rsid w:val="4DC44612"/>
    <w:rsid w:val="4DC60745"/>
    <w:rsid w:val="4DE80F7C"/>
    <w:rsid w:val="4DF26622"/>
    <w:rsid w:val="4DF44854"/>
    <w:rsid w:val="4DF520E6"/>
    <w:rsid w:val="4DF84039"/>
    <w:rsid w:val="4DFD49F2"/>
    <w:rsid w:val="4DFE7615"/>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73F78"/>
    <w:rsid w:val="4E5C4EFE"/>
    <w:rsid w:val="4E68027B"/>
    <w:rsid w:val="4E697BE1"/>
    <w:rsid w:val="4E715BD5"/>
    <w:rsid w:val="4E780E5A"/>
    <w:rsid w:val="4E7B07A8"/>
    <w:rsid w:val="4E7D63B1"/>
    <w:rsid w:val="4E832E00"/>
    <w:rsid w:val="4E8526C9"/>
    <w:rsid w:val="4E884147"/>
    <w:rsid w:val="4E8D712C"/>
    <w:rsid w:val="4E8F205B"/>
    <w:rsid w:val="4E9013D9"/>
    <w:rsid w:val="4E921227"/>
    <w:rsid w:val="4E95039E"/>
    <w:rsid w:val="4E96544B"/>
    <w:rsid w:val="4E97019D"/>
    <w:rsid w:val="4E9D33AB"/>
    <w:rsid w:val="4EA72C2E"/>
    <w:rsid w:val="4EB3382B"/>
    <w:rsid w:val="4EB53C6A"/>
    <w:rsid w:val="4EB901CB"/>
    <w:rsid w:val="4EBD51BD"/>
    <w:rsid w:val="4EC05DF2"/>
    <w:rsid w:val="4EC31C04"/>
    <w:rsid w:val="4ED677AD"/>
    <w:rsid w:val="4EDE6882"/>
    <w:rsid w:val="4EDF2738"/>
    <w:rsid w:val="4EDF28B4"/>
    <w:rsid w:val="4EE10E0D"/>
    <w:rsid w:val="4EE726FF"/>
    <w:rsid w:val="4EEA2AD2"/>
    <w:rsid w:val="4EEF3824"/>
    <w:rsid w:val="4EF27E9F"/>
    <w:rsid w:val="4EF41B0D"/>
    <w:rsid w:val="4EF74CDE"/>
    <w:rsid w:val="4F00582B"/>
    <w:rsid w:val="4F02556A"/>
    <w:rsid w:val="4F0662E5"/>
    <w:rsid w:val="4F0838C5"/>
    <w:rsid w:val="4F0A0AE6"/>
    <w:rsid w:val="4F0B5144"/>
    <w:rsid w:val="4F1A5354"/>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D25C0"/>
    <w:rsid w:val="4F5F3435"/>
    <w:rsid w:val="4F6D6534"/>
    <w:rsid w:val="4F737055"/>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EF6E02"/>
    <w:rsid w:val="4FF11A07"/>
    <w:rsid w:val="4FF326D4"/>
    <w:rsid w:val="4FF679FF"/>
    <w:rsid w:val="4FFD113B"/>
    <w:rsid w:val="4FFD3406"/>
    <w:rsid w:val="4FFE6DA8"/>
    <w:rsid w:val="50032818"/>
    <w:rsid w:val="501F1751"/>
    <w:rsid w:val="50217157"/>
    <w:rsid w:val="50317E9B"/>
    <w:rsid w:val="50355DF8"/>
    <w:rsid w:val="5036308F"/>
    <w:rsid w:val="503E6B27"/>
    <w:rsid w:val="50411459"/>
    <w:rsid w:val="50464F15"/>
    <w:rsid w:val="504C655F"/>
    <w:rsid w:val="504D2393"/>
    <w:rsid w:val="504E2745"/>
    <w:rsid w:val="5050505A"/>
    <w:rsid w:val="50582252"/>
    <w:rsid w:val="50617F15"/>
    <w:rsid w:val="5067665A"/>
    <w:rsid w:val="506A4700"/>
    <w:rsid w:val="506B2D8E"/>
    <w:rsid w:val="506C5AC3"/>
    <w:rsid w:val="507B1A36"/>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E4051"/>
    <w:rsid w:val="50CF4ABC"/>
    <w:rsid w:val="50D06893"/>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185C"/>
    <w:rsid w:val="51404505"/>
    <w:rsid w:val="51434AE0"/>
    <w:rsid w:val="514A3712"/>
    <w:rsid w:val="51501EEB"/>
    <w:rsid w:val="5155369C"/>
    <w:rsid w:val="515A0167"/>
    <w:rsid w:val="51641DED"/>
    <w:rsid w:val="51646D2B"/>
    <w:rsid w:val="5176203A"/>
    <w:rsid w:val="517C2FDD"/>
    <w:rsid w:val="5185165D"/>
    <w:rsid w:val="5185348E"/>
    <w:rsid w:val="518A4EC5"/>
    <w:rsid w:val="518A674C"/>
    <w:rsid w:val="518C067D"/>
    <w:rsid w:val="518F0F8A"/>
    <w:rsid w:val="51971156"/>
    <w:rsid w:val="519D292D"/>
    <w:rsid w:val="519D51AE"/>
    <w:rsid w:val="51A65946"/>
    <w:rsid w:val="51BB20EB"/>
    <w:rsid w:val="51BB5411"/>
    <w:rsid w:val="51BF617C"/>
    <w:rsid w:val="51C34BD4"/>
    <w:rsid w:val="51CA7A46"/>
    <w:rsid w:val="51D50523"/>
    <w:rsid w:val="51E512E6"/>
    <w:rsid w:val="51E76762"/>
    <w:rsid w:val="51EA01EC"/>
    <w:rsid w:val="51EA587E"/>
    <w:rsid w:val="51FD7B74"/>
    <w:rsid w:val="51FF0847"/>
    <w:rsid w:val="520B49D5"/>
    <w:rsid w:val="520C64D8"/>
    <w:rsid w:val="520E0078"/>
    <w:rsid w:val="521129AE"/>
    <w:rsid w:val="5213481F"/>
    <w:rsid w:val="52237C81"/>
    <w:rsid w:val="523529B3"/>
    <w:rsid w:val="523C654F"/>
    <w:rsid w:val="52423CE9"/>
    <w:rsid w:val="524314B9"/>
    <w:rsid w:val="524B2AA2"/>
    <w:rsid w:val="52567C09"/>
    <w:rsid w:val="525B5F0D"/>
    <w:rsid w:val="525E640B"/>
    <w:rsid w:val="52612062"/>
    <w:rsid w:val="52663A23"/>
    <w:rsid w:val="52696596"/>
    <w:rsid w:val="526A3B8F"/>
    <w:rsid w:val="527A1CEA"/>
    <w:rsid w:val="527D1BB3"/>
    <w:rsid w:val="5282089F"/>
    <w:rsid w:val="528254BD"/>
    <w:rsid w:val="52860CA9"/>
    <w:rsid w:val="52865A36"/>
    <w:rsid w:val="528A6007"/>
    <w:rsid w:val="52A12223"/>
    <w:rsid w:val="52A14A4F"/>
    <w:rsid w:val="52A57026"/>
    <w:rsid w:val="52A76DF2"/>
    <w:rsid w:val="52AF43C1"/>
    <w:rsid w:val="52BF3121"/>
    <w:rsid w:val="52CA2190"/>
    <w:rsid w:val="52CC15C2"/>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37183C"/>
    <w:rsid w:val="53435917"/>
    <w:rsid w:val="534B0208"/>
    <w:rsid w:val="534B09AC"/>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E7793"/>
    <w:rsid w:val="53911613"/>
    <w:rsid w:val="53911A2D"/>
    <w:rsid w:val="53935288"/>
    <w:rsid w:val="5394164C"/>
    <w:rsid w:val="53961243"/>
    <w:rsid w:val="539D57F6"/>
    <w:rsid w:val="53AA7B8C"/>
    <w:rsid w:val="53AF4D3D"/>
    <w:rsid w:val="53AF6F3A"/>
    <w:rsid w:val="53BA1358"/>
    <w:rsid w:val="53BC2564"/>
    <w:rsid w:val="53C521B9"/>
    <w:rsid w:val="53C92B3B"/>
    <w:rsid w:val="53D048D2"/>
    <w:rsid w:val="53D06F25"/>
    <w:rsid w:val="53D57539"/>
    <w:rsid w:val="53D7279A"/>
    <w:rsid w:val="53DD62B8"/>
    <w:rsid w:val="53E86C55"/>
    <w:rsid w:val="53E92BA4"/>
    <w:rsid w:val="53EA1F6D"/>
    <w:rsid w:val="53EF3852"/>
    <w:rsid w:val="53F72730"/>
    <w:rsid w:val="53FB282E"/>
    <w:rsid w:val="53FE4ADB"/>
    <w:rsid w:val="540079A1"/>
    <w:rsid w:val="54065E59"/>
    <w:rsid w:val="5409346F"/>
    <w:rsid w:val="540B580C"/>
    <w:rsid w:val="540B6034"/>
    <w:rsid w:val="540E1B27"/>
    <w:rsid w:val="541A5E66"/>
    <w:rsid w:val="542A0727"/>
    <w:rsid w:val="543009A9"/>
    <w:rsid w:val="5434498A"/>
    <w:rsid w:val="54373B5F"/>
    <w:rsid w:val="543C31E7"/>
    <w:rsid w:val="543F5762"/>
    <w:rsid w:val="54412A6F"/>
    <w:rsid w:val="544920CA"/>
    <w:rsid w:val="54495BDD"/>
    <w:rsid w:val="544A2B60"/>
    <w:rsid w:val="54582FCE"/>
    <w:rsid w:val="545954D3"/>
    <w:rsid w:val="545B560E"/>
    <w:rsid w:val="545C2674"/>
    <w:rsid w:val="545E6FB0"/>
    <w:rsid w:val="54633A5A"/>
    <w:rsid w:val="54670D3B"/>
    <w:rsid w:val="54672FCE"/>
    <w:rsid w:val="54676BBD"/>
    <w:rsid w:val="54677BB4"/>
    <w:rsid w:val="546B58D0"/>
    <w:rsid w:val="546C57FE"/>
    <w:rsid w:val="546E11C6"/>
    <w:rsid w:val="546F3DA8"/>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75BC0"/>
    <w:rsid w:val="54D811B0"/>
    <w:rsid w:val="54E97235"/>
    <w:rsid w:val="54EB0323"/>
    <w:rsid w:val="54EC2121"/>
    <w:rsid w:val="54F7537D"/>
    <w:rsid w:val="54FD5AB9"/>
    <w:rsid w:val="54FF72CE"/>
    <w:rsid w:val="550D532A"/>
    <w:rsid w:val="5516717A"/>
    <w:rsid w:val="552758B2"/>
    <w:rsid w:val="55281604"/>
    <w:rsid w:val="55363699"/>
    <w:rsid w:val="55375CAA"/>
    <w:rsid w:val="553868A9"/>
    <w:rsid w:val="55393790"/>
    <w:rsid w:val="554D06B8"/>
    <w:rsid w:val="554F3F74"/>
    <w:rsid w:val="55513FF5"/>
    <w:rsid w:val="55516A31"/>
    <w:rsid w:val="55560AC9"/>
    <w:rsid w:val="555E5403"/>
    <w:rsid w:val="55605AF6"/>
    <w:rsid w:val="55647990"/>
    <w:rsid w:val="5566209B"/>
    <w:rsid w:val="556831A3"/>
    <w:rsid w:val="556874AA"/>
    <w:rsid w:val="556950FB"/>
    <w:rsid w:val="5574008F"/>
    <w:rsid w:val="55745B39"/>
    <w:rsid w:val="557A5C7E"/>
    <w:rsid w:val="557E7623"/>
    <w:rsid w:val="55802ED2"/>
    <w:rsid w:val="55823B2F"/>
    <w:rsid w:val="558259BE"/>
    <w:rsid w:val="558B4FE4"/>
    <w:rsid w:val="55937540"/>
    <w:rsid w:val="55945654"/>
    <w:rsid w:val="55963DED"/>
    <w:rsid w:val="559B10DE"/>
    <w:rsid w:val="559C1BBA"/>
    <w:rsid w:val="55A45098"/>
    <w:rsid w:val="55A630EA"/>
    <w:rsid w:val="55B17D46"/>
    <w:rsid w:val="55B3074F"/>
    <w:rsid w:val="55B8063C"/>
    <w:rsid w:val="55C0170D"/>
    <w:rsid w:val="55C515AE"/>
    <w:rsid w:val="55C75137"/>
    <w:rsid w:val="55CE7E35"/>
    <w:rsid w:val="55D07839"/>
    <w:rsid w:val="55D804A4"/>
    <w:rsid w:val="55DB6C8F"/>
    <w:rsid w:val="55E11B63"/>
    <w:rsid w:val="55EB2205"/>
    <w:rsid w:val="55EB36CD"/>
    <w:rsid w:val="55F17004"/>
    <w:rsid w:val="55F57EFA"/>
    <w:rsid w:val="55F8243E"/>
    <w:rsid w:val="55FC26B8"/>
    <w:rsid w:val="55FD02E7"/>
    <w:rsid w:val="55FD5218"/>
    <w:rsid w:val="5607258F"/>
    <w:rsid w:val="560827C9"/>
    <w:rsid w:val="56094FA7"/>
    <w:rsid w:val="560B259E"/>
    <w:rsid w:val="5610543B"/>
    <w:rsid w:val="5611478A"/>
    <w:rsid w:val="56165648"/>
    <w:rsid w:val="561D5C6C"/>
    <w:rsid w:val="56204D65"/>
    <w:rsid w:val="562365F7"/>
    <w:rsid w:val="562735A5"/>
    <w:rsid w:val="56355637"/>
    <w:rsid w:val="56365AEB"/>
    <w:rsid w:val="56386703"/>
    <w:rsid w:val="563C33EB"/>
    <w:rsid w:val="56482628"/>
    <w:rsid w:val="56487466"/>
    <w:rsid w:val="56521689"/>
    <w:rsid w:val="56560AC0"/>
    <w:rsid w:val="56583E42"/>
    <w:rsid w:val="565C6101"/>
    <w:rsid w:val="56616D4A"/>
    <w:rsid w:val="566F631B"/>
    <w:rsid w:val="567C1339"/>
    <w:rsid w:val="567C2C06"/>
    <w:rsid w:val="56843738"/>
    <w:rsid w:val="568645E5"/>
    <w:rsid w:val="568931AA"/>
    <w:rsid w:val="56914879"/>
    <w:rsid w:val="569300A5"/>
    <w:rsid w:val="56963BA1"/>
    <w:rsid w:val="56972C28"/>
    <w:rsid w:val="56985D39"/>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0F1FF3"/>
    <w:rsid w:val="57100211"/>
    <w:rsid w:val="571133D0"/>
    <w:rsid w:val="57182D07"/>
    <w:rsid w:val="571C6062"/>
    <w:rsid w:val="571D5C8F"/>
    <w:rsid w:val="571F30CA"/>
    <w:rsid w:val="57203437"/>
    <w:rsid w:val="57244451"/>
    <w:rsid w:val="572E75B6"/>
    <w:rsid w:val="57351EB9"/>
    <w:rsid w:val="57355ADD"/>
    <w:rsid w:val="57375FB1"/>
    <w:rsid w:val="5738182B"/>
    <w:rsid w:val="57383B41"/>
    <w:rsid w:val="57393D6B"/>
    <w:rsid w:val="57403A58"/>
    <w:rsid w:val="57493647"/>
    <w:rsid w:val="574B03EC"/>
    <w:rsid w:val="574B7A63"/>
    <w:rsid w:val="574C55B4"/>
    <w:rsid w:val="57594A33"/>
    <w:rsid w:val="575A65B2"/>
    <w:rsid w:val="575C30EF"/>
    <w:rsid w:val="575D5CBC"/>
    <w:rsid w:val="575E5A9B"/>
    <w:rsid w:val="576014EF"/>
    <w:rsid w:val="57646ADF"/>
    <w:rsid w:val="576821B9"/>
    <w:rsid w:val="576F5F2E"/>
    <w:rsid w:val="577161BF"/>
    <w:rsid w:val="57761A18"/>
    <w:rsid w:val="577D3C8B"/>
    <w:rsid w:val="578032F4"/>
    <w:rsid w:val="578739E0"/>
    <w:rsid w:val="57893428"/>
    <w:rsid w:val="578B6A5A"/>
    <w:rsid w:val="578F63D2"/>
    <w:rsid w:val="57902632"/>
    <w:rsid w:val="579119D9"/>
    <w:rsid w:val="57964504"/>
    <w:rsid w:val="57970391"/>
    <w:rsid w:val="57A259BD"/>
    <w:rsid w:val="57A415A0"/>
    <w:rsid w:val="57A76360"/>
    <w:rsid w:val="57B66559"/>
    <w:rsid w:val="57B87276"/>
    <w:rsid w:val="57BD09A3"/>
    <w:rsid w:val="57BE7D87"/>
    <w:rsid w:val="57C036E6"/>
    <w:rsid w:val="57C877BF"/>
    <w:rsid w:val="57CA7D64"/>
    <w:rsid w:val="57CE0995"/>
    <w:rsid w:val="57CE384E"/>
    <w:rsid w:val="57CF4335"/>
    <w:rsid w:val="57D1762F"/>
    <w:rsid w:val="57DF75E9"/>
    <w:rsid w:val="57E1795C"/>
    <w:rsid w:val="57EA40EA"/>
    <w:rsid w:val="57EC6F2E"/>
    <w:rsid w:val="57F52D10"/>
    <w:rsid w:val="57F661DB"/>
    <w:rsid w:val="5801628A"/>
    <w:rsid w:val="58026985"/>
    <w:rsid w:val="5806359D"/>
    <w:rsid w:val="580E446B"/>
    <w:rsid w:val="581544E0"/>
    <w:rsid w:val="581F0C6A"/>
    <w:rsid w:val="58231F48"/>
    <w:rsid w:val="582525CE"/>
    <w:rsid w:val="582879EB"/>
    <w:rsid w:val="582B7A46"/>
    <w:rsid w:val="58305004"/>
    <w:rsid w:val="583642A8"/>
    <w:rsid w:val="583B552E"/>
    <w:rsid w:val="583E2F16"/>
    <w:rsid w:val="58441191"/>
    <w:rsid w:val="58476B77"/>
    <w:rsid w:val="584947A1"/>
    <w:rsid w:val="584F34FB"/>
    <w:rsid w:val="585058A1"/>
    <w:rsid w:val="58544B13"/>
    <w:rsid w:val="58586F0A"/>
    <w:rsid w:val="585A0306"/>
    <w:rsid w:val="585D013C"/>
    <w:rsid w:val="58616A48"/>
    <w:rsid w:val="58622C3F"/>
    <w:rsid w:val="586512AB"/>
    <w:rsid w:val="586A3366"/>
    <w:rsid w:val="586D5E61"/>
    <w:rsid w:val="586F2E9C"/>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C2065"/>
    <w:rsid w:val="58BD127C"/>
    <w:rsid w:val="58C2306F"/>
    <w:rsid w:val="58C77D7F"/>
    <w:rsid w:val="58CD0E32"/>
    <w:rsid w:val="58D22059"/>
    <w:rsid w:val="58DC13CC"/>
    <w:rsid w:val="58DF2BE5"/>
    <w:rsid w:val="58EA0A5A"/>
    <w:rsid w:val="58F330B8"/>
    <w:rsid w:val="58F9664E"/>
    <w:rsid w:val="5901650F"/>
    <w:rsid w:val="59072496"/>
    <w:rsid w:val="591366B0"/>
    <w:rsid w:val="591B5C56"/>
    <w:rsid w:val="591C6825"/>
    <w:rsid w:val="591F5339"/>
    <w:rsid w:val="59211403"/>
    <w:rsid w:val="59231959"/>
    <w:rsid w:val="5927438F"/>
    <w:rsid w:val="592D0507"/>
    <w:rsid w:val="592E28D2"/>
    <w:rsid w:val="593D3E1E"/>
    <w:rsid w:val="59407B43"/>
    <w:rsid w:val="59444534"/>
    <w:rsid w:val="59462E1E"/>
    <w:rsid w:val="594C567E"/>
    <w:rsid w:val="59500028"/>
    <w:rsid w:val="59541FDF"/>
    <w:rsid w:val="596145C4"/>
    <w:rsid w:val="59631AF0"/>
    <w:rsid w:val="596878F8"/>
    <w:rsid w:val="596949AC"/>
    <w:rsid w:val="596F354A"/>
    <w:rsid w:val="59714FFB"/>
    <w:rsid w:val="59822BBC"/>
    <w:rsid w:val="598555E2"/>
    <w:rsid w:val="598A5D63"/>
    <w:rsid w:val="598E3E75"/>
    <w:rsid w:val="59936DA6"/>
    <w:rsid w:val="59964016"/>
    <w:rsid w:val="599D1AD6"/>
    <w:rsid w:val="59AF2552"/>
    <w:rsid w:val="59B079AE"/>
    <w:rsid w:val="59B27FFE"/>
    <w:rsid w:val="59B3124A"/>
    <w:rsid w:val="59B61CBC"/>
    <w:rsid w:val="59B71EBB"/>
    <w:rsid w:val="59BA0B35"/>
    <w:rsid w:val="59BA3889"/>
    <w:rsid w:val="59BA5770"/>
    <w:rsid w:val="59BD2CBE"/>
    <w:rsid w:val="59BF24D2"/>
    <w:rsid w:val="59C37575"/>
    <w:rsid w:val="59C57BC0"/>
    <w:rsid w:val="59C70497"/>
    <w:rsid w:val="59CE7EBC"/>
    <w:rsid w:val="59D44BE0"/>
    <w:rsid w:val="59D75C73"/>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7502D"/>
    <w:rsid w:val="5A4C5FCE"/>
    <w:rsid w:val="5A514406"/>
    <w:rsid w:val="5A580FCC"/>
    <w:rsid w:val="5A5954AE"/>
    <w:rsid w:val="5A5C22CA"/>
    <w:rsid w:val="5A6B4BAD"/>
    <w:rsid w:val="5A6D0865"/>
    <w:rsid w:val="5A787C93"/>
    <w:rsid w:val="5A7B3F51"/>
    <w:rsid w:val="5A7C2066"/>
    <w:rsid w:val="5A7F6252"/>
    <w:rsid w:val="5A837D78"/>
    <w:rsid w:val="5A89089D"/>
    <w:rsid w:val="5A8C3206"/>
    <w:rsid w:val="5A8E3C11"/>
    <w:rsid w:val="5A924EDF"/>
    <w:rsid w:val="5A9739CC"/>
    <w:rsid w:val="5A9A100B"/>
    <w:rsid w:val="5A9B5F5F"/>
    <w:rsid w:val="5A9B793E"/>
    <w:rsid w:val="5AA33CD5"/>
    <w:rsid w:val="5AA66358"/>
    <w:rsid w:val="5AA81BFB"/>
    <w:rsid w:val="5AA83B7B"/>
    <w:rsid w:val="5AA91928"/>
    <w:rsid w:val="5AB35978"/>
    <w:rsid w:val="5AB36A44"/>
    <w:rsid w:val="5AB7205B"/>
    <w:rsid w:val="5ABA711E"/>
    <w:rsid w:val="5ABB1C95"/>
    <w:rsid w:val="5AC010AA"/>
    <w:rsid w:val="5AC07BCD"/>
    <w:rsid w:val="5AC43664"/>
    <w:rsid w:val="5AC446B6"/>
    <w:rsid w:val="5AC500FA"/>
    <w:rsid w:val="5AC513FC"/>
    <w:rsid w:val="5ACA11DF"/>
    <w:rsid w:val="5ACD0E3F"/>
    <w:rsid w:val="5ACD6955"/>
    <w:rsid w:val="5AD03122"/>
    <w:rsid w:val="5AD3439A"/>
    <w:rsid w:val="5AE10023"/>
    <w:rsid w:val="5AE2566C"/>
    <w:rsid w:val="5AE749FC"/>
    <w:rsid w:val="5AE75EE2"/>
    <w:rsid w:val="5AEC62E4"/>
    <w:rsid w:val="5AF2511B"/>
    <w:rsid w:val="5AF60EBB"/>
    <w:rsid w:val="5AFB7E1F"/>
    <w:rsid w:val="5B003F11"/>
    <w:rsid w:val="5B0A2004"/>
    <w:rsid w:val="5B1266D8"/>
    <w:rsid w:val="5B1418BC"/>
    <w:rsid w:val="5B1F6589"/>
    <w:rsid w:val="5B2411EB"/>
    <w:rsid w:val="5B242460"/>
    <w:rsid w:val="5B2B78E3"/>
    <w:rsid w:val="5B2C5B65"/>
    <w:rsid w:val="5B2F6F6C"/>
    <w:rsid w:val="5B30075D"/>
    <w:rsid w:val="5B362119"/>
    <w:rsid w:val="5B371BF3"/>
    <w:rsid w:val="5B39465F"/>
    <w:rsid w:val="5B3A3BC9"/>
    <w:rsid w:val="5B3B1D21"/>
    <w:rsid w:val="5B3D080B"/>
    <w:rsid w:val="5B3E2496"/>
    <w:rsid w:val="5B486AE8"/>
    <w:rsid w:val="5B503528"/>
    <w:rsid w:val="5B550977"/>
    <w:rsid w:val="5B5D45E7"/>
    <w:rsid w:val="5B656241"/>
    <w:rsid w:val="5B657FE4"/>
    <w:rsid w:val="5B683FBF"/>
    <w:rsid w:val="5B6B2A69"/>
    <w:rsid w:val="5B6F7639"/>
    <w:rsid w:val="5B7634B0"/>
    <w:rsid w:val="5B7728CA"/>
    <w:rsid w:val="5B781D51"/>
    <w:rsid w:val="5B783603"/>
    <w:rsid w:val="5B7C62DC"/>
    <w:rsid w:val="5B87382D"/>
    <w:rsid w:val="5B8A2A5E"/>
    <w:rsid w:val="5B9F264B"/>
    <w:rsid w:val="5BA03026"/>
    <w:rsid w:val="5BA071EB"/>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007B8"/>
    <w:rsid w:val="5BF104E3"/>
    <w:rsid w:val="5BF11D48"/>
    <w:rsid w:val="5BF91242"/>
    <w:rsid w:val="5BFF2023"/>
    <w:rsid w:val="5C021D00"/>
    <w:rsid w:val="5C1B27AA"/>
    <w:rsid w:val="5C1C44D5"/>
    <w:rsid w:val="5C1E2364"/>
    <w:rsid w:val="5C1E5887"/>
    <w:rsid w:val="5C2330FB"/>
    <w:rsid w:val="5C235588"/>
    <w:rsid w:val="5C2F309D"/>
    <w:rsid w:val="5C303964"/>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114AD"/>
    <w:rsid w:val="5C860DDC"/>
    <w:rsid w:val="5C8A075C"/>
    <w:rsid w:val="5C960A06"/>
    <w:rsid w:val="5CA067EF"/>
    <w:rsid w:val="5CA310E4"/>
    <w:rsid w:val="5CA80596"/>
    <w:rsid w:val="5CAB1657"/>
    <w:rsid w:val="5CB06986"/>
    <w:rsid w:val="5CB13AAE"/>
    <w:rsid w:val="5CBC7F4C"/>
    <w:rsid w:val="5CC5362A"/>
    <w:rsid w:val="5CCF25EB"/>
    <w:rsid w:val="5CD307B1"/>
    <w:rsid w:val="5CD90E60"/>
    <w:rsid w:val="5CDB568A"/>
    <w:rsid w:val="5CDD0506"/>
    <w:rsid w:val="5CDD19D2"/>
    <w:rsid w:val="5CE47508"/>
    <w:rsid w:val="5CE527F5"/>
    <w:rsid w:val="5CEC0A3F"/>
    <w:rsid w:val="5CEC3B39"/>
    <w:rsid w:val="5CED5A2C"/>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93BA9"/>
    <w:rsid w:val="5D4D76C0"/>
    <w:rsid w:val="5D4E57E7"/>
    <w:rsid w:val="5D557C40"/>
    <w:rsid w:val="5D557D2B"/>
    <w:rsid w:val="5D6854BC"/>
    <w:rsid w:val="5D692BCC"/>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9D54D6"/>
    <w:rsid w:val="5DA1730C"/>
    <w:rsid w:val="5DA56C09"/>
    <w:rsid w:val="5DA842A8"/>
    <w:rsid w:val="5DAE4FBE"/>
    <w:rsid w:val="5DAF6285"/>
    <w:rsid w:val="5DB04C49"/>
    <w:rsid w:val="5DB15C32"/>
    <w:rsid w:val="5DCA3AFD"/>
    <w:rsid w:val="5DD53CE5"/>
    <w:rsid w:val="5DD733B5"/>
    <w:rsid w:val="5DD92FC1"/>
    <w:rsid w:val="5DDD76F7"/>
    <w:rsid w:val="5DDD7C49"/>
    <w:rsid w:val="5DE03873"/>
    <w:rsid w:val="5DE211FE"/>
    <w:rsid w:val="5DE531EB"/>
    <w:rsid w:val="5DE77A3D"/>
    <w:rsid w:val="5DEA558E"/>
    <w:rsid w:val="5DEB2D87"/>
    <w:rsid w:val="5DF0091C"/>
    <w:rsid w:val="5DF549BC"/>
    <w:rsid w:val="5DF80634"/>
    <w:rsid w:val="5DFA35E8"/>
    <w:rsid w:val="5E034CC2"/>
    <w:rsid w:val="5E0670B3"/>
    <w:rsid w:val="5E112788"/>
    <w:rsid w:val="5E125D25"/>
    <w:rsid w:val="5E130B5F"/>
    <w:rsid w:val="5E144979"/>
    <w:rsid w:val="5E182BD7"/>
    <w:rsid w:val="5E1D7DED"/>
    <w:rsid w:val="5E216464"/>
    <w:rsid w:val="5E2C6DF7"/>
    <w:rsid w:val="5E2F0B68"/>
    <w:rsid w:val="5E335194"/>
    <w:rsid w:val="5E3B30BF"/>
    <w:rsid w:val="5E4B5787"/>
    <w:rsid w:val="5E5646AD"/>
    <w:rsid w:val="5E652D3C"/>
    <w:rsid w:val="5E763B4C"/>
    <w:rsid w:val="5E791D0A"/>
    <w:rsid w:val="5E8054C0"/>
    <w:rsid w:val="5E806693"/>
    <w:rsid w:val="5E8A52E5"/>
    <w:rsid w:val="5E8D0B5B"/>
    <w:rsid w:val="5E924CF7"/>
    <w:rsid w:val="5E976716"/>
    <w:rsid w:val="5E9D5665"/>
    <w:rsid w:val="5EA0644F"/>
    <w:rsid w:val="5EA27A5B"/>
    <w:rsid w:val="5EA44ECD"/>
    <w:rsid w:val="5EAB19DE"/>
    <w:rsid w:val="5EB06D1A"/>
    <w:rsid w:val="5EC01350"/>
    <w:rsid w:val="5EC17DED"/>
    <w:rsid w:val="5EC6323D"/>
    <w:rsid w:val="5EC6648F"/>
    <w:rsid w:val="5ECA4BF7"/>
    <w:rsid w:val="5ECB1F2C"/>
    <w:rsid w:val="5ECB6EFB"/>
    <w:rsid w:val="5ECD6C99"/>
    <w:rsid w:val="5ED00916"/>
    <w:rsid w:val="5EDD54B5"/>
    <w:rsid w:val="5EDF0237"/>
    <w:rsid w:val="5EEB591E"/>
    <w:rsid w:val="5EEC1AAF"/>
    <w:rsid w:val="5EEF3BAC"/>
    <w:rsid w:val="5EF13409"/>
    <w:rsid w:val="5EF21A26"/>
    <w:rsid w:val="5EF23A26"/>
    <w:rsid w:val="5EF629FA"/>
    <w:rsid w:val="5EFC3680"/>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94D31"/>
    <w:rsid w:val="5F3A03EF"/>
    <w:rsid w:val="5F4E46DB"/>
    <w:rsid w:val="5F543965"/>
    <w:rsid w:val="5F603A2A"/>
    <w:rsid w:val="5F6074F5"/>
    <w:rsid w:val="5F67277F"/>
    <w:rsid w:val="5F6917F1"/>
    <w:rsid w:val="5F69313F"/>
    <w:rsid w:val="5F6D1802"/>
    <w:rsid w:val="5F7256EB"/>
    <w:rsid w:val="5F885D1F"/>
    <w:rsid w:val="5F8A104C"/>
    <w:rsid w:val="5F8A21C1"/>
    <w:rsid w:val="5F974B93"/>
    <w:rsid w:val="5F995FD0"/>
    <w:rsid w:val="5F9969D7"/>
    <w:rsid w:val="5F9B0901"/>
    <w:rsid w:val="5F9B3355"/>
    <w:rsid w:val="5F9C0D9F"/>
    <w:rsid w:val="5FA21701"/>
    <w:rsid w:val="5FA35AF6"/>
    <w:rsid w:val="5FAA56F9"/>
    <w:rsid w:val="5FAC2297"/>
    <w:rsid w:val="5FB06CEE"/>
    <w:rsid w:val="5FB279B4"/>
    <w:rsid w:val="5FB41622"/>
    <w:rsid w:val="5FB63AE0"/>
    <w:rsid w:val="5FB8351D"/>
    <w:rsid w:val="5FB8630B"/>
    <w:rsid w:val="5FBD2541"/>
    <w:rsid w:val="5FC96983"/>
    <w:rsid w:val="5FCD290C"/>
    <w:rsid w:val="5FCE775E"/>
    <w:rsid w:val="5FD132B7"/>
    <w:rsid w:val="5FD43CC5"/>
    <w:rsid w:val="5FD65A93"/>
    <w:rsid w:val="5FD84449"/>
    <w:rsid w:val="5FD90345"/>
    <w:rsid w:val="5FDD563B"/>
    <w:rsid w:val="5FDD602F"/>
    <w:rsid w:val="5FE60008"/>
    <w:rsid w:val="5FED6CDB"/>
    <w:rsid w:val="5FEE5CAB"/>
    <w:rsid w:val="5FFA0DFF"/>
    <w:rsid w:val="5FFD327E"/>
    <w:rsid w:val="6000344F"/>
    <w:rsid w:val="600C7D20"/>
    <w:rsid w:val="60113DB1"/>
    <w:rsid w:val="60125314"/>
    <w:rsid w:val="601B6635"/>
    <w:rsid w:val="6027328F"/>
    <w:rsid w:val="602B77BF"/>
    <w:rsid w:val="603A2ABF"/>
    <w:rsid w:val="603C15A8"/>
    <w:rsid w:val="603C343A"/>
    <w:rsid w:val="60477ED6"/>
    <w:rsid w:val="604A46C8"/>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71426"/>
    <w:rsid w:val="60AD5F71"/>
    <w:rsid w:val="60AE005F"/>
    <w:rsid w:val="60B02C6F"/>
    <w:rsid w:val="60B15063"/>
    <w:rsid w:val="60B637FB"/>
    <w:rsid w:val="60BB0EC8"/>
    <w:rsid w:val="60BE3677"/>
    <w:rsid w:val="60BE51D5"/>
    <w:rsid w:val="60BE72DD"/>
    <w:rsid w:val="60C30A17"/>
    <w:rsid w:val="60C66196"/>
    <w:rsid w:val="60CD0794"/>
    <w:rsid w:val="60D31B16"/>
    <w:rsid w:val="60E11EDE"/>
    <w:rsid w:val="60E42343"/>
    <w:rsid w:val="60EA3009"/>
    <w:rsid w:val="60EF4197"/>
    <w:rsid w:val="60F27126"/>
    <w:rsid w:val="60F34F67"/>
    <w:rsid w:val="60F66C84"/>
    <w:rsid w:val="60FA486C"/>
    <w:rsid w:val="61084F5E"/>
    <w:rsid w:val="610B34BE"/>
    <w:rsid w:val="610C109A"/>
    <w:rsid w:val="610C532A"/>
    <w:rsid w:val="610E52A4"/>
    <w:rsid w:val="61117D9D"/>
    <w:rsid w:val="611929B4"/>
    <w:rsid w:val="611A23F0"/>
    <w:rsid w:val="61201D10"/>
    <w:rsid w:val="612C4F37"/>
    <w:rsid w:val="613D6B8B"/>
    <w:rsid w:val="613E32DC"/>
    <w:rsid w:val="61402C9C"/>
    <w:rsid w:val="61455C27"/>
    <w:rsid w:val="614C1D68"/>
    <w:rsid w:val="61536DDF"/>
    <w:rsid w:val="616B4844"/>
    <w:rsid w:val="617B31A7"/>
    <w:rsid w:val="61826CEC"/>
    <w:rsid w:val="6187178B"/>
    <w:rsid w:val="61893534"/>
    <w:rsid w:val="61980E52"/>
    <w:rsid w:val="619E5C54"/>
    <w:rsid w:val="619F4C70"/>
    <w:rsid w:val="61A008E9"/>
    <w:rsid w:val="61A34F3F"/>
    <w:rsid w:val="61BA7092"/>
    <w:rsid w:val="61C72A89"/>
    <w:rsid w:val="61C76D42"/>
    <w:rsid w:val="61D730C9"/>
    <w:rsid w:val="61D95B47"/>
    <w:rsid w:val="61DA7DDD"/>
    <w:rsid w:val="61E45C8D"/>
    <w:rsid w:val="61E531C6"/>
    <w:rsid w:val="61EB027D"/>
    <w:rsid w:val="61F4421E"/>
    <w:rsid w:val="61F52EF2"/>
    <w:rsid w:val="61FF70C6"/>
    <w:rsid w:val="62045B10"/>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5278B"/>
    <w:rsid w:val="62863BD8"/>
    <w:rsid w:val="62893482"/>
    <w:rsid w:val="628C0D0A"/>
    <w:rsid w:val="628D6700"/>
    <w:rsid w:val="628F6EDC"/>
    <w:rsid w:val="62905168"/>
    <w:rsid w:val="629848D8"/>
    <w:rsid w:val="629C14C1"/>
    <w:rsid w:val="629E0218"/>
    <w:rsid w:val="62A06919"/>
    <w:rsid w:val="62AA4E70"/>
    <w:rsid w:val="62AE4FD6"/>
    <w:rsid w:val="62B153E6"/>
    <w:rsid w:val="62B471B6"/>
    <w:rsid w:val="62BF063C"/>
    <w:rsid w:val="62C50E8D"/>
    <w:rsid w:val="62C63041"/>
    <w:rsid w:val="62DE2907"/>
    <w:rsid w:val="62E137FB"/>
    <w:rsid w:val="62E25640"/>
    <w:rsid w:val="62E66917"/>
    <w:rsid w:val="62E77B2E"/>
    <w:rsid w:val="62EB7850"/>
    <w:rsid w:val="62EE4B0A"/>
    <w:rsid w:val="62F944D1"/>
    <w:rsid w:val="62F95EC9"/>
    <w:rsid w:val="62FD0DB1"/>
    <w:rsid w:val="630B450E"/>
    <w:rsid w:val="631252CA"/>
    <w:rsid w:val="63144600"/>
    <w:rsid w:val="631B1574"/>
    <w:rsid w:val="631C3DAD"/>
    <w:rsid w:val="63382746"/>
    <w:rsid w:val="634414A2"/>
    <w:rsid w:val="634C2B0B"/>
    <w:rsid w:val="63524760"/>
    <w:rsid w:val="635A680F"/>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15AC1"/>
    <w:rsid w:val="63E70A84"/>
    <w:rsid w:val="63E768EF"/>
    <w:rsid w:val="63EA477E"/>
    <w:rsid w:val="63EA7508"/>
    <w:rsid w:val="63EE5036"/>
    <w:rsid w:val="63F00E30"/>
    <w:rsid w:val="63F30CE0"/>
    <w:rsid w:val="63F35152"/>
    <w:rsid w:val="63F91C3C"/>
    <w:rsid w:val="64035B35"/>
    <w:rsid w:val="64054FC3"/>
    <w:rsid w:val="6406405D"/>
    <w:rsid w:val="640878BD"/>
    <w:rsid w:val="641422FB"/>
    <w:rsid w:val="641851AC"/>
    <w:rsid w:val="641861DF"/>
    <w:rsid w:val="641A6FA3"/>
    <w:rsid w:val="641D38A8"/>
    <w:rsid w:val="642800BD"/>
    <w:rsid w:val="64323BF8"/>
    <w:rsid w:val="64352E0C"/>
    <w:rsid w:val="644538FE"/>
    <w:rsid w:val="644A0235"/>
    <w:rsid w:val="644B6387"/>
    <w:rsid w:val="645144E7"/>
    <w:rsid w:val="64574787"/>
    <w:rsid w:val="645B5BDE"/>
    <w:rsid w:val="645E7AD0"/>
    <w:rsid w:val="645E7D2F"/>
    <w:rsid w:val="64652625"/>
    <w:rsid w:val="646E51D9"/>
    <w:rsid w:val="647031DE"/>
    <w:rsid w:val="64721EF0"/>
    <w:rsid w:val="647405A3"/>
    <w:rsid w:val="6475258F"/>
    <w:rsid w:val="647C29CB"/>
    <w:rsid w:val="647C54C7"/>
    <w:rsid w:val="647E5D1F"/>
    <w:rsid w:val="64806617"/>
    <w:rsid w:val="64820B69"/>
    <w:rsid w:val="64844ABD"/>
    <w:rsid w:val="64915A0C"/>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66DFC"/>
    <w:rsid w:val="64CA059F"/>
    <w:rsid w:val="64D3507C"/>
    <w:rsid w:val="64D3608D"/>
    <w:rsid w:val="64E060EB"/>
    <w:rsid w:val="64E6591B"/>
    <w:rsid w:val="64E86817"/>
    <w:rsid w:val="64EB6D9E"/>
    <w:rsid w:val="64EF5D4A"/>
    <w:rsid w:val="64F4160B"/>
    <w:rsid w:val="64F47CF3"/>
    <w:rsid w:val="64F95AE5"/>
    <w:rsid w:val="64FA7A21"/>
    <w:rsid w:val="64FC35DB"/>
    <w:rsid w:val="64FF69FB"/>
    <w:rsid w:val="65003583"/>
    <w:rsid w:val="6501166C"/>
    <w:rsid w:val="65043F4A"/>
    <w:rsid w:val="65122A22"/>
    <w:rsid w:val="65184CDC"/>
    <w:rsid w:val="651D2F4B"/>
    <w:rsid w:val="6520586C"/>
    <w:rsid w:val="65225687"/>
    <w:rsid w:val="652505C7"/>
    <w:rsid w:val="65255221"/>
    <w:rsid w:val="652D1FD3"/>
    <w:rsid w:val="652F4B50"/>
    <w:rsid w:val="65320592"/>
    <w:rsid w:val="65352262"/>
    <w:rsid w:val="65391F52"/>
    <w:rsid w:val="653B030A"/>
    <w:rsid w:val="6540216E"/>
    <w:rsid w:val="6544084C"/>
    <w:rsid w:val="654C06EB"/>
    <w:rsid w:val="656B6126"/>
    <w:rsid w:val="656D2FE1"/>
    <w:rsid w:val="65711A06"/>
    <w:rsid w:val="65714BC9"/>
    <w:rsid w:val="65724683"/>
    <w:rsid w:val="65762A83"/>
    <w:rsid w:val="658524FE"/>
    <w:rsid w:val="65860477"/>
    <w:rsid w:val="658A4AC2"/>
    <w:rsid w:val="658E66A9"/>
    <w:rsid w:val="659719A5"/>
    <w:rsid w:val="659768E8"/>
    <w:rsid w:val="65994000"/>
    <w:rsid w:val="65A31A71"/>
    <w:rsid w:val="65AD2F21"/>
    <w:rsid w:val="65AD4123"/>
    <w:rsid w:val="65B228BF"/>
    <w:rsid w:val="65B45FA0"/>
    <w:rsid w:val="65B550FA"/>
    <w:rsid w:val="65B95F16"/>
    <w:rsid w:val="65BD6A37"/>
    <w:rsid w:val="65C96BF5"/>
    <w:rsid w:val="65D420B7"/>
    <w:rsid w:val="65D50280"/>
    <w:rsid w:val="65D516AB"/>
    <w:rsid w:val="65DA6FA5"/>
    <w:rsid w:val="65DF7832"/>
    <w:rsid w:val="65E469B9"/>
    <w:rsid w:val="65E94A91"/>
    <w:rsid w:val="65E97A17"/>
    <w:rsid w:val="65EB1A66"/>
    <w:rsid w:val="65EF0DFB"/>
    <w:rsid w:val="65F50EFF"/>
    <w:rsid w:val="65F6131A"/>
    <w:rsid w:val="65F87EE8"/>
    <w:rsid w:val="65FA2543"/>
    <w:rsid w:val="66062D34"/>
    <w:rsid w:val="660A6344"/>
    <w:rsid w:val="660B6E12"/>
    <w:rsid w:val="661150DF"/>
    <w:rsid w:val="66123FF7"/>
    <w:rsid w:val="661A4AC5"/>
    <w:rsid w:val="6624512F"/>
    <w:rsid w:val="66272304"/>
    <w:rsid w:val="66295EF8"/>
    <w:rsid w:val="662E67CC"/>
    <w:rsid w:val="66305A6E"/>
    <w:rsid w:val="66340B7E"/>
    <w:rsid w:val="6639754C"/>
    <w:rsid w:val="663C0E16"/>
    <w:rsid w:val="663F55ED"/>
    <w:rsid w:val="663F5CB9"/>
    <w:rsid w:val="66452604"/>
    <w:rsid w:val="66460CE3"/>
    <w:rsid w:val="664B7D87"/>
    <w:rsid w:val="664E173A"/>
    <w:rsid w:val="66530961"/>
    <w:rsid w:val="665E5F21"/>
    <w:rsid w:val="66686991"/>
    <w:rsid w:val="66691AEC"/>
    <w:rsid w:val="66735546"/>
    <w:rsid w:val="66764D34"/>
    <w:rsid w:val="6681097E"/>
    <w:rsid w:val="66865EBF"/>
    <w:rsid w:val="668670D4"/>
    <w:rsid w:val="66893AB2"/>
    <w:rsid w:val="668A2784"/>
    <w:rsid w:val="668E74C0"/>
    <w:rsid w:val="66901724"/>
    <w:rsid w:val="66944478"/>
    <w:rsid w:val="66961E9C"/>
    <w:rsid w:val="669C1C39"/>
    <w:rsid w:val="669F0DD7"/>
    <w:rsid w:val="66A14990"/>
    <w:rsid w:val="66AE3313"/>
    <w:rsid w:val="66B15758"/>
    <w:rsid w:val="66B2177A"/>
    <w:rsid w:val="66B43318"/>
    <w:rsid w:val="66B672EC"/>
    <w:rsid w:val="66BD7A83"/>
    <w:rsid w:val="66C2550F"/>
    <w:rsid w:val="66CB3704"/>
    <w:rsid w:val="66CD1ADC"/>
    <w:rsid w:val="66CD41A2"/>
    <w:rsid w:val="66D035E5"/>
    <w:rsid w:val="66D67F70"/>
    <w:rsid w:val="66D7383E"/>
    <w:rsid w:val="66D86466"/>
    <w:rsid w:val="66DE4DB0"/>
    <w:rsid w:val="66E0554D"/>
    <w:rsid w:val="66EF254D"/>
    <w:rsid w:val="66F17846"/>
    <w:rsid w:val="66F23762"/>
    <w:rsid w:val="66F5053F"/>
    <w:rsid w:val="671136F1"/>
    <w:rsid w:val="671D201A"/>
    <w:rsid w:val="671E19D0"/>
    <w:rsid w:val="672834E4"/>
    <w:rsid w:val="6731235A"/>
    <w:rsid w:val="673226DD"/>
    <w:rsid w:val="67325781"/>
    <w:rsid w:val="673332D4"/>
    <w:rsid w:val="67367960"/>
    <w:rsid w:val="673B457D"/>
    <w:rsid w:val="67424340"/>
    <w:rsid w:val="674C2860"/>
    <w:rsid w:val="67574881"/>
    <w:rsid w:val="675864E7"/>
    <w:rsid w:val="675A395C"/>
    <w:rsid w:val="675C4DDA"/>
    <w:rsid w:val="6764244C"/>
    <w:rsid w:val="67672D56"/>
    <w:rsid w:val="676E6C0C"/>
    <w:rsid w:val="6770044D"/>
    <w:rsid w:val="67782223"/>
    <w:rsid w:val="67826625"/>
    <w:rsid w:val="678A1FB6"/>
    <w:rsid w:val="678B38B1"/>
    <w:rsid w:val="678E6802"/>
    <w:rsid w:val="6792268F"/>
    <w:rsid w:val="67950424"/>
    <w:rsid w:val="6796727D"/>
    <w:rsid w:val="67B10006"/>
    <w:rsid w:val="67B25853"/>
    <w:rsid w:val="67B879A2"/>
    <w:rsid w:val="67BA3E66"/>
    <w:rsid w:val="67BD0E07"/>
    <w:rsid w:val="67BD36F9"/>
    <w:rsid w:val="67CE33D5"/>
    <w:rsid w:val="67D17D86"/>
    <w:rsid w:val="67D227B7"/>
    <w:rsid w:val="67D77131"/>
    <w:rsid w:val="67E7796D"/>
    <w:rsid w:val="67EB1CFB"/>
    <w:rsid w:val="67EC57FB"/>
    <w:rsid w:val="67F95C58"/>
    <w:rsid w:val="680A1F5D"/>
    <w:rsid w:val="680A3424"/>
    <w:rsid w:val="680C4A46"/>
    <w:rsid w:val="680E27C5"/>
    <w:rsid w:val="68133822"/>
    <w:rsid w:val="681D53AE"/>
    <w:rsid w:val="68205F7B"/>
    <w:rsid w:val="682B6B0F"/>
    <w:rsid w:val="682C4A9A"/>
    <w:rsid w:val="68305E19"/>
    <w:rsid w:val="683513B2"/>
    <w:rsid w:val="68365446"/>
    <w:rsid w:val="683D6961"/>
    <w:rsid w:val="68425F71"/>
    <w:rsid w:val="68465BE5"/>
    <w:rsid w:val="684D2161"/>
    <w:rsid w:val="685E1AB3"/>
    <w:rsid w:val="68645E35"/>
    <w:rsid w:val="686B53DF"/>
    <w:rsid w:val="68704A5E"/>
    <w:rsid w:val="68772691"/>
    <w:rsid w:val="687B09E1"/>
    <w:rsid w:val="688439FB"/>
    <w:rsid w:val="689044FE"/>
    <w:rsid w:val="6891166A"/>
    <w:rsid w:val="68954387"/>
    <w:rsid w:val="689A44A2"/>
    <w:rsid w:val="689A51A2"/>
    <w:rsid w:val="689E43D7"/>
    <w:rsid w:val="68AB3DD3"/>
    <w:rsid w:val="68AC6478"/>
    <w:rsid w:val="68AF59C1"/>
    <w:rsid w:val="68B341DF"/>
    <w:rsid w:val="68B4076A"/>
    <w:rsid w:val="68B547A5"/>
    <w:rsid w:val="68BB3463"/>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84E6C"/>
    <w:rsid w:val="69097407"/>
    <w:rsid w:val="69174989"/>
    <w:rsid w:val="69193ADA"/>
    <w:rsid w:val="691B47A3"/>
    <w:rsid w:val="69275369"/>
    <w:rsid w:val="692C198F"/>
    <w:rsid w:val="692D768A"/>
    <w:rsid w:val="693D510D"/>
    <w:rsid w:val="69407E0E"/>
    <w:rsid w:val="6944301C"/>
    <w:rsid w:val="6944321C"/>
    <w:rsid w:val="6949485F"/>
    <w:rsid w:val="694D518E"/>
    <w:rsid w:val="69575715"/>
    <w:rsid w:val="69606004"/>
    <w:rsid w:val="696576A4"/>
    <w:rsid w:val="6967726F"/>
    <w:rsid w:val="697815AF"/>
    <w:rsid w:val="697A00D6"/>
    <w:rsid w:val="697A0310"/>
    <w:rsid w:val="69826AC0"/>
    <w:rsid w:val="698649FA"/>
    <w:rsid w:val="69875FD4"/>
    <w:rsid w:val="69894A11"/>
    <w:rsid w:val="69910FF0"/>
    <w:rsid w:val="6997090F"/>
    <w:rsid w:val="69A03700"/>
    <w:rsid w:val="69A62159"/>
    <w:rsid w:val="69AC23A9"/>
    <w:rsid w:val="69B30344"/>
    <w:rsid w:val="69B8294C"/>
    <w:rsid w:val="69C12909"/>
    <w:rsid w:val="69C41CAD"/>
    <w:rsid w:val="69C9523C"/>
    <w:rsid w:val="69CB4B06"/>
    <w:rsid w:val="69D5345D"/>
    <w:rsid w:val="69D713B7"/>
    <w:rsid w:val="69E3424A"/>
    <w:rsid w:val="69E63BA6"/>
    <w:rsid w:val="69E97969"/>
    <w:rsid w:val="69ED1076"/>
    <w:rsid w:val="69F655BD"/>
    <w:rsid w:val="69FD3935"/>
    <w:rsid w:val="69FE76EC"/>
    <w:rsid w:val="69FF5D56"/>
    <w:rsid w:val="6A026A25"/>
    <w:rsid w:val="6A091791"/>
    <w:rsid w:val="6A094475"/>
    <w:rsid w:val="6A121D4C"/>
    <w:rsid w:val="6A2C31D8"/>
    <w:rsid w:val="6A320250"/>
    <w:rsid w:val="6A32143E"/>
    <w:rsid w:val="6A323D8C"/>
    <w:rsid w:val="6A3777A8"/>
    <w:rsid w:val="6A3877C1"/>
    <w:rsid w:val="6A40325F"/>
    <w:rsid w:val="6A4D79D5"/>
    <w:rsid w:val="6A5356F7"/>
    <w:rsid w:val="6A5A321E"/>
    <w:rsid w:val="6A5A5884"/>
    <w:rsid w:val="6A617CC5"/>
    <w:rsid w:val="6A6604F0"/>
    <w:rsid w:val="6A6B690B"/>
    <w:rsid w:val="6A6D0A35"/>
    <w:rsid w:val="6A775937"/>
    <w:rsid w:val="6A8E655B"/>
    <w:rsid w:val="6A963C65"/>
    <w:rsid w:val="6A9764BC"/>
    <w:rsid w:val="6A9A10BC"/>
    <w:rsid w:val="6A9A7CFD"/>
    <w:rsid w:val="6AAA0966"/>
    <w:rsid w:val="6AAA54B5"/>
    <w:rsid w:val="6AB36AA8"/>
    <w:rsid w:val="6AB370FF"/>
    <w:rsid w:val="6AB66B15"/>
    <w:rsid w:val="6AB701FA"/>
    <w:rsid w:val="6AB72FE5"/>
    <w:rsid w:val="6AB82939"/>
    <w:rsid w:val="6AC120D8"/>
    <w:rsid w:val="6AC219F9"/>
    <w:rsid w:val="6AC24D84"/>
    <w:rsid w:val="6AC25F3C"/>
    <w:rsid w:val="6AC451FB"/>
    <w:rsid w:val="6AC6351C"/>
    <w:rsid w:val="6AC67705"/>
    <w:rsid w:val="6ACA0149"/>
    <w:rsid w:val="6AE0092D"/>
    <w:rsid w:val="6AE31517"/>
    <w:rsid w:val="6AE908F1"/>
    <w:rsid w:val="6AF107FC"/>
    <w:rsid w:val="6AF85B30"/>
    <w:rsid w:val="6AFA253E"/>
    <w:rsid w:val="6B081846"/>
    <w:rsid w:val="6B095854"/>
    <w:rsid w:val="6B0F3F1A"/>
    <w:rsid w:val="6B1272E7"/>
    <w:rsid w:val="6B176896"/>
    <w:rsid w:val="6B200B85"/>
    <w:rsid w:val="6B291125"/>
    <w:rsid w:val="6B2B0790"/>
    <w:rsid w:val="6B2B70B4"/>
    <w:rsid w:val="6B3346A9"/>
    <w:rsid w:val="6B3B12A1"/>
    <w:rsid w:val="6B3E4826"/>
    <w:rsid w:val="6B4A659E"/>
    <w:rsid w:val="6B4C64EA"/>
    <w:rsid w:val="6B520916"/>
    <w:rsid w:val="6B545032"/>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941EE"/>
    <w:rsid w:val="6B9A7CD8"/>
    <w:rsid w:val="6BAE0A1B"/>
    <w:rsid w:val="6BB30447"/>
    <w:rsid w:val="6BBE6D2F"/>
    <w:rsid w:val="6BC04A11"/>
    <w:rsid w:val="6BDD53FD"/>
    <w:rsid w:val="6BE84124"/>
    <w:rsid w:val="6BEA249C"/>
    <w:rsid w:val="6BEB4C1D"/>
    <w:rsid w:val="6BF5230D"/>
    <w:rsid w:val="6BF640CD"/>
    <w:rsid w:val="6BFD1844"/>
    <w:rsid w:val="6BFE7FD4"/>
    <w:rsid w:val="6C03128B"/>
    <w:rsid w:val="6C034FB4"/>
    <w:rsid w:val="6C05519A"/>
    <w:rsid w:val="6C0569C9"/>
    <w:rsid w:val="6C0E2A3B"/>
    <w:rsid w:val="6C1744BE"/>
    <w:rsid w:val="6C176243"/>
    <w:rsid w:val="6C190122"/>
    <w:rsid w:val="6C1902BA"/>
    <w:rsid w:val="6C1C5A28"/>
    <w:rsid w:val="6C287541"/>
    <w:rsid w:val="6C377F0E"/>
    <w:rsid w:val="6C3A1D24"/>
    <w:rsid w:val="6C3C08B1"/>
    <w:rsid w:val="6C426ED4"/>
    <w:rsid w:val="6C466ECE"/>
    <w:rsid w:val="6C4C0DE9"/>
    <w:rsid w:val="6C594359"/>
    <w:rsid w:val="6C5C72FA"/>
    <w:rsid w:val="6C605DB0"/>
    <w:rsid w:val="6C651075"/>
    <w:rsid w:val="6C6701F2"/>
    <w:rsid w:val="6C673849"/>
    <w:rsid w:val="6C6E7A01"/>
    <w:rsid w:val="6C762570"/>
    <w:rsid w:val="6C80342F"/>
    <w:rsid w:val="6C811662"/>
    <w:rsid w:val="6C811960"/>
    <w:rsid w:val="6C853AC4"/>
    <w:rsid w:val="6C894FCD"/>
    <w:rsid w:val="6C937246"/>
    <w:rsid w:val="6C950BEA"/>
    <w:rsid w:val="6C9816CF"/>
    <w:rsid w:val="6CA55FAD"/>
    <w:rsid w:val="6CB25092"/>
    <w:rsid w:val="6CB736E9"/>
    <w:rsid w:val="6CBA5F3C"/>
    <w:rsid w:val="6CC40A33"/>
    <w:rsid w:val="6CCB3706"/>
    <w:rsid w:val="6CD96CEE"/>
    <w:rsid w:val="6CD97B29"/>
    <w:rsid w:val="6CDF4A66"/>
    <w:rsid w:val="6CE61633"/>
    <w:rsid w:val="6CEF2DC8"/>
    <w:rsid w:val="6CF279DF"/>
    <w:rsid w:val="6CF43CCE"/>
    <w:rsid w:val="6CF536E9"/>
    <w:rsid w:val="6CF5606F"/>
    <w:rsid w:val="6CFD4C03"/>
    <w:rsid w:val="6CFF7217"/>
    <w:rsid w:val="6D04288A"/>
    <w:rsid w:val="6D0F14C3"/>
    <w:rsid w:val="6D0F4DB6"/>
    <w:rsid w:val="6D110C1A"/>
    <w:rsid w:val="6D132B21"/>
    <w:rsid w:val="6D170A5C"/>
    <w:rsid w:val="6D172E46"/>
    <w:rsid w:val="6D1A177B"/>
    <w:rsid w:val="6D1A6E88"/>
    <w:rsid w:val="6D1F797B"/>
    <w:rsid w:val="6D2B237C"/>
    <w:rsid w:val="6D313400"/>
    <w:rsid w:val="6D3C47A4"/>
    <w:rsid w:val="6D6A12BE"/>
    <w:rsid w:val="6D6B7CF9"/>
    <w:rsid w:val="6D6B7DDB"/>
    <w:rsid w:val="6D76781F"/>
    <w:rsid w:val="6D7A1B4D"/>
    <w:rsid w:val="6D7A266C"/>
    <w:rsid w:val="6D7E720D"/>
    <w:rsid w:val="6D837FA1"/>
    <w:rsid w:val="6D886614"/>
    <w:rsid w:val="6D892E00"/>
    <w:rsid w:val="6D8B1C75"/>
    <w:rsid w:val="6D904C50"/>
    <w:rsid w:val="6D932EAF"/>
    <w:rsid w:val="6DA10555"/>
    <w:rsid w:val="6DAD5678"/>
    <w:rsid w:val="6DB73BF9"/>
    <w:rsid w:val="6DBD0DAF"/>
    <w:rsid w:val="6DC4482D"/>
    <w:rsid w:val="6DCA6791"/>
    <w:rsid w:val="6DCD58AB"/>
    <w:rsid w:val="6DD6111A"/>
    <w:rsid w:val="6DE00C70"/>
    <w:rsid w:val="6DE353F1"/>
    <w:rsid w:val="6DEA74B7"/>
    <w:rsid w:val="6DEB463B"/>
    <w:rsid w:val="6DEE24EC"/>
    <w:rsid w:val="6DEE71E8"/>
    <w:rsid w:val="6DF5372B"/>
    <w:rsid w:val="6DF81E00"/>
    <w:rsid w:val="6DF90DFC"/>
    <w:rsid w:val="6DFC5BBF"/>
    <w:rsid w:val="6DFE6212"/>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7D51C4"/>
    <w:rsid w:val="6E801620"/>
    <w:rsid w:val="6E804815"/>
    <w:rsid w:val="6E822FFE"/>
    <w:rsid w:val="6E862B6D"/>
    <w:rsid w:val="6E862F48"/>
    <w:rsid w:val="6E926828"/>
    <w:rsid w:val="6E997680"/>
    <w:rsid w:val="6EAC0AF4"/>
    <w:rsid w:val="6EAD08D9"/>
    <w:rsid w:val="6EAD7F56"/>
    <w:rsid w:val="6EB01DE3"/>
    <w:rsid w:val="6EB5146A"/>
    <w:rsid w:val="6EB86EA2"/>
    <w:rsid w:val="6EBC704B"/>
    <w:rsid w:val="6EC008FC"/>
    <w:rsid w:val="6EC429D7"/>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2A3DFB"/>
    <w:rsid w:val="6F3369BB"/>
    <w:rsid w:val="6F381B91"/>
    <w:rsid w:val="6F3E6C19"/>
    <w:rsid w:val="6F4C4F92"/>
    <w:rsid w:val="6F511EE4"/>
    <w:rsid w:val="6F5618FA"/>
    <w:rsid w:val="6F576BAB"/>
    <w:rsid w:val="6F5B6062"/>
    <w:rsid w:val="6F5B6A33"/>
    <w:rsid w:val="6F5C3422"/>
    <w:rsid w:val="6F5F7E5D"/>
    <w:rsid w:val="6F630569"/>
    <w:rsid w:val="6F674830"/>
    <w:rsid w:val="6F6F0AA0"/>
    <w:rsid w:val="6F712CFE"/>
    <w:rsid w:val="6F724FCC"/>
    <w:rsid w:val="6F725984"/>
    <w:rsid w:val="6F726F60"/>
    <w:rsid w:val="6F730A9D"/>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9F7AC6"/>
    <w:rsid w:val="6FA155D5"/>
    <w:rsid w:val="6FA945F3"/>
    <w:rsid w:val="6FAC463B"/>
    <w:rsid w:val="6FAD1747"/>
    <w:rsid w:val="6FB0406F"/>
    <w:rsid w:val="6FB658B9"/>
    <w:rsid w:val="6FBD24A6"/>
    <w:rsid w:val="6FC37E8F"/>
    <w:rsid w:val="6FCA088F"/>
    <w:rsid w:val="6FCB285C"/>
    <w:rsid w:val="6FCE07A2"/>
    <w:rsid w:val="6FD85295"/>
    <w:rsid w:val="6FDE2A2A"/>
    <w:rsid w:val="6FE26DB4"/>
    <w:rsid w:val="6FE4735A"/>
    <w:rsid w:val="6FE50C33"/>
    <w:rsid w:val="6FE81C55"/>
    <w:rsid w:val="6FED22CC"/>
    <w:rsid w:val="6FF84FF0"/>
    <w:rsid w:val="6FFD2DDD"/>
    <w:rsid w:val="6FFE3146"/>
    <w:rsid w:val="70036BC2"/>
    <w:rsid w:val="700A5AA4"/>
    <w:rsid w:val="700A5E30"/>
    <w:rsid w:val="700B4CA0"/>
    <w:rsid w:val="7010420A"/>
    <w:rsid w:val="70131D6D"/>
    <w:rsid w:val="7021525A"/>
    <w:rsid w:val="702C707B"/>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17E45"/>
    <w:rsid w:val="709F7CAA"/>
    <w:rsid w:val="70A11E84"/>
    <w:rsid w:val="70A55685"/>
    <w:rsid w:val="70A75E78"/>
    <w:rsid w:val="70AC0078"/>
    <w:rsid w:val="70AC19F3"/>
    <w:rsid w:val="70C07B9A"/>
    <w:rsid w:val="70C14A4B"/>
    <w:rsid w:val="70C730B6"/>
    <w:rsid w:val="70C84EED"/>
    <w:rsid w:val="70C91948"/>
    <w:rsid w:val="70CF44E0"/>
    <w:rsid w:val="70D134DD"/>
    <w:rsid w:val="70E215AC"/>
    <w:rsid w:val="70E74002"/>
    <w:rsid w:val="70F17BE3"/>
    <w:rsid w:val="70F54537"/>
    <w:rsid w:val="70FB7FC2"/>
    <w:rsid w:val="7105197B"/>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54DB"/>
    <w:rsid w:val="71650D7C"/>
    <w:rsid w:val="716672DD"/>
    <w:rsid w:val="71690B9C"/>
    <w:rsid w:val="71696B89"/>
    <w:rsid w:val="716A7CC0"/>
    <w:rsid w:val="716C36A6"/>
    <w:rsid w:val="716D5171"/>
    <w:rsid w:val="71701574"/>
    <w:rsid w:val="71731992"/>
    <w:rsid w:val="717447C0"/>
    <w:rsid w:val="718B0C94"/>
    <w:rsid w:val="718C797D"/>
    <w:rsid w:val="718F17A1"/>
    <w:rsid w:val="7195733C"/>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02760"/>
    <w:rsid w:val="71E05E9C"/>
    <w:rsid w:val="71E23EC7"/>
    <w:rsid w:val="71F570A3"/>
    <w:rsid w:val="71FD3815"/>
    <w:rsid w:val="71FE5F7E"/>
    <w:rsid w:val="71FF1E8A"/>
    <w:rsid w:val="72127AC6"/>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7C3CB9"/>
    <w:rsid w:val="72A36EC0"/>
    <w:rsid w:val="72B93507"/>
    <w:rsid w:val="72BE394E"/>
    <w:rsid w:val="72BF2E42"/>
    <w:rsid w:val="72C02CCD"/>
    <w:rsid w:val="72CB293F"/>
    <w:rsid w:val="72D2349C"/>
    <w:rsid w:val="72D41E32"/>
    <w:rsid w:val="72DA112E"/>
    <w:rsid w:val="72DC3E1E"/>
    <w:rsid w:val="72DE52DA"/>
    <w:rsid w:val="72E03114"/>
    <w:rsid w:val="72E1072F"/>
    <w:rsid w:val="72E2484B"/>
    <w:rsid w:val="72E61ADD"/>
    <w:rsid w:val="72E84252"/>
    <w:rsid w:val="72EC2869"/>
    <w:rsid w:val="72F271C1"/>
    <w:rsid w:val="73001013"/>
    <w:rsid w:val="730207B8"/>
    <w:rsid w:val="730528A9"/>
    <w:rsid w:val="73096A16"/>
    <w:rsid w:val="731275F7"/>
    <w:rsid w:val="73154FAD"/>
    <w:rsid w:val="731B706E"/>
    <w:rsid w:val="73233F97"/>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E3C21"/>
    <w:rsid w:val="73E32F09"/>
    <w:rsid w:val="73EA5F89"/>
    <w:rsid w:val="73EB5EF6"/>
    <w:rsid w:val="73F53D53"/>
    <w:rsid w:val="73FA2F75"/>
    <w:rsid w:val="73FA450F"/>
    <w:rsid w:val="73FE6CD9"/>
    <w:rsid w:val="74003C5F"/>
    <w:rsid w:val="7400572B"/>
    <w:rsid w:val="74076858"/>
    <w:rsid w:val="740A4738"/>
    <w:rsid w:val="740D0F0B"/>
    <w:rsid w:val="741A3124"/>
    <w:rsid w:val="741D4811"/>
    <w:rsid w:val="74212BAF"/>
    <w:rsid w:val="742475BB"/>
    <w:rsid w:val="7426357E"/>
    <w:rsid w:val="74273E69"/>
    <w:rsid w:val="74280FE6"/>
    <w:rsid w:val="74292792"/>
    <w:rsid w:val="742B641A"/>
    <w:rsid w:val="742D4D4A"/>
    <w:rsid w:val="742D6C04"/>
    <w:rsid w:val="742F1B00"/>
    <w:rsid w:val="74364FB5"/>
    <w:rsid w:val="7444022D"/>
    <w:rsid w:val="74442F77"/>
    <w:rsid w:val="74484A9B"/>
    <w:rsid w:val="74495E22"/>
    <w:rsid w:val="744A540C"/>
    <w:rsid w:val="744D19AB"/>
    <w:rsid w:val="74524688"/>
    <w:rsid w:val="745E5131"/>
    <w:rsid w:val="7465560D"/>
    <w:rsid w:val="7469251B"/>
    <w:rsid w:val="746C0F15"/>
    <w:rsid w:val="746C62CC"/>
    <w:rsid w:val="746F1AFB"/>
    <w:rsid w:val="74810EBA"/>
    <w:rsid w:val="74833EB5"/>
    <w:rsid w:val="74890F33"/>
    <w:rsid w:val="74910885"/>
    <w:rsid w:val="749F1E28"/>
    <w:rsid w:val="74A039B8"/>
    <w:rsid w:val="74A569D0"/>
    <w:rsid w:val="74A66772"/>
    <w:rsid w:val="74A909E5"/>
    <w:rsid w:val="74AA4F0F"/>
    <w:rsid w:val="74AB749D"/>
    <w:rsid w:val="74AD6512"/>
    <w:rsid w:val="74AD7653"/>
    <w:rsid w:val="74B13E15"/>
    <w:rsid w:val="74B1490A"/>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228B8"/>
    <w:rsid w:val="75092EF9"/>
    <w:rsid w:val="75141BBD"/>
    <w:rsid w:val="75157C52"/>
    <w:rsid w:val="75170729"/>
    <w:rsid w:val="751A141C"/>
    <w:rsid w:val="751A7F6B"/>
    <w:rsid w:val="751D6EAF"/>
    <w:rsid w:val="752162ED"/>
    <w:rsid w:val="75285F14"/>
    <w:rsid w:val="753047EE"/>
    <w:rsid w:val="753241D6"/>
    <w:rsid w:val="75451F63"/>
    <w:rsid w:val="754751A6"/>
    <w:rsid w:val="75497B05"/>
    <w:rsid w:val="754C54FC"/>
    <w:rsid w:val="756515D5"/>
    <w:rsid w:val="756631C3"/>
    <w:rsid w:val="756E741F"/>
    <w:rsid w:val="756F7EDB"/>
    <w:rsid w:val="75710B71"/>
    <w:rsid w:val="75800338"/>
    <w:rsid w:val="759503D4"/>
    <w:rsid w:val="75984DA0"/>
    <w:rsid w:val="759B40BB"/>
    <w:rsid w:val="759B5B5D"/>
    <w:rsid w:val="75A236B2"/>
    <w:rsid w:val="75A37753"/>
    <w:rsid w:val="75A641C4"/>
    <w:rsid w:val="75B3270C"/>
    <w:rsid w:val="75B50EFF"/>
    <w:rsid w:val="75BE1B38"/>
    <w:rsid w:val="75BF6F03"/>
    <w:rsid w:val="75C20090"/>
    <w:rsid w:val="75C7170E"/>
    <w:rsid w:val="75CB1B3F"/>
    <w:rsid w:val="75DB1CA5"/>
    <w:rsid w:val="75E0700F"/>
    <w:rsid w:val="75E1375C"/>
    <w:rsid w:val="75EB4A85"/>
    <w:rsid w:val="75EE20CC"/>
    <w:rsid w:val="75F53481"/>
    <w:rsid w:val="75F71F4D"/>
    <w:rsid w:val="75F7471F"/>
    <w:rsid w:val="75F86A3D"/>
    <w:rsid w:val="75FE09C8"/>
    <w:rsid w:val="761108B6"/>
    <w:rsid w:val="761C303B"/>
    <w:rsid w:val="761E29A2"/>
    <w:rsid w:val="76206BFA"/>
    <w:rsid w:val="76252F85"/>
    <w:rsid w:val="762E2B3C"/>
    <w:rsid w:val="76301B8C"/>
    <w:rsid w:val="76307C0D"/>
    <w:rsid w:val="76410CB5"/>
    <w:rsid w:val="764456E6"/>
    <w:rsid w:val="76445F25"/>
    <w:rsid w:val="76470EE2"/>
    <w:rsid w:val="76496E5A"/>
    <w:rsid w:val="764C106C"/>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974B9D"/>
    <w:rsid w:val="769C25B1"/>
    <w:rsid w:val="76A453A4"/>
    <w:rsid w:val="76A80234"/>
    <w:rsid w:val="76A80D31"/>
    <w:rsid w:val="76AB1A36"/>
    <w:rsid w:val="76AC74B5"/>
    <w:rsid w:val="76AD51CC"/>
    <w:rsid w:val="76B00ED2"/>
    <w:rsid w:val="76BD1EC6"/>
    <w:rsid w:val="76C01C98"/>
    <w:rsid w:val="76C25BA1"/>
    <w:rsid w:val="76C31B55"/>
    <w:rsid w:val="76C56BFA"/>
    <w:rsid w:val="76C60922"/>
    <w:rsid w:val="76CB7E3D"/>
    <w:rsid w:val="76DC3209"/>
    <w:rsid w:val="76EA23A7"/>
    <w:rsid w:val="76EA717D"/>
    <w:rsid w:val="76EC45E1"/>
    <w:rsid w:val="76ED0243"/>
    <w:rsid w:val="76F051EC"/>
    <w:rsid w:val="76FE351B"/>
    <w:rsid w:val="76FF0DE4"/>
    <w:rsid w:val="77006FF5"/>
    <w:rsid w:val="77180EEF"/>
    <w:rsid w:val="7719268A"/>
    <w:rsid w:val="771B2BF4"/>
    <w:rsid w:val="771E2E80"/>
    <w:rsid w:val="77242F9B"/>
    <w:rsid w:val="7728787B"/>
    <w:rsid w:val="772C7637"/>
    <w:rsid w:val="773032D4"/>
    <w:rsid w:val="773A02A1"/>
    <w:rsid w:val="773E3044"/>
    <w:rsid w:val="77407DB5"/>
    <w:rsid w:val="77460ECB"/>
    <w:rsid w:val="774631A2"/>
    <w:rsid w:val="77480ACB"/>
    <w:rsid w:val="774E2224"/>
    <w:rsid w:val="774E5C04"/>
    <w:rsid w:val="775201BE"/>
    <w:rsid w:val="7759185C"/>
    <w:rsid w:val="775A1150"/>
    <w:rsid w:val="775F2A44"/>
    <w:rsid w:val="776131A9"/>
    <w:rsid w:val="77635C2E"/>
    <w:rsid w:val="77664ECB"/>
    <w:rsid w:val="77675268"/>
    <w:rsid w:val="77697B00"/>
    <w:rsid w:val="776A2C7E"/>
    <w:rsid w:val="77742746"/>
    <w:rsid w:val="77786DA6"/>
    <w:rsid w:val="77811371"/>
    <w:rsid w:val="778843FB"/>
    <w:rsid w:val="778E17B2"/>
    <w:rsid w:val="77990E6A"/>
    <w:rsid w:val="779979CC"/>
    <w:rsid w:val="779A0764"/>
    <w:rsid w:val="779A6024"/>
    <w:rsid w:val="779B311A"/>
    <w:rsid w:val="77A36BEC"/>
    <w:rsid w:val="77B17027"/>
    <w:rsid w:val="77B31333"/>
    <w:rsid w:val="77BA1AC8"/>
    <w:rsid w:val="77BA6CEC"/>
    <w:rsid w:val="77C14AC0"/>
    <w:rsid w:val="77CB14D2"/>
    <w:rsid w:val="77D10265"/>
    <w:rsid w:val="77D1611A"/>
    <w:rsid w:val="77D35131"/>
    <w:rsid w:val="77DD72E2"/>
    <w:rsid w:val="77E30556"/>
    <w:rsid w:val="77E86777"/>
    <w:rsid w:val="77EE4B6B"/>
    <w:rsid w:val="77F3616A"/>
    <w:rsid w:val="77F40BEF"/>
    <w:rsid w:val="77FA18D0"/>
    <w:rsid w:val="77FE1D66"/>
    <w:rsid w:val="78043735"/>
    <w:rsid w:val="781109CB"/>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7D60E5"/>
    <w:rsid w:val="7887256E"/>
    <w:rsid w:val="788F757C"/>
    <w:rsid w:val="78900E9E"/>
    <w:rsid w:val="78903A41"/>
    <w:rsid w:val="78984D40"/>
    <w:rsid w:val="789A31ED"/>
    <w:rsid w:val="789D1371"/>
    <w:rsid w:val="78A2013A"/>
    <w:rsid w:val="78AB3A7C"/>
    <w:rsid w:val="78B02F47"/>
    <w:rsid w:val="78B04BDB"/>
    <w:rsid w:val="78B67A9B"/>
    <w:rsid w:val="78BF08A7"/>
    <w:rsid w:val="78C0160F"/>
    <w:rsid w:val="78C13147"/>
    <w:rsid w:val="78C13ACB"/>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A0C59"/>
    <w:rsid w:val="78FB65E8"/>
    <w:rsid w:val="78FE41F1"/>
    <w:rsid w:val="7912238A"/>
    <w:rsid w:val="79165EE7"/>
    <w:rsid w:val="791A1817"/>
    <w:rsid w:val="791A48BC"/>
    <w:rsid w:val="791B77BC"/>
    <w:rsid w:val="79200B49"/>
    <w:rsid w:val="79211E4B"/>
    <w:rsid w:val="79257EF3"/>
    <w:rsid w:val="79272FC5"/>
    <w:rsid w:val="7928232A"/>
    <w:rsid w:val="792A0A19"/>
    <w:rsid w:val="792E6A79"/>
    <w:rsid w:val="793648F4"/>
    <w:rsid w:val="7940051E"/>
    <w:rsid w:val="7949288B"/>
    <w:rsid w:val="794A2592"/>
    <w:rsid w:val="7952784C"/>
    <w:rsid w:val="795470A3"/>
    <w:rsid w:val="796075BB"/>
    <w:rsid w:val="7968243D"/>
    <w:rsid w:val="796D46FF"/>
    <w:rsid w:val="79720A2F"/>
    <w:rsid w:val="79766112"/>
    <w:rsid w:val="79771A73"/>
    <w:rsid w:val="797E143C"/>
    <w:rsid w:val="79843AC8"/>
    <w:rsid w:val="79862181"/>
    <w:rsid w:val="79876D2B"/>
    <w:rsid w:val="798D54B0"/>
    <w:rsid w:val="79921D48"/>
    <w:rsid w:val="79922665"/>
    <w:rsid w:val="799C6A6B"/>
    <w:rsid w:val="79A87069"/>
    <w:rsid w:val="79B203ED"/>
    <w:rsid w:val="79B25FF3"/>
    <w:rsid w:val="79B53C6D"/>
    <w:rsid w:val="79B64A30"/>
    <w:rsid w:val="79B666C5"/>
    <w:rsid w:val="79B76B05"/>
    <w:rsid w:val="79C52095"/>
    <w:rsid w:val="79C65BBE"/>
    <w:rsid w:val="79D1116F"/>
    <w:rsid w:val="79D96809"/>
    <w:rsid w:val="79DE7899"/>
    <w:rsid w:val="79E03305"/>
    <w:rsid w:val="79E226D1"/>
    <w:rsid w:val="79E97929"/>
    <w:rsid w:val="79EA539B"/>
    <w:rsid w:val="79EB4459"/>
    <w:rsid w:val="79F23CDC"/>
    <w:rsid w:val="79F34CAF"/>
    <w:rsid w:val="7A100259"/>
    <w:rsid w:val="7A15062E"/>
    <w:rsid w:val="7A1D6F2C"/>
    <w:rsid w:val="7A270D7D"/>
    <w:rsid w:val="7A2B5749"/>
    <w:rsid w:val="7A2C7B18"/>
    <w:rsid w:val="7A32236A"/>
    <w:rsid w:val="7A342DFB"/>
    <w:rsid w:val="7A3E149B"/>
    <w:rsid w:val="7A3E5311"/>
    <w:rsid w:val="7A4E39B4"/>
    <w:rsid w:val="7A5C4C55"/>
    <w:rsid w:val="7A5C68FE"/>
    <w:rsid w:val="7A6009F2"/>
    <w:rsid w:val="7A682E8A"/>
    <w:rsid w:val="7A6B4B0F"/>
    <w:rsid w:val="7A6D4697"/>
    <w:rsid w:val="7A73227D"/>
    <w:rsid w:val="7A791E81"/>
    <w:rsid w:val="7A7B3652"/>
    <w:rsid w:val="7A8D452F"/>
    <w:rsid w:val="7A904D85"/>
    <w:rsid w:val="7AA22EFC"/>
    <w:rsid w:val="7AAE18A2"/>
    <w:rsid w:val="7AB37FBB"/>
    <w:rsid w:val="7AB44C4D"/>
    <w:rsid w:val="7AB971D8"/>
    <w:rsid w:val="7ABF5DF1"/>
    <w:rsid w:val="7AC12D9A"/>
    <w:rsid w:val="7AC40312"/>
    <w:rsid w:val="7AC46114"/>
    <w:rsid w:val="7ACB6579"/>
    <w:rsid w:val="7AD53736"/>
    <w:rsid w:val="7AD9270A"/>
    <w:rsid w:val="7ADA57DA"/>
    <w:rsid w:val="7AE026C2"/>
    <w:rsid w:val="7AEC5358"/>
    <w:rsid w:val="7AF6355F"/>
    <w:rsid w:val="7AF86AE2"/>
    <w:rsid w:val="7B004525"/>
    <w:rsid w:val="7B055E0F"/>
    <w:rsid w:val="7B081DA0"/>
    <w:rsid w:val="7B124FEC"/>
    <w:rsid w:val="7B186B71"/>
    <w:rsid w:val="7B2223D2"/>
    <w:rsid w:val="7B231F28"/>
    <w:rsid w:val="7B25293B"/>
    <w:rsid w:val="7B2C4334"/>
    <w:rsid w:val="7B2C4CC0"/>
    <w:rsid w:val="7B2E2426"/>
    <w:rsid w:val="7B3A0DFE"/>
    <w:rsid w:val="7B3D4DA7"/>
    <w:rsid w:val="7B413E67"/>
    <w:rsid w:val="7B454F73"/>
    <w:rsid w:val="7B4923F6"/>
    <w:rsid w:val="7B4E236A"/>
    <w:rsid w:val="7B5016EF"/>
    <w:rsid w:val="7B517C6E"/>
    <w:rsid w:val="7B534179"/>
    <w:rsid w:val="7B575748"/>
    <w:rsid w:val="7B5A16BD"/>
    <w:rsid w:val="7B643258"/>
    <w:rsid w:val="7B664932"/>
    <w:rsid w:val="7B7934A2"/>
    <w:rsid w:val="7B83373F"/>
    <w:rsid w:val="7B850440"/>
    <w:rsid w:val="7B854C75"/>
    <w:rsid w:val="7B8748BE"/>
    <w:rsid w:val="7B881F3C"/>
    <w:rsid w:val="7B8B01B2"/>
    <w:rsid w:val="7B8D0CC8"/>
    <w:rsid w:val="7B8E64D2"/>
    <w:rsid w:val="7B97500F"/>
    <w:rsid w:val="7B985C69"/>
    <w:rsid w:val="7B9905A9"/>
    <w:rsid w:val="7BA41BF8"/>
    <w:rsid w:val="7BB10EFE"/>
    <w:rsid w:val="7BB71DFE"/>
    <w:rsid w:val="7BBC2B27"/>
    <w:rsid w:val="7BC56F92"/>
    <w:rsid w:val="7BCE489F"/>
    <w:rsid w:val="7BCE6A58"/>
    <w:rsid w:val="7BCF3C09"/>
    <w:rsid w:val="7BD0460F"/>
    <w:rsid w:val="7BD26592"/>
    <w:rsid w:val="7BDE3918"/>
    <w:rsid w:val="7BEA3BE2"/>
    <w:rsid w:val="7BFB48C3"/>
    <w:rsid w:val="7BFC2A3F"/>
    <w:rsid w:val="7C1D23E6"/>
    <w:rsid w:val="7C1F3E57"/>
    <w:rsid w:val="7C1F7E96"/>
    <w:rsid w:val="7C256FB0"/>
    <w:rsid w:val="7C303EA0"/>
    <w:rsid w:val="7C324AC7"/>
    <w:rsid w:val="7C392EAB"/>
    <w:rsid w:val="7C404365"/>
    <w:rsid w:val="7C4222EC"/>
    <w:rsid w:val="7C425F74"/>
    <w:rsid w:val="7C594223"/>
    <w:rsid w:val="7C696EFF"/>
    <w:rsid w:val="7C7566C0"/>
    <w:rsid w:val="7C7D6E82"/>
    <w:rsid w:val="7C82399E"/>
    <w:rsid w:val="7C8825B8"/>
    <w:rsid w:val="7C887B7F"/>
    <w:rsid w:val="7C897EFD"/>
    <w:rsid w:val="7C8B4132"/>
    <w:rsid w:val="7C934E11"/>
    <w:rsid w:val="7C955035"/>
    <w:rsid w:val="7C960A7C"/>
    <w:rsid w:val="7C981479"/>
    <w:rsid w:val="7C98620C"/>
    <w:rsid w:val="7C991E29"/>
    <w:rsid w:val="7CA464B9"/>
    <w:rsid w:val="7CA621E0"/>
    <w:rsid w:val="7CA778E3"/>
    <w:rsid w:val="7CB47684"/>
    <w:rsid w:val="7CB9688C"/>
    <w:rsid w:val="7CC9599D"/>
    <w:rsid w:val="7CCC22F1"/>
    <w:rsid w:val="7CCF63D9"/>
    <w:rsid w:val="7CD10E3C"/>
    <w:rsid w:val="7CD24845"/>
    <w:rsid w:val="7CD472FB"/>
    <w:rsid w:val="7CD74DFA"/>
    <w:rsid w:val="7CF349A0"/>
    <w:rsid w:val="7CF43390"/>
    <w:rsid w:val="7CF87A64"/>
    <w:rsid w:val="7D063701"/>
    <w:rsid w:val="7D0C3EEB"/>
    <w:rsid w:val="7D0E6A3E"/>
    <w:rsid w:val="7D103C58"/>
    <w:rsid w:val="7D141D26"/>
    <w:rsid w:val="7D16509E"/>
    <w:rsid w:val="7D1A5047"/>
    <w:rsid w:val="7D231801"/>
    <w:rsid w:val="7D2474D9"/>
    <w:rsid w:val="7D2810B8"/>
    <w:rsid w:val="7D321D31"/>
    <w:rsid w:val="7D327CAA"/>
    <w:rsid w:val="7D3B4997"/>
    <w:rsid w:val="7D464D8B"/>
    <w:rsid w:val="7D4976D6"/>
    <w:rsid w:val="7D527871"/>
    <w:rsid w:val="7D556DD8"/>
    <w:rsid w:val="7D594D25"/>
    <w:rsid w:val="7D604354"/>
    <w:rsid w:val="7D614D41"/>
    <w:rsid w:val="7D6D1027"/>
    <w:rsid w:val="7D6D5112"/>
    <w:rsid w:val="7D6D7325"/>
    <w:rsid w:val="7D71005D"/>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AE681E"/>
    <w:rsid w:val="7DB531D9"/>
    <w:rsid w:val="7DBB7CE9"/>
    <w:rsid w:val="7DC05388"/>
    <w:rsid w:val="7DCB4ECF"/>
    <w:rsid w:val="7DCC6D1C"/>
    <w:rsid w:val="7DCD2BBC"/>
    <w:rsid w:val="7DD27EC2"/>
    <w:rsid w:val="7DD35BF7"/>
    <w:rsid w:val="7DD720D9"/>
    <w:rsid w:val="7DDA60DC"/>
    <w:rsid w:val="7DEB22A3"/>
    <w:rsid w:val="7DF15509"/>
    <w:rsid w:val="7DF21494"/>
    <w:rsid w:val="7DF24D46"/>
    <w:rsid w:val="7DF5601E"/>
    <w:rsid w:val="7DF5696A"/>
    <w:rsid w:val="7DF92346"/>
    <w:rsid w:val="7E0160D1"/>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2D49D5"/>
    <w:rsid w:val="7E3F288B"/>
    <w:rsid w:val="7E435CF4"/>
    <w:rsid w:val="7E464A33"/>
    <w:rsid w:val="7E4726DC"/>
    <w:rsid w:val="7E524B0D"/>
    <w:rsid w:val="7E5B760E"/>
    <w:rsid w:val="7E60723E"/>
    <w:rsid w:val="7E676DAA"/>
    <w:rsid w:val="7E691CE1"/>
    <w:rsid w:val="7E7543B0"/>
    <w:rsid w:val="7E754A27"/>
    <w:rsid w:val="7E800EB3"/>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B0D7C"/>
    <w:rsid w:val="7EEC208B"/>
    <w:rsid w:val="7EFC100C"/>
    <w:rsid w:val="7F004803"/>
    <w:rsid w:val="7F07622C"/>
    <w:rsid w:val="7F0F6799"/>
    <w:rsid w:val="7F1207B2"/>
    <w:rsid w:val="7F124DE7"/>
    <w:rsid w:val="7F13078A"/>
    <w:rsid w:val="7F132329"/>
    <w:rsid w:val="7F152856"/>
    <w:rsid w:val="7F1A3010"/>
    <w:rsid w:val="7F21785D"/>
    <w:rsid w:val="7F287205"/>
    <w:rsid w:val="7F2A4104"/>
    <w:rsid w:val="7F2B2602"/>
    <w:rsid w:val="7F351531"/>
    <w:rsid w:val="7F3C3963"/>
    <w:rsid w:val="7F47771D"/>
    <w:rsid w:val="7F4859B6"/>
    <w:rsid w:val="7F4B7D44"/>
    <w:rsid w:val="7F4F43E9"/>
    <w:rsid w:val="7F4F77B8"/>
    <w:rsid w:val="7F525674"/>
    <w:rsid w:val="7F53595E"/>
    <w:rsid w:val="7F5C6669"/>
    <w:rsid w:val="7F607033"/>
    <w:rsid w:val="7F625085"/>
    <w:rsid w:val="7F685C6C"/>
    <w:rsid w:val="7F6951CA"/>
    <w:rsid w:val="7F6C5DF1"/>
    <w:rsid w:val="7F6F3F05"/>
    <w:rsid w:val="7F6F6014"/>
    <w:rsid w:val="7F7933D6"/>
    <w:rsid w:val="7F834CDB"/>
    <w:rsid w:val="7F836A2D"/>
    <w:rsid w:val="7F863B3E"/>
    <w:rsid w:val="7F864B9F"/>
    <w:rsid w:val="7F882947"/>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55D4C"/>
    <w:rsid w:val="7FD7600E"/>
    <w:rsid w:val="7FD95E5B"/>
    <w:rsid w:val="7FDB6CBA"/>
    <w:rsid w:val="7FDF0629"/>
    <w:rsid w:val="7FE106D9"/>
    <w:rsid w:val="7FE1210F"/>
    <w:rsid w:val="7FE44581"/>
    <w:rsid w:val="7FED6F74"/>
    <w:rsid w:val="7FEE0686"/>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napToGrid w:val="0"/>
      <w:spacing w:before="50" w:beforeLines="50" w:after="120" w:line="259" w:lineRule="auto"/>
      <w:jc w:val="both"/>
    </w:pPr>
    <w:rPr>
      <w:rFonts w:ascii="Times New Roman" w:hAnsi="Times New Roman" w:eastAsia="宋体" w:cs="Times New Roman"/>
      <w:szCs w:val="22"/>
      <w:lang w:val="en-US" w:eastAsia="zh-CN" w:bidi="ar-SA"/>
    </w:rPr>
  </w:style>
  <w:style w:type="paragraph" w:styleId="3">
    <w:name w:val="heading 1"/>
    <w:basedOn w:val="1"/>
    <w:next w:val="1"/>
    <w:link w:val="56"/>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4">
    <w:name w:val="heading 2"/>
    <w:basedOn w:val="3"/>
    <w:next w:val="1"/>
    <w:link w:val="80"/>
    <w:qFormat/>
    <w:uiPriority w:val="0"/>
    <w:pPr>
      <w:keepNext/>
      <w:keepLines/>
      <w:numPr>
        <w:ilvl w:val="1"/>
      </w:numPr>
      <w:tabs>
        <w:tab w:val="left" w:pos="612"/>
      </w:tabs>
      <w:ind w:left="431" w:hanging="431"/>
      <w:outlineLvl w:val="1"/>
    </w:pPr>
    <w:rPr>
      <w:bCs w:val="0"/>
      <w:sz w:val="28"/>
      <w:szCs w:val="28"/>
    </w:rPr>
  </w:style>
  <w:style w:type="paragraph" w:styleId="5">
    <w:name w:val="heading 3"/>
    <w:basedOn w:val="4"/>
    <w:next w:val="1"/>
    <w:link w:val="81"/>
    <w:qFormat/>
    <w:uiPriority w:val="9"/>
    <w:pPr>
      <w:numPr>
        <w:ilvl w:val="2"/>
      </w:numPr>
      <w:outlineLvl w:val="2"/>
    </w:pPr>
    <w:rPr>
      <w:bCs/>
      <w:sz w:val="24"/>
      <w:szCs w:val="32"/>
    </w:rPr>
  </w:style>
  <w:style w:type="paragraph" w:styleId="6">
    <w:name w:val="heading 4"/>
    <w:basedOn w:val="5"/>
    <w:next w:val="1"/>
    <w:link w:val="66"/>
    <w:qFormat/>
    <w:uiPriority w:val="0"/>
    <w:pPr>
      <w:numPr>
        <w:ilvl w:val="3"/>
      </w:numPr>
      <w:overflowPunct w:val="0"/>
      <w:ind w:left="862" w:hanging="862"/>
      <w:textAlignment w:val="baseline"/>
      <w:outlineLvl w:val="3"/>
    </w:pPr>
    <w:rPr>
      <w:sz w:val="21"/>
      <w:szCs w:val="21"/>
      <w:lang w:val="en-GB"/>
    </w:rPr>
  </w:style>
  <w:style w:type="paragraph" w:styleId="7">
    <w:name w:val="heading 5"/>
    <w:basedOn w:val="6"/>
    <w:next w:val="1"/>
    <w:link w:val="69"/>
    <w:qFormat/>
    <w:uiPriority w:val="0"/>
    <w:pPr>
      <w:numPr>
        <w:ilvl w:val="4"/>
      </w:numPr>
      <w:outlineLvl w:val="4"/>
    </w:pPr>
    <w:rPr>
      <w:b w:val="0"/>
      <w:sz w:val="24"/>
      <w:szCs w:val="24"/>
    </w:rPr>
  </w:style>
  <w:style w:type="paragraph" w:styleId="8">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qFormat/>
    <w:uiPriority w:val="9"/>
    <w:pPr>
      <w:keepNext/>
      <w:keepLines/>
      <w:numPr>
        <w:ilvl w:val="6"/>
        <w:numId w:val="1"/>
      </w:numPr>
      <w:spacing w:before="240" w:after="64" w:line="317" w:lineRule="auto"/>
      <w:outlineLvl w:val="6"/>
    </w:pPr>
    <w:rPr>
      <w:b/>
      <w:sz w:val="24"/>
    </w:rPr>
  </w:style>
  <w:style w:type="paragraph" w:styleId="10">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3"/>
    <w:qFormat/>
    <w:uiPriority w:val="0"/>
    <w:pPr>
      <w:widowControl w:val="0"/>
      <w:spacing w:after="0" w:line="240" w:lineRule="auto"/>
    </w:pPr>
    <w:rPr>
      <w:rFonts w:ascii="Times New Roman" w:hAnsi="Times New Roman" w:eastAsia="宋体"/>
      <w:color w:val="000000" w:themeColor="text1"/>
      <w:kern w:val="2"/>
      <w:sz w:val="21"/>
      <w:szCs w:val="20"/>
      <w14:textFill>
        <w14:solidFill>
          <w14:schemeClr w14:val="tx1"/>
        </w14:solidFill>
      </w14:textFill>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Normal Indent"/>
    <w:basedOn w:val="1"/>
    <w:qFormat/>
    <w:uiPriority w:val="0"/>
    <w:pPr>
      <w:widowControl w:val="0"/>
      <w:spacing w:after="0" w:line="240" w:lineRule="auto"/>
      <w:ind w:firstLine="420"/>
    </w:pPr>
    <w:rPr>
      <w:kern w:val="2"/>
      <w:sz w:val="21"/>
      <w:szCs w:val="20"/>
    </w:rPr>
  </w:style>
  <w:style w:type="paragraph" w:styleId="16">
    <w:name w:val="caption"/>
    <w:basedOn w:val="1"/>
    <w:next w:val="1"/>
    <w:link w:val="58"/>
    <w:qFormat/>
    <w:uiPriority w:val="0"/>
    <w:pPr>
      <w:tabs>
        <w:tab w:val="left" w:pos="1418"/>
      </w:tabs>
      <w:spacing w:before="120" w:line="240" w:lineRule="auto"/>
    </w:pPr>
    <w:rPr>
      <w:b/>
      <w:bCs/>
      <w:szCs w:val="20"/>
      <w:lang w:val="en-GB" w:eastAsia="sv-SE"/>
    </w:rPr>
  </w:style>
  <w:style w:type="paragraph" w:styleId="17">
    <w:name w:val="List Bullet"/>
    <w:basedOn w:val="1"/>
    <w:unhideWhenUsed/>
    <w:qFormat/>
    <w:uiPriority w:val="99"/>
    <w:pPr>
      <w:numPr>
        <w:ilvl w:val="0"/>
        <w:numId w:val="2"/>
      </w:numPr>
    </w:pPr>
  </w:style>
  <w:style w:type="paragraph" w:styleId="18">
    <w:name w:val="Document Map"/>
    <w:basedOn w:val="1"/>
    <w:link w:val="83"/>
    <w:unhideWhenUsed/>
    <w:qFormat/>
    <w:uiPriority w:val="99"/>
    <w:rPr>
      <w:rFonts w:ascii="宋体"/>
      <w:sz w:val="18"/>
      <w:szCs w:val="18"/>
    </w:rPr>
  </w:style>
  <w:style w:type="paragraph" w:styleId="19">
    <w:name w:val="annotation text"/>
    <w:basedOn w:val="1"/>
    <w:link w:val="84"/>
    <w:unhideWhenUsed/>
    <w:qFormat/>
    <w:uiPriority w:val="99"/>
    <w:rPr>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5"/>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6"/>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2"/>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9"/>
    <w:next w:val="19"/>
    <w:link w:val="49"/>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Char"/>
    <w:link w:val="23"/>
    <w:semiHidden/>
    <w:qFormat/>
    <w:uiPriority w:val="99"/>
    <w:rPr>
      <w:rFonts w:ascii="Tahoma" w:hAnsi="Tahoma" w:cs="Tahoma"/>
      <w:sz w:val="16"/>
      <w:szCs w:val="16"/>
    </w:rPr>
  </w:style>
  <w:style w:type="character" w:customStyle="1" w:styleId="43">
    <w:name w:val="正文文本 Char"/>
    <w:link w:val="2"/>
    <w:qFormat/>
    <w:uiPriority w:val="0"/>
    <w:rPr>
      <w:rFonts w:ascii="Times New Roman" w:hAnsi="Times New Roman" w:eastAsia="宋体"/>
      <w:color w:val="000000" w:themeColor="text1"/>
      <w:kern w:val="2"/>
      <w:sz w:val="21"/>
      <w14:textFill>
        <w14:solidFill>
          <w14:schemeClr w14:val="tx1"/>
        </w14:solidFill>
      </w14:textFill>
    </w:rPr>
  </w:style>
  <w:style w:type="character" w:customStyle="1" w:styleId="44">
    <w:name w:val="quote1"/>
    <w:qFormat/>
    <w:uiPriority w:val="0"/>
    <w:rPr>
      <w:color w:val="6B6B6B"/>
      <w:sz w:val="18"/>
      <w:szCs w:val="18"/>
    </w:rPr>
  </w:style>
  <w:style w:type="character" w:customStyle="1" w:styleId="45">
    <w:name w:val="font41"/>
    <w:qFormat/>
    <w:uiPriority w:val="0"/>
    <w:rPr>
      <w:rFonts w:hint="default" w:ascii="Times New Roman" w:hAnsi="Times New Roman" w:cs="Times New Roman"/>
      <w:color w:val="000000"/>
      <w:sz w:val="20"/>
      <w:szCs w:val="20"/>
      <w:u w:val="none"/>
    </w:rPr>
  </w:style>
  <w:style w:type="character" w:customStyle="1" w:styleId="46">
    <w:name w:val="页脚 Char"/>
    <w:link w:val="24"/>
    <w:qFormat/>
    <w:uiPriority w:val="99"/>
    <w:rPr>
      <w:sz w:val="18"/>
      <w:szCs w:val="18"/>
    </w:rPr>
  </w:style>
  <w:style w:type="character" w:customStyle="1" w:styleId="47">
    <w:name w:val="countx"/>
    <w:qFormat/>
    <w:uiPriority w:val="0"/>
    <w:rPr>
      <w:sz w:val="18"/>
      <w:szCs w:val="18"/>
    </w:rPr>
  </w:style>
  <w:style w:type="character" w:customStyle="1" w:styleId="48">
    <w:name w:val="hover6"/>
    <w:qFormat/>
    <w:uiPriority w:val="0"/>
    <w:rPr>
      <w:color w:val="FC5531"/>
      <w:bdr w:val="single" w:color="FC5531" w:sz="6" w:space="0"/>
    </w:rPr>
  </w:style>
  <w:style w:type="character" w:customStyle="1" w:styleId="49">
    <w:name w:val="批注主题 Char"/>
    <w:link w:val="29"/>
    <w:semiHidden/>
    <w:qFormat/>
    <w:uiPriority w:val="99"/>
    <w:rPr>
      <w:b/>
      <w:bCs/>
    </w:rPr>
  </w:style>
  <w:style w:type="character" w:customStyle="1" w:styleId="50">
    <w:name w:val="tip"/>
    <w:qFormat/>
    <w:uiPriority w:val="0"/>
    <w:rPr>
      <w:color w:val="999AAA"/>
      <w:sz w:val="18"/>
      <w:szCs w:val="18"/>
    </w:rPr>
  </w:style>
  <w:style w:type="character" w:customStyle="1" w:styleId="51">
    <w:name w:val="0 Main text Char"/>
    <w:link w:val="52"/>
    <w:qFormat/>
    <w:locked/>
    <w:uiPriority w:val="0"/>
    <w:rPr>
      <w:lang w:val="en-GB" w:eastAsia="en-US"/>
    </w:rPr>
  </w:style>
  <w:style w:type="paragraph" w:customStyle="1" w:styleId="52">
    <w:name w:val="0 Main text"/>
    <w:basedOn w:val="1"/>
    <w:link w:val="51"/>
    <w:qFormat/>
    <w:uiPriority w:val="0"/>
    <w:pPr>
      <w:snapToGrid/>
      <w:spacing w:after="0"/>
    </w:pPr>
    <w:rPr>
      <w:szCs w:val="20"/>
      <w:lang w:val="en-GB" w:eastAsia="en-US"/>
    </w:rPr>
  </w:style>
  <w:style w:type="character" w:customStyle="1" w:styleId="53">
    <w:name w:val="ZGSM"/>
    <w:qFormat/>
    <w:uiPriority w:val="0"/>
  </w:style>
  <w:style w:type="character" w:customStyle="1" w:styleId="54">
    <w:name w:val="text10"/>
    <w:qFormat/>
    <w:uiPriority w:val="0"/>
    <w:rPr>
      <w:vertAlign w:val="superscript"/>
    </w:rPr>
  </w:style>
  <w:style w:type="character" w:customStyle="1" w:styleId="55">
    <w:name w:val="red"/>
    <w:qFormat/>
    <w:uiPriority w:val="0"/>
    <w:rPr>
      <w:color w:val="FF0000"/>
    </w:rPr>
  </w:style>
  <w:style w:type="character" w:customStyle="1" w:styleId="56">
    <w:name w:val="标题 1 Char"/>
    <w:link w:val="3"/>
    <w:qFormat/>
    <w:uiPriority w:val="99"/>
    <w:rPr>
      <w:rFonts w:ascii="Arial" w:hAnsi="Arial" w:eastAsia="黑体"/>
      <w:b/>
      <w:bCs/>
      <w:sz w:val="30"/>
      <w:szCs w:val="30"/>
      <w:lang w:val="zh-CN"/>
    </w:rPr>
  </w:style>
  <w:style w:type="character" w:customStyle="1" w:styleId="57">
    <w:name w:val="10"/>
    <w:qFormat/>
    <w:uiPriority w:val="0"/>
    <w:rPr>
      <w:rFonts w:hint="default" w:ascii="Times New Roman" w:hAnsi="Times New Roman" w:cs="Times New Roman"/>
    </w:rPr>
  </w:style>
  <w:style w:type="character" w:customStyle="1" w:styleId="58">
    <w:name w:val="题注 Char"/>
    <w:link w:val="16"/>
    <w:qFormat/>
    <w:uiPriority w:val="0"/>
    <w:rPr>
      <w:rFonts w:ascii="Times New Roman" w:hAnsi="Times New Roman"/>
      <w:b/>
      <w:bCs/>
      <w:lang w:val="en-GB" w:eastAsia="sv-SE"/>
    </w:rPr>
  </w:style>
  <w:style w:type="character" w:customStyle="1" w:styleId="59">
    <w:name w:val="def3"/>
    <w:qFormat/>
    <w:uiPriority w:val="0"/>
    <w:rPr>
      <w:color w:val="313131"/>
    </w:rPr>
  </w:style>
  <w:style w:type="character" w:customStyle="1" w:styleId="60">
    <w:name w:val="引用1"/>
    <w:qFormat/>
    <w:uiPriority w:val="0"/>
    <w:rPr>
      <w:color w:val="6B6B6B"/>
      <w:sz w:val="18"/>
      <w:szCs w:val="18"/>
    </w:rPr>
  </w:style>
  <w:style w:type="character" w:customStyle="1" w:styleId="61">
    <w:name w:val="z-窗体顶端 Char"/>
    <w:link w:val="62"/>
    <w:semiHidden/>
    <w:qFormat/>
    <w:uiPriority w:val="99"/>
    <w:rPr>
      <w:rFonts w:ascii="Arial" w:hAnsi="Arial" w:cs="Arial"/>
      <w:vanish/>
      <w:sz w:val="16"/>
      <w:szCs w:val="16"/>
    </w:rPr>
  </w:style>
  <w:style w:type="paragraph" w:customStyle="1" w:styleId="62">
    <w:name w:val="_Style 42"/>
    <w:basedOn w:val="1"/>
    <w:next w:val="1"/>
    <w:link w:val="6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3">
    <w:name w:val="advert-count-people"/>
    <w:qFormat/>
    <w:uiPriority w:val="0"/>
    <w:rPr>
      <w:color w:val="FC5531"/>
      <w:sz w:val="21"/>
      <w:szCs w:val="21"/>
    </w:rPr>
  </w:style>
  <w:style w:type="character" w:customStyle="1" w:styleId="64">
    <w:name w:val="hot-word-count"/>
    <w:qFormat/>
    <w:uiPriority w:val="0"/>
    <w:rPr>
      <w:color w:val="FC5531"/>
    </w:rPr>
  </w:style>
  <w:style w:type="character" w:customStyle="1" w:styleId="65">
    <w:name w:val="日期 Char"/>
    <w:link w:val="22"/>
    <w:semiHidden/>
    <w:qFormat/>
    <w:uiPriority w:val="99"/>
    <w:rPr>
      <w:sz w:val="22"/>
      <w:szCs w:val="22"/>
    </w:rPr>
  </w:style>
  <w:style w:type="character" w:customStyle="1" w:styleId="66">
    <w:name w:val="标题 4 Char"/>
    <w:link w:val="6"/>
    <w:qFormat/>
    <w:uiPriority w:val="0"/>
    <w:rPr>
      <w:rFonts w:ascii="Arial" w:hAnsi="Arial" w:eastAsia="黑体"/>
      <w:b/>
      <w:bCs/>
      <w:sz w:val="21"/>
      <w:szCs w:val="21"/>
      <w:lang w:val="en-GB"/>
    </w:rPr>
  </w:style>
  <w:style w:type="character" w:customStyle="1" w:styleId="67">
    <w:name w:val="hps"/>
    <w:qFormat/>
    <w:uiPriority w:val="0"/>
  </w:style>
  <w:style w:type="character" w:customStyle="1" w:styleId="68">
    <w:name w:val="toolbar-adver-btn"/>
    <w:qFormat/>
    <w:uiPriority w:val="0"/>
    <w:rPr>
      <w:color w:val="FFFFFF"/>
      <w:sz w:val="33"/>
      <w:szCs w:val="33"/>
    </w:rPr>
  </w:style>
  <w:style w:type="character" w:customStyle="1" w:styleId="69">
    <w:name w:val="标题 5 Char"/>
    <w:link w:val="7"/>
    <w:qFormat/>
    <w:uiPriority w:val="0"/>
    <w:rPr>
      <w:rFonts w:ascii="Arial" w:hAnsi="Arial" w:eastAsia="黑体"/>
      <w:bCs/>
      <w:sz w:val="24"/>
      <w:szCs w:val="24"/>
      <w:lang w:val="en-GB"/>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4"/>
    <w:link w:val="76"/>
    <w:qFormat/>
    <w:uiPriority w:val="0"/>
    <w:pPr>
      <w:spacing w:after="180" w:line="240" w:lineRule="auto"/>
      <w:ind w:left="568" w:hanging="284"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Char"/>
    <w:link w:val="4"/>
    <w:qFormat/>
    <w:uiPriority w:val="0"/>
    <w:rPr>
      <w:rFonts w:ascii="Arial" w:hAnsi="Arial" w:eastAsia="黑体"/>
      <w:b/>
      <w:sz w:val="28"/>
      <w:szCs w:val="28"/>
      <w:lang w:val="zh-CN"/>
    </w:rPr>
  </w:style>
  <w:style w:type="character" w:customStyle="1" w:styleId="81">
    <w:name w:val="标题 3 Char"/>
    <w:link w:val="5"/>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Char"/>
    <w:link w:val="18"/>
    <w:semiHidden/>
    <w:qFormat/>
    <w:uiPriority w:val="99"/>
    <w:rPr>
      <w:rFonts w:ascii="宋体"/>
      <w:sz w:val="18"/>
      <w:szCs w:val="18"/>
    </w:rPr>
  </w:style>
  <w:style w:type="character" w:customStyle="1" w:styleId="84">
    <w:name w:val="批注文字 Char"/>
    <w:link w:val="19"/>
    <w:qFormat/>
    <w:uiPriority w:val="99"/>
  </w:style>
  <w:style w:type="character" w:customStyle="1" w:styleId="85">
    <w:name w:val="列出段落 Char"/>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Char"/>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Char"/>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Char"/>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2"/>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3"/>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2"/>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2"/>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1"/>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paragraph" w:customStyle="1" w:styleId="15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chart" Target="charts/chart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5552;&#26696;\&#20250;&#35758;\&#25353;&#36827;&#31243;&#20998;\119%20Orlando\subgroup%20wake-up.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multiple subgroups wake-up probability</a:t>
            </a:r>
            <a:endParaRPr lang="en-US" altLang="zh-CN"/>
          </a:p>
        </c:rich>
      </c:tx>
      <c:layout/>
      <c:overlay val="0"/>
      <c:spPr>
        <a:noFill/>
        <a:ln>
          <a:noFill/>
        </a:ln>
        <a:effectLst/>
      </c:spPr>
    </c:title>
    <c:autoTitleDeleted val="0"/>
    <c:plotArea>
      <c:layout/>
      <c:barChart>
        <c:barDir val="col"/>
        <c:grouping val="clustered"/>
        <c:varyColors val="0"/>
        <c:ser>
          <c:idx val="0"/>
          <c:order val="0"/>
          <c:tx>
            <c:strRef>
              <c:f>'[subgroup wake-up.xlsm]Sheet1'!$D$33</c:f>
              <c:strCache>
                <c:ptCount val="1"/>
                <c:pt idx="0">
                  <c:v>1subgroup</c:v>
                </c:pt>
              </c:strCache>
            </c:strRef>
          </c:tx>
          <c:spPr>
            <a:solidFill>
              <a:schemeClr val="accent1"/>
            </a:solidFill>
            <a:ln>
              <a:noFill/>
            </a:ln>
            <a:effectLst/>
          </c:spPr>
          <c:invertIfNegative val="0"/>
          <c:dLbls>
            <c:delete val="1"/>
          </c:dLbls>
          <c:val>
            <c:numRef>
              <c:f>'[subgroup wake-up.xlsm]Sheet1'!$E$33:$F$33</c:f>
              <c:numCache>
                <c:formatCode>General</c:formatCode>
                <c:ptCount val="2"/>
                <c:pt idx="0">
                  <c:v>0.373417782227388</c:v>
                </c:pt>
                <c:pt idx="1">
                  <c:v>0.234337078289407</c:v>
                </c:pt>
              </c:numCache>
            </c:numRef>
          </c:val>
        </c:ser>
        <c:ser>
          <c:idx val="1"/>
          <c:order val="1"/>
          <c:tx>
            <c:strRef>
              <c:f>'[subgroup wake-up.xlsm]Sheet1'!$D$34</c:f>
              <c:strCache>
                <c:ptCount val="1"/>
                <c:pt idx="0">
                  <c:v>2subgroups</c:v>
                </c:pt>
              </c:strCache>
            </c:strRef>
          </c:tx>
          <c:spPr>
            <a:solidFill>
              <a:schemeClr val="accent2"/>
            </a:solidFill>
            <a:ln>
              <a:noFill/>
            </a:ln>
            <a:effectLst/>
          </c:spPr>
          <c:invertIfNegative val="0"/>
          <c:dLbls>
            <c:delete val="1"/>
          </c:dLbls>
          <c:val>
            <c:numRef>
              <c:f>'[subgroup wake-up.xlsm]Sheet1'!$E$34:$F$34</c:f>
              <c:numCache>
                <c:formatCode>General</c:formatCode>
                <c:ptCount val="2"/>
                <c:pt idx="0">
                  <c:v>0.179009555397665</c:v>
                </c:pt>
                <c:pt idx="1">
                  <c:v>0.0366891385200587</c:v>
                </c:pt>
              </c:numCache>
            </c:numRef>
          </c:val>
        </c:ser>
        <c:ser>
          <c:idx val="2"/>
          <c:order val="2"/>
          <c:tx>
            <c:strRef>
              <c:f>'[subgroup wake-up.xlsm]Sheet1'!$D$35</c:f>
              <c:strCache>
                <c:ptCount val="1"/>
                <c:pt idx="0">
                  <c:v>3subgroups</c:v>
                </c:pt>
              </c:strCache>
            </c:strRef>
          </c:tx>
          <c:spPr>
            <a:solidFill>
              <a:schemeClr val="accent3"/>
            </a:solidFill>
            <a:ln>
              <a:noFill/>
            </a:ln>
            <a:effectLst/>
          </c:spPr>
          <c:invertIfNegative val="0"/>
          <c:dLbls>
            <c:delete val="1"/>
          </c:dLbls>
          <c:val>
            <c:numRef>
              <c:f>'[subgroup wake-up.xlsm]Sheet1'!$E$35:$F$35</c:f>
              <c:numCache>
                <c:formatCode>General</c:formatCode>
                <c:ptCount val="2"/>
                <c:pt idx="0">
                  <c:v>0.0553637800198965</c:v>
                </c:pt>
                <c:pt idx="1">
                  <c:v>0.00370597358788472</c:v>
                </c:pt>
              </c:numCache>
            </c:numRef>
          </c:val>
        </c:ser>
        <c:ser>
          <c:idx val="3"/>
          <c:order val="3"/>
          <c:tx>
            <c:strRef>
              <c:f>'[subgroup wake-up.xlsm]Sheet1'!$D$36</c:f>
              <c:strCache>
                <c:ptCount val="1"/>
                <c:pt idx="0">
                  <c:v>4subgroups</c:v>
                </c:pt>
              </c:strCache>
            </c:strRef>
          </c:tx>
          <c:spPr>
            <a:solidFill>
              <a:schemeClr val="accent4"/>
            </a:solidFill>
            <a:ln>
              <a:noFill/>
            </a:ln>
            <a:effectLst/>
          </c:spPr>
          <c:invertIfNegative val="0"/>
          <c:dLbls>
            <c:delete val="1"/>
          </c:dLbls>
          <c:val>
            <c:numRef>
              <c:f>'[subgroup wake-up.xlsm]Sheet1'!$E$36:$F$36</c:f>
              <c:numCache>
                <c:formatCode>General</c:formatCode>
                <c:ptCount val="2"/>
                <c:pt idx="0">
                  <c:v>0.0124140434580696</c:v>
                </c:pt>
                <c:pt idx="1">
                  <c:v>0.000271397055678426</c:v>
                </c:pt>
              </c:numCache>
            </c:numRef>
          </c:val>
        </c:ser>
        <c:dLbls>
          <c:showLegendKey val="0"/>
          <c:showVal val="0"/>
          <c:showCatName val="0"/>
          <c:showSerName val="0"/>
          <c:showPercent val="0"/>
          <c:showBubbleSize val="0"/>
        </c:dLbls>
        <c:gapWidth val="219"/>
        <c:overlap val="-27"/>
        <c:axId val="595938510"/>
        <c:axId val="888106701"/>
      </c:barChart>
      <c:catAx>
        <c:axId val="59593851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88106701"/>
        <c:crosses val="autoZero"/>
        <c:auto val="1"/>
        <c:lblAlgn val="ctr"/>
        <c:lblOffset val="100"/>
        <c:noMultiLvlLbl val="0"/>
      </c:catAx>
      <c:valAx>
        <c:axId val="88810670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9593851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Pages>
  <Words>5346</Words>
  <Characters>30478</Characters>
  <Lines>253</Lines>
  <Paragraphs>71</Paragraphs>
  <TotalTime>11</TotalTime>
  <ScaleCrop>false</ScaleCrop>
  <LinksUpToDate>false</LinksUpToDate>
  <CharactersWithSpaces>35753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2023-08-02T11:40:00Z</dcterms:created>
  <dc:creator>ZTE</dc:creator>
  <cp:lastModifiedBy>ZTE-Youjun</cp:lastModifiedBy>
  <dcterms:modified xsi:type="dcterms:W3CDTF">2024-11-05T03:34:45Z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8C3E8F2136DE4A4E89D06EB56643AF63</vt:lpwstr>
  </property>
</Properties>
</file>