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BBBF1" w14:textId="0C3B65EA"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#11</w:t>
      </w:r>
      <w:r w:rsidR="00D76D3D">
        <w:rPr>
          <w:b/>
          <w:kern w:val="2"/>
          <w:lang w:val="en-GB"/>
        </w:rPr>
        <w:t>9</w:t>
      </w:r>
      <w:r w:rsidRPr="001132A2">
        <w:rPr>
          <w:b/>
          <w:kern w:val="2"/>
          <w:lang w:val="en-GB"/>
        </w:rPr>
        <w:tab/>
      </w:r>
      <w:r w:rsidR="005D0D81" w:rsidRPr="005D0D81">
        <w:rPr>
          <w:b/>
          <w:kern w:val="2"/>
          <w:lang w:val="en-GB"/>
        </w:rPr>
        <w:t>R1-2409430</w:t>
      </w:r>
    </w:p>
    <w:p w14:paraId="6255B503" w14:textId="24B0407C" w:rsidR="00EA22DF" w:rsidRPr="0067142E" w:rsidRDefault="00D76D3D" w:rsidP="00EA22DF">
      <w:pPr>
        <w:tabs>
          <w:tab w:val="right" w:pos="9216"/>
        </w:tabs>
        <w:spacing w:afterLines="50" w:after="156"/>
        <w:jc w:val="left"/>
        <w:rPr>
          <w:b/>
          <w:kern w:val="2"/>
          <w:lang w:val="en-GB"/>
        </w:rPr>
      </w:pPr>
      <w:r w:rsidRPr="00D76D3D">
        <w:rPr>
          <w:b/>
          <w:kern w:val="2"/>
        </w:rPr>
        <w:t>Orlando, US</w:t>
      </w:r>
      <w:r w:rsidR="00EA22DF">
        <w:rPr>
          <w:b/>
          <w:kern w:val="2"/>
        </w:rPr>
        <w:t xml:space="preserve">, </w:t>
      </w:r>
      <w:r w:rsidRPr="00D76D3D">
        <w:rPr>
          <w:b/>
          <w:kern w:val="2"/>
        </w:rPr>
        <w:t>November</w:t>
      </w:r>
      <w:r w:rsidR="00930615" w:rsidRPr="00930615">
        <w:rPr>
          <w:b/>
          <w:kern w:val="2"/>
        </w:rPr>
        <w:t xml:space="preserve"> 1</w:t>
      </w:r>
      <w:r>
        <w:rPr>
          <w:b/>
          <w:kern w:val="2"/>
        </w:rPr>
        <w:t>8</w:t>
      </w:r>
      <w:r w:rsidR="000E396C" w:rsidRPr="005200B5">
        <w:rPr>
          <w:b/>
          <w:kern w:val="2"/>
          <w:vertAlign w:val="superscript"/>
        </w:rPr>
        <w:t>th</w:t>
      </w:r>
      <w:r w:rsidR="00930615" w:rsidRPr="00930615">
        <w:rPr>
          <w:b/>
          <w:kern w:val="2"/>
        </w:rPr>
        <w:t>-</w:t>
      </w:r>
      <w:r>
        <w:rPr>
          <w:b/>
          <w:kern w:val="2"/>
        </w:rPr>
        <w:t>22</w:t>
      </w:r>
      <w:r w:rsidR="000E396C" w:rsidRPr="005200B5">
        <w:rPr>
          <w:b/>
          <w:kern w:val="2"/>
          <w:vertAlign w:val="superscript"/>
        </w:rPr>
        <w:t>nd</w:t>
      </w:r>
      <w:r w:rsidR="000E396C">
        <w:rPr>
          <w:b/>
          <w:kern w:val="2"/>
        </w:rPr>
        <w:t>,</w:t>
      </w:r>
      <w:r w:rsidR="00930615" w:rsidRPr="00930615">
        <w:rPr>
          <w:b/>
          <w:kern w:val="2"/>
        </w:rPr>
        <w:t xml:space="preserve"> 2024</w:t>
      </w:r>
      <w:r>
        <w:rPr>
          <w:b/>
          <w:kern w:val="2"/>
        </w:rPr>
        <w:t xml:space="preserve"> </w:t>
      </w:r>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p>
    <w:p w14:paraId="6FB7AF71" w14:textId="7C8CBD0A"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Pr>
          <w:b/>
          <w:kern w:val="2"/>
          <w:lang w:val="en-GB"/>
        </w:rPr>
        <w:t>9.2.4</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Huawei, HiSilicon</w:t>
      </w:r>
    </w:p>
    <w:p w14:paraId="469D3A3F" w14:textId="6DA59F22"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930615" w:rsidRPr="00930615">
        <w:rPr>
          <w:b/>
          <w:kern w:val="2"/>
          <w:lang w:val="en-GB"/>
        </w:rPr>
        <w:t>Enhancements for asymmetric DL sTRP/UL mTRP scenarios</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Pr="00903FED" w:rsidRDefault="00FE0325" w:rsidP="00FE0325">
      <w:pPr>
        <w:pStyle w:val="Heading1"/>
        <w:rPr>
          <w:szCs w:val="20"/>
          <w:lang w:eastAsia="zh-CN"/>
        </w:rPr>
      </w:pPr>
      <w:r w:rsidRPr="00903FED">
        <w:rPr>
          <w:szCs w:val="20"/>
          <w:lang w:eastAsia="zh-CN"/>
        </w:rPr>
        <w:t>Introduction</w:t>
      </w:r>
    </w:p>
    <w:p w14:paraId="24BF6411" w14:textId="696AA809" w:rsidR="001E01D6" w:rsidRPr="0037494E" w:rsidRDefault="00FF3C5F" w:rsidP="005200B5">
      <w:pPr>
        <w:rPr>
          <w:lang w:eastAsia="zh-CN"/>
        </w:rPr>
      </w:pPr>
      <w:r w:rsidRPr="00FF3C5F">
        <w:rPr>
          <w:lang w:val="en-GB"/>
        </w:rPr>
        <w:t xml:space="preserve">In this paper, </w:t>
      </w:r>
      <w:r w:rsidR="00C408BC">
        <w:rPr>
          <w:lang w:val="en-GB"/>
        </w:rPr>
        <w:t xml:space="preserve">we provide our views on the </w:t>
      </w:r>
      <w:r w:rsidR="004F6393">
        <w:rPr>
          <w:lang w:val="en-GB"/>
        </w:rPr>
        <w:t>remaining issues pertaining to the</w:t>
      </w:r>
      <w:r w:rsidR="00254F1F">
        <w:rPr>
          <w:lang w:val="en-GB"/>
        </w:rPr>
        <w:t xml:space="preserve"> </w:t>
      </w:r>
      <w:r w:rsidR="004F6393">
        <w:rPr>
          <w:lang w:val="en-GB"/>
        </w:rPr>
        <w:t>e</w:t>
      </w:r>
      <w:r w:rsidR="004F6393" w:rsidRPr="00930615">
        <w:rPr>
          <w:lang w:val="en-GB"/>
        </w:rPr>
        <w:t>nhancements for asymmetric DL sTRP/UL mTRP scenarios</w:t>
      </w:r>
      <w:r w:rsidR="004F6393">
        <w:rPr>
          <w:lang w:val="en-GB"/>
        </w:rPr>
        <w:t>.</w:t>
      </w:r>
    </w:p>
    <w:p w14:paraId="5D6EA3D6" w14:textId="1BB3A22C" w:rsidR="001E01D6" w:rsidRPr="00EB1CD2" w:rsidRDefault="001E01D6" w:rsidP="001E01D6">
      <w:pPr>
        <w:pStyle w:val="Heading1"/>
        <w:rPr>
          <w:lang w:eastAsia="zh-CN"/>
        </w:rPr>
      </w:pPr>
      <w:r>
        <w:rPr>
          <w:lang w:eastAsia="zh-CN"/>
        </w:rPr>
        <w:t xml:space="preserve">Number </w:t>
      </w:r>
      <w:bookmarkStart w:id="0" w:name="_Hlk181093688"/>
      <w:r>
        <w:rPr>
          <w:lang w:eastAsia="zh-CN"/>
        </w:rPr>
        <w:t xml:space="preserve">of </w:t>
      </w:r>
      <w:r w:rsidR="00E17C4B">
        <w:rPr>
          <w:lang w:eastAsia="zh-CN"/>
        </w:rPr>
        <w:t>indicated TCI states configured with PL offset</w:t>
      </w:r>
      <w:bookmarkEnd w:id="0"/>
    </w:p>
    <w:tbl>
      <w:tblPr>
        <w:tblStyle w:val="TableGrid"/>
        <w:tblW w:w="0" w:type="auto"/>
        <w:tblLook w:val="04A0" w:firstRow="1" w:lastRow="0" w:firstColumn="1" w:lastColumn="0" w:noHBand="0" w:noVBand="1"/>
      </w:tblPr>
      <w:tblGrid>
        <w:gridCol w:w="9016"/>
      </w:tblGrid>
      <w:tr w:rsidR="001E01D6" w:rsidRPr="008704E0" w14:paraId="50481994" w14:textId="77777777" w:rsidTr="000064E1">
        <w:tc>
          <w:tcPr>
            <w:tcW w:w="9016" w:type="dxa"/>
          </w:tcPr>
          <w:p w14:paraId="78902367" w14:textId="77777777" w:rsidR="001E01D6" w:rsidRPr="00BE28A6" w:rsidRDefault="001E01D6" w:rsidP="000064E1">
            <w:pPr>
              <w:contextualSpacing/>
              <w:rPr>
                <w:b/>
                <w:bCs/>
                <w:iCs/>
                <w:sz w:val="20"/>
                <w:highlight w:val="green"/>
                <w:lang w:eastAsia="zh-CN"/>
              </w:rPr>
            </w:pPr>
            <w:r w:rsidRPr="00BE28A6">
              <w:rPr>
                <w:b/>
                <w:bCs/>
                <w:iCs/>
                <w:sz w:val="20"/>
                <w:highlight w:val="green"/>
                <w:lang w:eastAsia="zh-CN"/>
              </w:rPr>
              <w:t>Agreement</w:t>
            </w:r>
          </w:p>
          <w:p w14:paraId="1B374B71" w14:textId="77777777" w:rsidR="00E17C4B" w:rsidRPr="00E17C4B" w:rsidRDefault="00E17C4B" w:rsidP="00E17C4B">
            <w:pPr>
              <w:rPr>
                <w:rFonts w:eastAsia="DengXian"/>
                <w:sz w:val="20"/>
              </w:rPr>
            </w:pPr>
            <w:r w:rsidRPr="00E17C4B">
              <w:rPr>
                <w:rFonts w:eastAsia="DengXian"/>
                <w:sz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3355E5A6" w14:textId="77777777" w:rsidR="00E17C4B" w:rsidRPr="00E17C4B" w:rsidRDefault="00E17C4B" w:rsidP="00E17C4B">
            <w:pPr>
              <w:numPr>
                <w:ilvl w:val="0"/>
                <w:numId w:val="33"/>
              </w:numPr>
              <w:autoSpaceDE/>
              <w:autoSpaceDN/>
              <w:adjustRightInd/>
              <w:snapToGrid/>
              <w:spacing w:after="0"/>
              <w:rPr>
                <w:rFonts w:eastAsia="DengXian"/>
                <w:sz w:val="20"/>
                <w:lang w:eastAsia="x-none"/>
              </w:rPr>
            </w:pPr>
            <w:r w:rsidRPr="00E17C4B">
              <w:rPr>
                <w:rFonts w:eastAsia="DengXian"/>
                <w:sz w:val="20"/>
                <w:lang w:eastAsia="x-none"/>
              </w:rPr>
              <w:t>Alt2:</w:t>
            </w:r>
          </w:p>
          <w:p w14:paraId="0157E29B" w14:textId="77777777" w:rsidR="00E17C4B" w:rsidRPr="00E17C4B" w:rsidRDefault="00E17C4B" w:rsidP="00E17C4B">
            <w:pPr>
              <w:numPr>
                <w:ilvl w:val="1"/>
                <w:numId w:val="33"/>
              </w:numPr>
              <w:autoSpaceDE/>
              <w:autoSpaceDN/>
              <w:adjustRightInd/>
              <w:snapToGrid/>
              <w:spacing w:after="0"/>
              <w:rPr>
                <w:rFonts w:eastAsia="DengXian"/>
                <w:sz w:val="20"/>
              </w:rPr>
            </w:pPr>
            <w:r w:rsidRPr="00E17C4B">
              <w:rPr>
                <w:rFonts w:eastAsia="DengXian"/>
                <w:sz w:val="20"/>
              </w:rPr>
              <w:t xml:space="preserve">the bit field index 0 of this field indicates that the PL offset associated in the first indicated joint/UL TCI state is included in the PRACH transmission power calculation </w:t>
            </w:r>
          </w:p>
          <w:p w14:paraId="239D0ADC" w14:textId="77777777" w:rsidR="00E17C4B" w:rsidRPr="00E17C4B" w:rsidRDefault="00E17C4B" w:rsidP="00E17C4B">
            <w:pPr>
              <w:numPr>
                <w:ilvl w:val="1"/>
                <w:numId w:val="33"/>
              </w:numPr>
              <w:autoSpaceDE/>
              <w:autoSpaceDN/>
              <w:adjustRightInd/>
              <w:snapToGrid/>
              <w:spacing w:after="0"/>
              <w:rPr>
                <w:rFonts w:eastAsia="DengXian"/>
                <w:sz w:val="20"/>
              </w:rPr>
            </w:pPr>
            <w:r w:rsidRPr="00E17C4B">
              <w:rPr>
                <w:rFonts w:eastAsia="DengXian"/>
                <w:sz w:val="20"/>
              </w:rPr>
              <w:t>the bit field index 1 of this field indicates that the PL offset associated in the second indicated joint/UL TCI state is included in the PRACH transmission power calculation.</w:t>
            </w:r>
          </w:p>
          <w:p w14:paraId="5AB65664" w14:textId="77777777" w:rsidR="00E17C4B" w:rsidRPr="00E17C4B" w:rsidRDefault="00E17C4B" w:rsidP="00E17C4B">
            <w:pPr>
              <w:numPr>
                <w:ilvl w:val="1"/>
                <w:numId w:val="33"/>
              </w:numPr>
              <w:autoSpaceDE/>
              <w:autoSpaceDN/>
              <w:adjustRightInd/>
              <w:snapToGrid/>
              <w:spacing w:after="0"/>
              <w:rPr>
                <w:rFonts w:eastAsia="DengXian"/>
                <w:sz w:val="20"/>
              </w:rPr>
            </w:pPr>
            <w:r w:rsidRPr="00E17C4B">
              <w:rPr>
                <w:rFonts w:eastAsia="DengXian"/>
                <w:sz w:val="20"/>
              </w:rPr>
              <w:t>FFS: Whether a restriction that only one of the indicated joint/UL TCI states can be configured with PL offset is needed.</w:t>
            </w:r>
          </w:p>
          <w:p w14:paraId="562C893F" w14:textId="3BBD58C8" w:rsidR="005677CC" w:rsidRPr="00E17C4B" w:rsidRDefault="00E17C4B" w:rsidP="00E17C4B">
            <w:pPr>
              <w:rPr>
                <w:rFonts w:eastAsia="DengXian"/>
                <w:sz w:val="20"/>
              </w:rPr>
            </w:pPr>
            <w:r w:rsidRPr="00E17C4B">
              <w:rPr>
                <w:rFonts w:eastAsia="DengXian"/>
                <w:sz w:val="20"/>
              </w:rPr>
              <w:t>FFS: If other information can be indicated by this same 1-bit DCI field for the PDCCH-order PRACH transmission</w:t>
            </w:r>
          </w:p>
          <w:p w14:paraId="11F071BD" w14:textId="77777777" w:rsidR="001E01D6" w:rsidRPr="002954EB" w:rsidRDefault="001E01D6" w:rsidP="005200B5">
            <w:pPr>
              <w:rPr>
                <w:rFonts w:eastAsia="DengXian"/>
                <w:lang w:val="en-CA"/>
              </w:rPr>
            </w:pPr>
          </w:p>
        </w:tc>
      </w:tr>
    </w:tbl>
    <w:p w14:paraId="790A2C43" w14:textId="77777777" w:rsidR="001E01D6" w:rsidRDefault="001E01D6" w:rsidP="001E01D6">
      <w:pPr>
        <w:rPr>
          <w:kern w:val="2"/>
          <w:lang w:val="en-GB" w:eastAsia="zh-CN"/>
        </w:rPr>
      </w:pPr>
    </w:p>
    <w:p w14:paraId="1650FCF4" w14:textId="4E71F4FB" w:rsidR="001E01D6" w:rsidRDefault="00E17C4B" w:rsidP="001E01D6">
      <w:pPr>
        <w:rPr>
          <w:lang w:eastAsia="zh-CN"/>
        </w:rPr>
      </w:pPr>
      <w:r w:rsidRPr="00E17C4B">
        <w:rPr>
          <w:lang w:eastAsia="zh-CN"/>
        </w:rPr>
        <w:t xml:space="preserve">To address the </w:t>
      </w:r>
      <w:r>
        <w:rPr>
          <w:lang w:eastAsia="zh-CN"/>
        </w:rPr>
        <w:t xml:space="preserve">first </w:t>
      </w:r>
      <w:r w:rsidRPr="00E17C4B">
        <w:rPr>
          <w:lang w:eastAsia="zh-CN"/>
        </w:rPr>
        <w:t>FFS of the above agreement, we note that the PL offset is configured in the joint or UL TCI state and, although there may be up to two indicated joint or two indicated UL TCI states in asymmetric UL/DL scenarios</w:t>
      </w:r>
      <w:r w:rsidR="004F6393">
        <w:rPr>
          <w:lang w:eastAsia="zh-CN"/>
        </w:rPr>
        <w:t>, it is required to configure PL offset only</w:t>
      </w:r>
      <w:r w:rsidRPr="00E17C4B">
        <w:rPr>
          <w:lang w:eastAsia="zh-CN"/>
        </w:rPr>
        <w:t xml:space="preserve"> in </w:t>
      </w:r>
      <w:r w:rsidR="004F6393">
        <w:rPr>
          <w:lang w:eastAsia="zh-CN"/>
        </w:rPr>
        <w:t>the</w:t>
      </w:r>
      <w:r w:rsidRPr="00E17C4B">
        <w:rPr>
          <w:lang w:eastAsia="zh-CN"/>
        </w:rPr>
        <w:t xml:space="preserve"> indicated joint/UL TCI state associated with the UL TRP.</w:t>
      </w:r>
      <w:r w:rsidR="0046586A">
        <w:rPr>
          <w:lang w:eastAsia="zh-CN"/>
        </w:rPr>
        <w:t xml:space="preserve"> </w:t>
      </w:r>
      <w:r w:rsidR="004F6393">
        <w:rPr>
          <w:lang w:eastAsia="zh-CN"/>
        </w:rPr>
        <w:t>Therefore</w:t>
      </w:r>
      <w:r w:rsidR="0046586A">
        <w:rPr>
          <w:lang w:eastAsia="zh-CN"/>
        </w:rPr>
        <w:t xml:space="preserve">, </w:t>
      </w:r>
      <w:r w:rsidR="004F6393">
        <w:rPr>
          <w:lang w:eastAsia="zh-CN"/>
        </w:rPr>
        <w:t>it is reasonable to restrict the</w:t>
      </w:r>
      <w:r w:rsidR="004341D9">
        <w:rPr>
          <w:lang w:eastAsia="zh-CN"/>
        </w:rPr>
        <w:t xml:space="preserve"> maximum number of</w:t>
      </w:r>
      <w:r w:rsidR="0046586A">
        <w:rPr>
          <w:lang w:eastAsia="zh-CN"/>
        </w:rPr>
        <w:t xml:space="preserve"> </w:t>
      </w:r>
      <w:r w:rsidR="004341D9" w:rsidRPr="004341D9">
        <w:rPr>
          <w:lang w:eastAsia="zh-CN"/>
        </w:rPr>
        <w:t xml:space="preserve">indicated TCI states configured with PL offset </w:t>
      </w:r>
      <w:r w:rsidR="004F6393">
        <w:rPr>
          <w:lang w:eastAsia="zh-CN"/>
        </w:rPr>
        <w:t xml:space="preserve">to </w:t>
      </w:r>
      <w:r w:rsidR="004341D9">
        <w:rPr>
          <w:lang w:eastAsia="zh-CN"/>
        </w:rPr>
        <w:t>one</w:t>
      </w:r>
      <w:r w:rsidR="00B92D3A">
        <w:rPr>
          <w:lang w:eastAsia="zh-CN"/>
        </w:rPr>
        <w:t xml:space="preserve"> in both Rel-17/Rel</w:t>
      </w:r>
      <w:r w:rsidR="002F1447">
        <w:rPr>
          <w:lang w:eastAsia="zh-CN"/>
        </w:rPr>
        <w:t>-</w:t>
      </w:r>
      <w:r w:rsidR="00B92D3A">
        <w:rPr>
          <w:lang w:eastAsia="zh-CN"/>
        </w:rPr>
        <w:t>18 unified TCI.</w:t>
      </w:r>
      <w:r w:rsidR="0046586A">
        <w:rPr>
          <w:lang w:eastAsia="zh-CN"/>
        </w:rPr>
        <w:t xml:space="preserve"> </w:t>
      </w:r>
    </w:p>
    <w:p w14:paraId="3C04E4CC" w14:textId="711CC142" w:rsidR="001E01D6" w:rsidRPr="005677CC" w:rsidRDefault="001E01D6" w:rsidP="001E01D6">
      <w:pPr>
        <w:rPr>
          <w:b/>
          <w:bCs/>
          <w:i/>
          <w:lang w:eastAsia="zh-CN"/>
        </w:rPr>
      </w:pPr>
      <w:r w:rsidRPr="005677CC">
        <w:rPr>
          <w:b/>
          <w:bCs/>
          <w:i/>
          <w:lang w:eastAsia="zh-CN"/>
        </w:rPr>
        <w:t xml:space="preserve">Proposal </w:t>
      </w:r>
      <w:r w:rsidR="004F58B6" w:rsidRPr="005677CC">
        <w:rPr>
          <w:b/>
          <w:bCs/>
          <w:i/>
          <w:lang w:eastAsia="zh-CN"/>
        </w:rPr>
        <w:t>1</w:t>
      </w:r>
      <w:r w:rsidRPr="005677CC">
        <w:rPr>
          <w:b/>
          <w:bCs/>
          <w:i/>
          <w:lang w:eastAsia="zh-CN"/>
        </w:rPr>
        <w:t xml:space="preserve">: </w:t>
      </w:r>
      <w:r w:rsidR="002F1447" w:rsidRPr="005200B5">
        <w:rPr>
          <w:b/>
          <w:i/>
          <w:lang w:val="en-GB"/>
        </w:rPr>
        <w:t>For asymmetric DL sTRP/UL mTRP scenarios</w:t>
      </w:r>
      <w:r w:rsidR="002F1447" w:rsidRPr="005677CC">
        <w:rPr>
          <w:b/>
          <w:bCs/>
          <w:i/>
          <w:lang w:eastAsia="zh-CN"/>
        </w:rPr>
        <w:t xml:space="preserve">, </w:t>
      </w:r>
      <w:r w:rsidR="0037494E" w:rsidRPr="005677CC">
        <w:rPr>
          <w:b/>
          <w:bCs/>
          <w:i/>
          <w:lang w:eastAsia="zh-CN"/>
        </w:rPr>
        <w:t>only one of the indicated joint/UL TCI states can be configured with PL offset</w:t>
      </w:r>
      <w:r w:rsidRPr="005677CC">
        <w:rPr>
          <w:b/>
          <w:bCs/>
          <w:i/>
          <w:lang w:eastAsia="zh-CN"/>
        </w:rPr>
        <w:t>.</w:t>
      </w:r>
    </w:p>
    <w:p w14:paraId="72051328" w14:textId="027B173B" w:rsidR="003A1328" w:rsidRDefault="003A1328" w:rsidP="003A1328">
      <w:pPr>
        <w:pStyle w:val="Heading1"/>
        <w:rPr>
          <w:lang w:eastAsia="zh-CN"/>
        </w:rPr>
      </w:pPr>
      <w:r>
        <w:rPr>
          <w:lang w:eastAsia="zh-CN"/>
        </w:rPr>
        <w:t>Type 3 PHR</w:t>
      </w:r>
    </w:p>
    <w:tbl>
      <w:tblPr>
        <w:tblStyle w:val="TableGrid"/>
        <w:tblW w:w="0" w:type="auto"/>
        <w:tblLook w:val="04A0" w:firstRow="1" w:lastRow="0" w:firstColumn="1" w:lastColumn="0" w:noHBand="0" w:noVBand="1"/>
      </w:tblPr>
      <w:tblGrid>
        <w:gridCol w:w="9016"/>
      </w:tblGrid>
      <w:tr w:rsidR="003A1328" w14:paraId="2F6C1573" w14:textId="77777777" w:rsidTr="002C3551">
        <w:tc>
          <w:tcPr>
            <w:tcW w:w="9016" w:type="dxa"/>
          </w:tcPr>
          <w:p w14:paraId="31DAD0AB" w14:textId="77777777" w:rsidR="003A1328" w:rsidRPr="00FB4E6D" w:rsidRDefault="003A1328" w:rsidP="002C3551">
            <w:pPr>
              <w:contextualSpacing/>
              <w:rPr>
                <w:b/>
                <w:bCs/>
                <w:iCs/>
                <w:sz w:val="20"/>
                <w:highlight w:val="green"/>
                <w:lang w:eastAsia="zh-CN"/>
              </w:rPr>
            </w:pPr>
            <w:r w:rsidRPr="00FB4E6D">
              <w:rPr>
                <w:b/>
                <w:bCs/>
                <w:iCs/>
                <w:sz w:val="20"/>
                <w:highlight w:val="green"/>
                <w:lang w:eastAsia="zh-CN"/>
              </w:rPr>
              <w:t>Agreement</w:t>
            </w:r>
          </w:p>
          <w:p w14:paraId="32840DC8" w14:textId="77777777" w:rsidR="003A1328" w:rsidRPr="00FB4E6D" w:rsidRDefault="003A1328" w:rsidP="002C3551">
            <w:pPr>
              <w:rPr>
                <w:rFonts w:eastAsia="DengXian" w:cs="Batang"/>
                <w:sz w:val="20"/>
              </w:rPr>
            </w:pPr>
            <w:r w:rsidRPr="00FB4E6D">
              <w:rPr>
                <w:rFonts w:eastAsia="DengXian" w:cs="Batang"/>
                <w:sz w:val="20"/>
              </w:rPr>
              <w:t xml:space="preserve">Study whether to support </w:t>
            </w:r>
            <w:bookmarkStart w:id="1" w:name="_Hlk177050882"/>
            <w:r w:rsidRPr="00FB4E6D">
              <w:rPr>
                <w:rFonts w:eastAsia="DengXian" w:cs="Batang"/>
                <w:sz w:val="20"/>
              </w:rPr>
              <w:t>Type 3 PHR reporting</w:t>
            </w:r>
            <w:bookmarkEnd w:id="1"/>
            <w:r w:rsidRPr="00FB4E6D">
              <w:rPr>
                <w:rFonts w:eastAsia="DengXian" w:cs="Batang"/>
                <w:sz w:val="20"/>
              </w:rPr>
              <w:t xml:space="preserve"> in a serving cell/BWP where the UE is configured with two separate SRS CLPC adjustment states.</w:t>
            </w:r>
          </w:p>
          <w:p w14:paraId="0636F7C2" w14:textId="77777777" w:rsidR="003A1328" w:rsidRPr="005200B5" w:rsidRDefault="003A1328" w:rsidP="003A1328">
            <w:pPr>
              <w:numPr>
                <w:ilvl w:val="0"/>
                <w:numId w:val="35"/>
              </w:numPr>
              <w:autoSpaceDE/>
              <w:autoSpaceDN/>
              <w:adjustRightInd/>
              <w:snapToGrid/>
              <w:spacing w:after="160" w:line="259" w:lineRule="auto"/>
              <w:contextualSpacing/>
              <w:jc w:val="left"/>
              <w:rPr>
                <w:rFonts w:eastAsia="DengXian"/>
                <w:lang w:eastAsia="x-none"/>
              </w:rPr>
            </w:pPr>
            <w:r w:rsidRPr="00FB4E6D">
              <w:rPr>
                <w:rFonts w:eastAsia="DengXian" w:cs="Arial"/>
                <w:sz w:val="20"/>
                <w:lang w:eastAsia="x-none"/>
              </w:rPr>
              <w:t>Continue to study whether to support including PL offset in the calculation of Type 3 PHR.</w:t>
            </w:r>
          </w:p>
          <w:p w14:paraId="0F118D72" w14:textId="059A2981" w:rsidR="005677CC" w:rsidRPr="009B0CCE" w:rsidRDefault="005677CC" w:rsidP="005200B5">
            <w:pPr>
              <w:autoSpaceDE/>
              <w:autoSpaceDN/>
              <w:adjustRightInd/>
              <w:snapToGrid/>
              <w:spacing w:after="160" w:line="259" w:lineRule="auto"/>
              <w:ind w:left="720"/>
              <w:contextualSpacing/>
              <w:jc w:val="left"/>
              <w:rPr>
                <w:rFonts w:eastAsia="DengXian"/>
                <w:lang w:eastAsia="x-none"/>
              </w:rPr>
            </w:pPr>
          </w:p>
        </w:tc>
      </w:tr>
    </w:tbl>
    <w:p w14:paraId="607F97BF" w14:textId="77777777" w:rsidR="003A1328" w:rsidRDefault="003A1328" w:rsidP="003A1328">
      <w:pPr>
        <w:rPr>
          <w:lang w:eastAsia="zh-CN"/>
        </w:rPr>
      </w:pPr>
    </w:p>
    <w:p w14:paraId="19ED525B" w14:textId="77777777" w:rsidR="003A1328" w:rsidRPr="00FF6327" w:rsidRDefault="003A1328" w:rsidP="003A1328">
      <w:pPr>
        <w:rPr>
          <w:lang w:eastAsia="zh-CN"/>
        </w:rPr>
      </w:pPr>
      <w:r>
        <w:rPr>
          <w:lang w:eastAsia="zh-CN"/>
        </w:rPr>
        <w:t>Based on</w:t>
      </w:r>
      <w:r w:rsidRPr="00FF6327">
        <w:rPr>
          <w:lang w:eastAsia="zh-CN"/>
        </w:rPr>
        <w:t xml:space="preserve"> the following excerpt from 38.213, Type 3 PH report is supported only for a serving cell on which PUSCH transmission is not configured: </w:t>
      </w:r>
    </w:p>
    <w:tbl>
      <w:tblPr>
        <w:tblStyle w:val="TableGrid"/>
        <w:tblW w:w="0" w:type="auto"/>
        <w:tblLook w:val="04A0" w:firstRow="1" w:lastRow="0" w:firstColumn="1" w:lastColumn="0" w:noHBand="0" w:noVBand="1"/>
      </w:tblPr>
      <w:tblGrid>
        <w:gridCol w:w="9016"/>
      </w:tblGrid>
      <w:tr w:rsidR="003A1328" w14:paraId="49DE1916" w14:textId="77777777" w:rsidTr="002C3551">
        <w:tc>
          <w:tcPr>
            <w:tcW w:w="9016" w:type="dxa"/>
          </w:tcPr>
          <w:p w14:paraId="407D29FA" w14:textId="77777777" w:rsidR="003A1328" w:rsidRPr="00FB4E6D" w:rsidRDefault="003A1328" w:rsidP="002C3551">
            <w:pPr>
              <w:pStyle w:val="0Maintext"/>
              <w:rPr>
                <w:rFonts w:eastAsia="DengXian"/>
                <w:b/>
                <w:bCs/>
                <w:sz w:val="20"/>
                <w:lang w:val="en-US"/>
              </w:rPr>
            </w:pPr>
            <w:bookmarkStart w:id="2" w:name="_Hlk177050089"/>
            <w:r w:rsidRPr="00FB4E6D">
              <w:rPr>
                <w:rFonts w:eastAsia="DengXian"/>
                <w:b/>
                <w:bCs/>
                <w:sz w:val="20"/>
                <w:lang w:val="en-US"/>
              </w:rPr>
              <w:t xml:space="preserve">Excerpt from TS 38.213 </w:t>
            </w:r>
          </w:p>
          <w:p w14:paraId="1CC02926" w14:textId="77777777" w:rsidR="003A1328" w:rsidRPr="00FB4E6D" w:rsidRDefault="003A1328" w:rsidP="002C3551">
            <w:pPr>
              <w:pStyle w:val="0Maintext"/>
              <w:rPr>
                <w:rFonts w:eastAsia="DengXian"/>
                <w:b/>
                <w:bCs/>
                <w:sz w:val="20"/>
                <w:lang w:val="en-US"/>
              </w:rPr>
            </w:pPr>
            <w:r w:rsidRPr="00FB4E6D">
              <w:rPr>
                <w:rFonts w:eastAsia="DengXian"/>
                <w:b/>
                <w:bCs/>
                <w:sz w:val="20"/>
                <w:lang w:val="en-US"/>
              </w:rPr>
              <w:lastRenderedPageBreak/>
              <w:t>7.7.3 Type 3 PH report</w:t>
            </w:r>
          </w:p>
          <w:p w14:paraId="12F75BAB" w14:textId="77777777" w:rsidR="003A1328" w:rsidRPr="00FB4E6D" w:rsidRDefault="003A1328" w:rsidP="002C3551">
            <w:pPr>
              <w:rPr>
                <w:sz w:val="20"/>
              </w:rPr>
            </w:pPr>
            <w:r w:rsidRPr="00FB4E6D">
              <w:rPr>
                <w:sz w:val="20"/>
              </w:rPr>
              <w:t xml:space="preserve">If a UE determines that a Type 3 power headroom report for an activated serving cell is based on an actual SRS transmission then, for SRS transmission occasion </w:t>
            </w:r>
            <m:oMath>
              <m:r>
                <w:rPr>
                  <w:rFonts w:ascii="Cambria Math" w:hAnsi="Cambria Math"/>
                  <w:sz w:val="20"/>
                </w:rPr>
                <m:t>i</m:t>
              </m:r>
            </m:oMath>
            <w:r w:rsidRPr="00FB4E6D">
              <w:rPr>
                <w:sz w:val="20"/>
              </w:rPr>
              <w:t xml:space="preserve"> on active UL BWP </w:t>
            </w:r>
            <m:oMath>
              <m:r>
                <w:rPr>
                  <w:rFonts w:ascii="Cambria Math" w:hAnsi="Cambria Math"/>
                  <w:sz w:val="20"/>
                </w:rPr>
                <m:t>b</m:t>
              </m:r>
            </m:oMath>
            <w:r w:rsidRPr="00FB4E6D">
              <w:rPr>
                <w:sz w:val="20"/>
              </w:rPr>
              <w:t xml:space="preserve"> of carrier </w:t>
            </w:r>
            <m:oMath>
              <m:r>
                <w:rPr>
                  <w:rFonts w:ascii="Cambria Math" w:hAnsi="Cambria Math"/>
                  <w:sz w:val="20"/>
                </w:rPr>
                <m:t>f</m:t>
              </m:r>
            </m:oMath>
            <w:r w:rsidRPr="00FB4E6D">
              <w:rPr>
                <w:rFonts w:hint="eastAsia"/>
                <w:sz w:val="20"/>
                <w:lang w:eastAsia="zh-CN"/>
              </w:rPr>
              <w:t xml:space="preserve"> </w:t>
            </w:r>
            <w:r w:rsidRPr="00FB4E6D">
              <w:rPr>
                <w:sz w:val="20"/>
              </w:rPr>
              <w:t xml:space="preserve">of serving cell </w:t>
            </w:r>
            <m:oMath>
              <m:r>
                <w:rPr>
                  <w:rFonts w:ascii="Cambria Math" w:hAnsi="Cambria Math"/>
                  <w:sz w:val="20"/>
                </w:rPr>
                <m:t>c</m:t>
              </m:r>
            </m:oMath>
            <w:r w:rsidRPr="00FB4E6D">
              <w:rPr>
                <w:sz w:val="20"/>
              </w:rPr>
              <w:t xml:space="preserve"> </w:t>
            </w:r>
            <w:r w:rsidRPr="00FB4E6D">
              <w:rPr>
                <w:sz w:val="20"/>
                <w:highlight w:val="yellow"/>
              </w:rPr>
              <w:t xml:space="preserve">and if the UE is not configured for PUSCH transmissions on carrier </w:t>
            </w:r>
            <m:oMath>
              <m:r>
                <w:rPr>
                  <w:rFonts w:ascii="Cambria Math" w:hAnsi="Cambria Math"/>
                  <w:sz w:val="20"/>
                  <w:highlight w:val="yellow"/>
                </w:rPr>
                <m:t>f</m:t>
              </m:r>
            </m:oMath>
            <w:r w:rsidRPr="00FB4E6D">
              <w:rPr>
                <w:sz w:val="20"/>
                <w:highlight w:val="yellow"/>
              </w:rPr>
              <w:t xml:space="preserve"> of serving cell </w:t>
            </w:r>
            <m:oMath>
              <m:r>
                <w:rPr>
                  <w:rFonts w:ascii="Cambria Math" w:hAnsi="Cambria Math"/>
                  <w:sz w:val="20"/>
                  <w:highlight w:val="yellow"/>
                </w:rPr>
                <m:t>c</m:t>
              </m:r>
            </m:oMath>
            <w:r w:rsidRPr="00FB4E6D">
              <w:rPr>
                <w:sz w:val="20"/>
              </w:rPr>
              <w:t xml:space="preserve"> and the resource for the SRS transmission is provided by SRS-Resource, the UE computes a Type 3 power headroom report as </w:t>
            </w:r>
          </w:p>
          <w:p w14:paraId="36845FD3" w14:textId="77777777" w:rsidR="003A1328" w:rsidRPr="00FB4E6D" w:rsidRDefault="003A1328" w:rsidP="002C3551">
            <w:pPr>
              <w:rPr>
                <w:sz w:val="20"/>
              </w:rPr>
            </w:pPr>
            <w:r w:rsidRPr="00FB4E6D">
              <w:rPr>
                <w:sz w:val="20"/>
              </w:rPr>
              <w:t>[…]</w:t>
            </w:r>
          </w:p>
          <w:p w14:paraId="0F5CFE0B" w14:textId="77777777" w:rsidR="003A1328" w:rsidRPr="00FB4E6D" w:rsidRDefault="003A1328" w:rsidP="002C3551">
            <w:pPr>
              <w:rPr>
                <w:sz w:val="20"/>
              </w:rPr>
            </w:pPr>
            <w:r w:rsidRPr="00FB4E6D">
              <w:rPr>
                <w:sz w:val="20"/>
              </w:rPr>
              <w:t xml:space="preserve">If the UE determines that a Type 3 power headroom report for an activated serving cell is based on a reference SRS transmission then, for SRS transmission occasion </w:t>
            </w:r>
            <m:oMath>
              <m:r>
                <w:rPr>
                  <w:rFonts w:ascii="Cambria Math" w:hAnsi="Cambria Math"/>
                  <w:sz w:val="20"/>
                </w:rPr>
                <m:t>i</m:t>
              </m:r>
            </m:oMath>
            <w:r w:rsidRPr="00FB4E6D">
              <w:rPr>
                <w:sz w:val="20"/>
              </w:rPr>
              <w:t xml:space="preserve"> on UL BWP </w:t>
            </w:r>
            <m:oMath>
              <m:r>
                <w:rPr>
                  <w:rFonts w:ascii="Cambria Math" w:hAnsi="Cambria Math"/>
                  <w:sz w:val="20"/>
                </w:rPr>
                <m:t>b</m:t>
              </m:r>
            </m:oMath>
            <w:r w:rsidRPr="00FB4E6D">
              <w:rPr>
                <w:sz w:val="20"/>
              </w:rPr>
              <w:t xml:space="preserve"> of carrier </w:t>
            </w:r>
            <m:oMath>
              <m:r>
                <w:rPr>
                  <w:rFonts w:ascii="Cambria Math" w:hAnsi="Cambria Math"/>
                  <w:sz w:val="20"/>
                </w:rPr>
                <m:t>f</m:t>
              </m:r>
              <m:r>
                <m:rPr>
                  <m:sty m:val="p"/>
                </m:rPr>
                <w:rPr>
                  <w:rFonts w:ascii="Cambria Math" w:hAnsi="Cambria Math"/>
                  <w:sz w:val="20"/>
                </w:rPr>
                <m:t xml:space="preserve"> </m:t>
              </m:r>
            </m:oMath>
            <w:r w:rsidRPr="00FB4E6D">
              <w:rPr>
                <w:sz w:val="20"/>
              </w:rPr>
              <w:t xml:space="preserve">of serving cell </w:t>
            </w:r>
            <m:oMath>
              <m:r>
                <w:rPr>
                  <w:rFonts w:ascii="Cambria Math" w:hAnsi="Cambria Math"/>
                  <w:sz w:val="20"/>
                </w:rPr>
                <m:t>c</m:t>
              </m:r>
            </m:oMath>
            <w:r w:rsidRPr="00FB4E6D">
              <w:rPr>
                <w:sz w:val="20"/>
              </w:rPr>
              <w:t xml:space="preserve">, </w:t>
            </w:r>
            <w:r w:rsidRPr="00FB4E6D">
              <w:rPr>
                <w:sz w:val="20"/>
                <w:highlight w:val="yellow"/>
              </w:rPr>
              <w:t xml:space="preserve">and if </w:t>
            </w:r>
            <w:bookmarkStart w:id="3" w:name="_Hlk177060399"/>
            <w:r w:rsidRPr="00FB4E6D">
              <w:rPr>
                <w:sz w:val="20"/>
                <w:highlight w:val="yellow"/>
              </w:rPr>
              <w:t xml:space="preserve">the UE is not configured for PUSCH transmissions on UL BWP </w:t>
            </w:r>
            <m:oMath>
              <m:r>
                <w:rPr>
                  <w:rFonts w:ascii="Cambria Math" w:hAnsi="Cambria Math"/>
                  <w:sz w:val="20"/>
                  <w:highlight w:val="yellow"/>
                </w:rPr>
                <m:t>b</m:t>
              </m:r>
            </m:oMath>
            <w:r w:rsidRPr="00FB4E6D">
              <w:rPr>
                <w:sz w:val="20"/>
                <w:highlight w:val="yellow"/>
              </w:rPr>
              <w:t xml:space="preserve"> of carrier </w:t>
            </w:r>
            <m:oMath>
              <m:r>
                <w:rPr>
                  <w:rFonts w:ascii="Cambria Math" w:hAnsi="Cambria Math"/>
                  <w:sz w:val="20"/>
                  <w:highlight w:val="yellow"/>
                </w:rPr>
                <m:t>f</m:t>
              </m:r>
            </m:oMath>
            <w:r w:rsidRPr="00FB4E6D">
              <w:rPr>
                <w:sz w:val="20"/>
                <w:highlight w:val="yellow"/>
              </w:rPr>
              <w:t xml:space="preserve"> of serving cell </w:t>
            </w:r>
            <m:oMath>
              <m:r>
                <w:rPr>
                  <w:rFonts w:ascii="Cambria Math" w:hAnsi="Cambria Math"/>
                  <w:sz w:val="20"/>
                  <w:highlight w:val="yellow"/>
                </w:rPr>
                <m:t>c</m:t>
              </m:r>
            </m:oMath>
            <w:bookmarkEnd w:id="3"/>
            <w:r w:rsidRPr="00FB4E6D">
              <w:rPr>
                <w:sz w:val="20"/>
              </w:rPr>
              <w:t xml:space="preserve"> and a resource for the reference SRS transmission is provided by SRS-Resource, the UE computes a Type 3 power headroom report as </w:t>
            </w:r>
          </w:p>
          <w:p w14:paraId="7D8A9E0B" w14:textId="77777777" w:rsidR="003A1328" w:rsidRDefault="003A1328" w:rsidP="002C3551">
            <w:r w:rsidRPr="00FB4E6D">
              <w:rPr>
                <w:sz w:val="20"/>
              </w:rPr>
              <w:t>[…]</w:t>
            </w:r>
          </w:p>
        </w:tc>
      </w:tr>
      <w:bookmarkEnd w:id="2"/>
    </w:tbl>
    <w:p w14:paraId="68753C07" w14:textId="77777777" w:rsidR="003A1328" w:rsidRDefault="003A1328" w:rsidP="003A1328">
      <w:pPr>
        <w:rPr>
          <w:lang w:eastAsia="zh-CN"/>
        </w:rPr>
      </w:pPr>
    </w:p>
    <w:p w14:paraId="748CCCFB" w14:textId="77777777" w:rsidR="003A1328" w:rsidRDefault="003A1328" w:rsidP="003A1328">
      <w:pPr>
        <w:rPr>
          <w:lang w:eastAsia="zh-CN"/>
        </w:rPr>
      </w:pPr>
      <w:r>
        <w:rPr>
          <w:lang w:eastAsia="zh-CN"/>
        </w:rPr>
        <w:t>However, WID is clear that both DL TRP and UL TRP belong to the same cell and “UL-only cell” should not be introduced:</w:t>
      </w:r>
    </w:p>
    <w:tbl>
      <w:tblPr>
        <w:tblStyle w:val="TableGrid"/>
        <w:tblW w:w="0" w:type="auto"/>
        <w:tblLook w:val="04A0" w:firstRow="1" w:lastRow="0" w:firstColumn="1" w:lastColumn="0" w:noHBand="0" w:noVBand="1"/>
      </w:tblPr>
      <w:tblGrid>
        <w:gridCol w:w="9016"/>
      </w:tblGrid>
      <w:tr w:rsidR="003A1328" w14:paraId="39E55F5E" w14:textId="77777777" w:rsidTr="002C3551">
        <w:tc>
          <w:tcPr>
            <w:tcW w:w="9016" w:type="dxa"/>
          </w:tcPr>
          <w:p w14:paraId="58A09D5D" w14:textId="77777777" w:rsidR="003A1328" w:rsidRPr="00FB4E6D" w:rsidRDefault="003A1328" w:rsidP="002C3551">
            <w:pPr>
              <w:pStyle w:val="0Maintext"/>
              <w:rPr>
                <w:rFonts w:eastAsia="DengXian"/>
                <w:b/>
                <w:bCs/>
                <w:sz w:val="20"/>
                <w:lang w:val="en-US"/>
              </w:rPr>
            </w:pPr>
            <w:r w:rsidRPr="00FB4E6D">
              <w:rPr>
                <w:rFonts w:eastAsia="DengXian"/>
                <w:b/>
                <w:bCs/>
                <w:sz w:val="20"/>
                <w:lang w:val="en-US"/>
              </w:rPr>
              <w:t>Excerpt from RP-242394 Rev WID – Rel-19 MIMO</w:t>
            </w:r>
          </w:p>
          <w:p w14:paraId="24C1CD15" w14:textId="77777777" w:rsidR="003A1328" w:rsidRPr="004B0D27" w:rsidRDefault="003A1328" w:rsidP="002C3551">
            <w:pPr>
              <w:rPr>
                <w:rFonts w:eastAsiaTheme="minorEastAsia"/>
                <w:sz w:val="20"/>
                <w:lang w:eastAsia="zh-CN"/>
              </w:rPr>
            </w:pPr>
            <w:r w:rsidRPr="00FB4E6D">
              <w:rPr>
                <w:rFonts w:eastAsia="Times New Roman"/>
                <w:sz w:val="20"/>
              </w:rPr>
              <w:t xml:space="preserve">Specify enhancement for asymmetric DL sTRP/UL mTRP deployment scenarios, assuming intra-band intra-DU non-co-locate mTRP scenarios, </w:t>
            </w:r>
            <w:r w:rsidRPr="00FB4E6D">
              <w:rPr>
                <w:rFonts w:eastAsia="Times New Roman"/>
                <w:sz w:val="20"/>
                <w:highlight w:val="yellow"/>
              </w:rPr>
              <w:t>without changing existing cell definition or defining a new cell (e.g. UL-only cell)</w:t>
            </w:r>
          </w:p>
        </w:tc>
      </w:tr>
    </w:tbl>
    <w:p w14:paraId="2F887097" w14:textId="77777777" w:rsidR="003A1328" w:rsidRDefault="003A1328" w:rsidP="003A1328">
      <w:pPr>
        <w:rPr>
          <w:lang w:eastAsia="zh-CN"/>
        </w:rPr>
      </w:pPr>
    </w:p>
    <w:p w14:paraId="205429B9" w14:textId="77777777" w:rsidR="003A1328" w:rsidRPr="005677CC" w:rsidRDefault="003A1328" w:rsidP="003A1328">
      <w:pPr>
        <w:rPr>
          <w:rFonts w:eastAsia="DengXian"/>
          <w:lang w:eastAsia="zh-CN"/>
        </w:rPr>
      </w:pPr>
      <w:r w:rsidRPr="005677CC">
        <w:rPr>
          <w:lang w:eastAsia="zh-CN"/>
        </w:rPr>
        <w:t xml:space="preserve">Therefore, aligned with the current specifications, Type3 PHR should not be supported for asymmetric </w:t>
      </w:r>
      <w:r w:rsidRPr="005677CC">
        <w:rPr>
          <w:rFonts w:eastAsia="DengXian"/>
          <w:lang w:eastAsia="zh-CN"/>
        </w:rPr>
        <w:t xml:space="preserve">DL sTRP/UL mTRP scenarios including the case that </w:t>
      </w:r>
      <w:r w:rsidRPr="005200B5">
        <w:rPr>
          <w:rFonts w:eastAsia="DengXian" w:cs="Batang"/>
        </w:rPr>
        <w:t>the UE is configured with two separate SRS CLPC adjustment states</w:t>
      </w:r>
      <w:r w:rsidRPr="005677CC">
        <w:rPr>
          <w:rFonts w:eastAsia="DengXian"/>
          <w:lang w:eastAsia="zh-CN"/>
        </w:rPr>
        <w:t xml:space="preserve">. </w:t>
      </w:r>
    </w:p>
    <w:p w14:paraId="726F910A" w14:textId="27C528DD" w:rsidR="003A1328" w:rsidRPr="005677CC" w:rsidRDefault="003A1328">
      <w:pPr>
        <w:rPr>
          <w:b/>
          <w:bCs/>
          <w:i/>
          <w:lang w:eastAsia="zh-CN"/>
        </w:rPr>
      </w:pPr>
      <w:r w:rsidRPr="005677CC">
        <w:rPr>
          <w:b/>
          <w:bCs/>
          <w:i/>
          <w:lang w:eastAsia="zh-CN"/>
        </w:rPr>
        <w:t xml:space="preserve">Proposal 2: Do not </w:t>
      </w:r>
      <w:r w:rsidRPr="005200B5">
        <w:rPr>
          <w:rFonts w:eastAsia="DengXian" w:cs="Batang"/>
          <w:b/>
          <w:i/>
        </w:rPr>
        <w:t>support Type 3 PHR in a serving cell/BWP where the UE is configured with two separate SRS CLPC adjustment states</w:t>
      </w:r>
      <w:r w:rsidRPr="005677CC">
        <w:rPr>
          <w:rFonts w:ascii="Calibri" w:hAnsi="Calibri" w:cs="Calibri"/>
          <w:b/>
          <w:bCs/>
          <w:i/>
          <w:lang w:eastAsia="zh-CN"/>
        </w:rPr>
        <w:t>.</w:t>
      </w:r>
      <w:r w:rsidRPr="005677CC" w:rsidDel="008C2C20">
        <w:rPr>
          <w:b/>
          <w:bCs/>
          <w:i/>
        </w:rPr>
        <w:t xml:space="preserve"> </w:t>
      </w:r>
    </w:p>
    <w:p w14:paraId="7A3C1EBA" w14:textId="77777777" w:rsidR="003A1328" w:rsidRPr="00EB1CD2" w:rsidRDefault="003A1328" w:rsidP="003A1328">
      <w:pPr>
        <w:pStyle w:val="Heading1"/>
        <w:rPr>
          <w:lang w:eastAsia="zh-CN"/>
        </w:rPr>
      </w:pPr>
      <w:r w:rsidRPr="00EB1CD2">
        <w:rPr>
          <w:lang w:eastAsia="zh-CN"/>
        </w:rPr>
        <w:t>SRS power control</w:t>
      </w:r>
    </w:p>
    <w:tbl>
      <w:tblPr>
        <w:tblStyle w:val="TableGrid"/>
        <w:tblW w:w="0" w:type="auto"/>
        <w:tblLook w:val="04A0" w:firstRow="1" w:lastRow="0" w:firstColumn="1" w:lastColumn="0" w:noHBand="0" w:noVBand="1"/>
      </w:tblPr>
      <w:tblGrid>
        <w:gridCol w:w="9016"/>
      </w:tblGrid>
      <w:tr w:rsidR="003A1328" w:rsidRPr="008704E0" w14:paraId="1D0B99BF" w14:textId="77777777" w:rsidTr="002C3551">
        <w:tc>
          <w:tcPr>
            <w:tcW w:w="9016" w:type="dxa"/>
          </w:tcPr>
          <w:p w14:paraId="6F73CEFC" w14:textId="77777777" w:rsidR="003A1328" w:rsidRPr="00FB4E6D" w:rsidRDefault="003A1328" w:rsidP="002C3551">
            <w:pPr>
              <w:contextualSpacing/>
              <w:rPr>
                <w:b/>
                <w:bCs/>
                <w:iCs/>
                <w:sz w:val="20"/>
                <w:highlight w:val="green"/>
                <w:lang w:eastAsia="zh-CN"/>
              </w:rPr>
            </w:pPr>
            <w:r w:rsidRPr="00FB4E6D">
              <w:rPr>
                <w:b/>
                <w:bCs/>
                <w:iCs/>
                <w:sz w:val="20"/>
                <w:highlight w:val="green"/>
                <w:lang w:eastAsia="zh-CN"/>
              </w:rPr>
              <w:t>Agreement</w:t>
            </w:r>
          </w:p>
          <w:p w14:paraId="48D89ED8" w14:textId="77777777" w:rsidR="003A1328" w:rsidRPr="00FB4E6D" w:rsidRDefault="003A1328" w:rsidP="003A1328">
            <w:pPr>
              <w:numPr>
                <w:ilvl w:val="0"/>
                <w:numId w:val="32"/>
              </w:numPr>
              <w:autoSpaceDE/>
              <w:autoSpaceDN/>
              <w:adjustRightInd/>
              <w:snapToGrid/>
              <w:spacing w:after="0"/>
              <w:rPr>
                <w:rFonts w:eastAsia="DengXian"/>
                <w:sz w:val="20"/>
                <w:lang w:eastAsia="zh-CN"/>
              </w:rPr>
            </w:pPr>
            <w:r w:rsidRPr="00FB4E6D">
              <w:rPr>
                <w:rFonts w:eastAsia="DengXian"/>
                <w:sz w:val="20"/>
                <w:lang w:eastAsia="zh-CN"/>
              </w:rPr>
              <w:t>Study whether/how to apply PL offset for SRS resource set when the SRS resource set is not configured with TCI state.</w:t>
            </w:r>
          </w:p>
          <w:p w14:paraId="3952A3B4" w14:textId="77777777" w:rsidR="003A1328" w:rsidRPr="00FB4E6D" w:rsidRDefault="003A1328" w:rsidP="003A1328">
            <w:pPr>
              <w:numPr>
                <w:ilvl w:val="0"/>
                <w:numId w:val="32"/>
              </w:numPr>
              <w:autoSpaceDE/>
              <w:autoSpaceDN/>
              <w:adjustRightInd/>
              <w:snapToGrid/>
              <w:spacing w:after="0"/>
              <w:rPr>
                <w:rFonts w:eastAsia="DengXian"/>
                <w:sz w:val="20"/>
                <w:lang w:eastAsia="zh-CN"/>
              </w:rPr>
            </w:pPr>
            <w:r w:rsidRPr="00FB4E6D">
              <w:rPr>
                <w:rFonts w:eastAsia="DengXian"/>
                <w:sz w:val="20"/>
                <w:lang w:eastAsia="zh-CN"/>
              </w:rPr>
              <w:t>Study whether/how to apply one of the two separate SRS CLPC adjustment states on the SRS resource set when the SRS resource set is not configured with TCI state.</w:t>
            </w:r>
          </w:p>
          <w:p w14:paraId="325F0510" w14:textId="77777777" w:rsidR="003A1328" w:rsidRPr="00FB4E6D" w:rsidRDefault="003A1328" w:rsidP="003A1328">
            <w:pPr>
              <w:numPr>
                <w:ilvl w:val="1"/>
                <w:numId w:val="32"/>
              </w:numPr>
              <w:autoSpaceDE/>
              <w:autoSpaceDN/>
              <w:adjustRightInd/>
              <w:snapToGrid/>
              <w:spacing w:after="0"/>
              <w:rPr>
                <w:rFonts w:eastAsia="DengXian"/>
                <w:sz w:val="20"/>
                <w:lang w:eastAsia="zh-CN"/>
              </w:rPr>
            </w:pPr>
            <w:r w:rsidRPr="00FB4E6D">
              <w:rPr>
                <w:rFonts w:eastAsia="DengXian"/>
                <w:sz w:val="20"/>
                <w:lang w:eastAsia="zh-CN"/>
              </w:rPr>
              <w:t>E.g., defining i0 as the default CLPC for SRS resource set in this case. E.g, configure one of the separate SRS CLPC adjustment states to the SRS resource set.</w:t>
            </w:r>
          </w:p>
          <w:p w14:paraId="0251F408" w14:textId="77777777" w:rsidR="003A1328" w:rsidRPr="002954EB" w:rsidRDefault="003A1328" w:rsidP="002C3551">
            <w:pPr>
              <w:tabs>
                <w:tab w:val="left" w:pos="643"/>
              </w:tabs>
              <w:rPr>
                <w:rFonts w:eastAsia="DengXian"/>
                <w:lang w:val="en-CA"/>
              </w:rPr>
            </w:pPr>
          </w:p>
        </w:tc>
      </w:tr>
    </w:tbl>
    <w:p w14:paraId="6115E8C3" w14:textId="77777777" w:rsidR="003A1328" w:rsidRDefault="003A1328" w:rsidP="003A1328">
      <w:pPr>
        <w:rPr>
          <w:kern w:val="2"/>
          <w:lang w:val="en-GB" w:eastAsia="zh-CN"/>
        </w:rPr>
      </w:pPr>
    </w:p>
    <w:p w14:paraId="208F7069" w14:textId="0A662853" w:rsidR="003A1328" w:rsidRPr="007124F2" w:rsidRDefault="003A1328" w:rsidP="003A1328">
      <w:pPr>
        <w:rPr>
          <w:lang w:eastAsia="zh-CN"/>
        </w:rPr>
      </w:pPr>
      <w:r>
        <w:rPr>
          <w:lang w:eastAsia="zh-CN"/>
        </w:rPr>
        <w:t xml:space="preserve">gNB can provide the UE with the flexibility to beam sweep the SRS resources </w:t>
      </w:r>
      <w:r w:rsidR="00B846F2">
        <w:rPr>
          <w:lang w:eastAsia="zh-CN"/>
        </w:rPr>
        <w:t xml:space="preserve">set </w:t>
      </w:r>
      <w:r>
        <w:rPr>
          <w:lang w:eastAsia="zh-CN"/>
        </w:rPr>
        <w:t xml:space="preserve">by not configuring the SRS resource set to follow the indicated TCI state and not assigning separate TCI states for its resources. In the asymmetric DL/UL scenario, if the beam sweeping SRS resources are meant to target the UL TRP, the PL offset may need to be considered in the SRS transmit power calculation. In such a case, the most straightforward solution is </w:t>
      </w:r>
      <w:r w:rsidRPr="00D74E35">
        <w:rPr>
          <w:lang w:eastAsia="zh-CN"/>
        </w:rPr>
        <w:t xml:space="preserve">to configure </w:t>
      </w:r>
      <w:r>
        <w:rPr>
          <w:lang w:eastAsia="zh-CN"/>
        </w:rPr>
        <w:t xml:space="preserve">a </w:t>
      </w:r>
      <w:r w:rsidRPr="00D74E35">
        <w:rPr>
          <w:lang w:eastAsia="zh-CN"/>
        </w:rPr>
        <w:t>PL offset</w:t>
      </w:r>
      <w:r>
        <w:rPr>
          <w:lang w:eastAsia="zh-CN"/>
        </w:rPr>
        <w:t xml:space="preserve"> value in the SRS resource set configuration. The same MAC-CE that updates the pathloss offset </w:t>
      </w:r>
      <w:r w:rsidRPr="00606B72">
        <w:rPr>
          <w:rFonts w:eastAsia="DengXian"/>
          <w:szCs w:val="18"/>
        </w:rPr>
        <w:t>value</w:t>
      </w:r>
      <w:r>
        <w:rPr>
          <w:rFonts w:eastAsia="DengXian"/>
          <w:szCs w:val="18"/>
        </w:rPr>
        <w:t xml:space="preserve"> </w:t>
      </w:r>
      <w:r w:rsidRPr="00606B72">
        <w:rPr>
          <w:rFonts w:eastAsia="DengXian"/>
          <w:szCs w:val="18"/>
        </w:rPr>
        <w:t>for joint or UL TCI state</w:t>
      </w:r>
      <w:r>
        <w:rPr>
          <w:rFonts w:eastAsia="DengXian"/>
          <w:szCs w:val="18"/>
        </w:rPr>
        <w:t xml:space="preserve"> can also be used to update the pathloss offset value in the </w:t>
      </w:r>
      <w:r>
        <w:rPr>
          <w:lang w:eastAsia="zh-CN"/>
        </w:rPr>
        <w:t>SRS resource set configuration.</w:t>
      </w:r>
    </w:p>
    <w:p w14:paraId="39D83161" w14:textId="17B17EDD" w:rsidR="003A1328" w:rsidRDefault="003A1328" w:rsidP="003A1328">
      <w:pPr>
        <w:rPr>
          <w:rFonts w:eastAsia="DengXian"/>
          <w:b/>
          <w:i/>
          <w:sz w:val="20"/>
          <w:lang w:eastAsia="zh-CN"/>
        </w:rPr>
      </w:pPr>
      <w:r w:rsidRPr="007124F2">
        <w:rPr>
          <w:b/>
          <w:i/>
          <w:lang w:eastAsia="zh-CN"/>
        </w:rPr>
        <w:t xml:space="preserve">Proposal </w:t>
      </w:r>
      <w:r w:rsidR="00391AF8">
        <w:rPr>
          <w:b/>
          <w:i/>
          <w:lang w:eastAsia="zh-CN"/>
        </w:rPr>
        <w:t>3</w:t>
      </w:r>
      <w:r w:rsidRPr="007124F2">
        <w:rPr>
          <w:b/>
          <w:i/>
          <w:lang w:eastAsia="zh-CN"/>
        </w:rPr>
        <w:t xml:space="preserve">: When SRS resource set is not configured to follow the indicated TCI state </w:t>
      </w:r>
      <w:r>
        <w:rPr>
          <w:b/>
          <w:i/>
          <w:lang w:eastAsia="zh-CN"/>
        </w:rPr>
        <w:t>and</w:t>
      </w:r>
      <w:r w:rsidRPr="007124F2">
        <w:rPr>
          <w:b/>
          <w:i/>
          <w:lang w:eastAsia="zh-CN"/>
        </w:rPr>
        <w:t xml:space="preserve"> separate TCI states are not assigned to its resources, </w:t>
      </w:r>
      <w:r>
        <w:rPr>
          <w:b/>
          <w:i/>
          <w:lang w:eastAsia="zh-CN"/>
        </w:rPr>
        <w:t xml:space="preserve">a PL offset value is optionally configured in the SRS resource set configuration. </w:t>
      </w:r>
    </w:p>
    <w:p w14:paraId="35EB29C9" w14:textId="2EADA09E" w:rsidR="003A1328" w:rsidRPr="0091709C" w:rsidRDefault="003A1328" w:rsidP="003A1328">
      <w:pPr>
        <w:pStyle w:val="ListParagraph"/>
        <w:numPr>
          <w:ilvl w:val="0"/>
          <w:numId w:val="40"/>
        </w:numPr>
        <w:rPr>
          <w:rFonts w:ascii="Times New Roman" w:hAnsi="Times New Roman" w:cs="Times New Roman"/>
          <w:b/>
          <w:i/>
          <w:sz w:val="22"/>
          <w:szCs w:val="22"/>
        </w:rPr>
      </w:pPr>
      <w:r w:rsidRPr="0091709C">
        <w:rPr>
          <w:rFonts w:ascii="Times New Roman" w:hAnsi="Times New Roman" w:cs="Times New Roman"/>
          <w:b/>
          <w:i/>
          <w:sz w:val="22"/>
          <w:szCs w:val="22"/>
        </w:rPr>
        <w:lastRenderedPageBreak/>
        <w:t>The same MAC-CE that updates the pathloss offset value for joint or UL TCI state is also used to update the pathloss offset value in the SRS resource set configuration</w:t>
      </w:r>
      <w:r w:rsidR="003629C7">
        <w:rPr>
          <w:rFonts w:ascii="Times New Roman" w:hAnsi="Times New Roman" w:cs="Times New Roman"/>
          <w:b/>
          <w:i/>
          <w:sz w:val="22"/>
          <w:szCs w:val="22"/>
        </w:rPr>
        <w:t>.</w:t>
      </w:r>
    </w:p>
    <w:p w14:paraId="19AECBCE" w14:textId="77777777" w:rsidR="003A1328" w:rsidRPr="0091709C" w:rsidRDefault="003A1328" w:rsidP="003A1328">
      <w:pPr>
        <w:pStyle w:val="ListParagraph"/>
        <w:rPr>
          <w:rFonts w:ascii="Times New Roman" w:hAnsi="Times New Roman" w:cs="Times New Roman"/>
          <w:b/>
          <w:i/>
          <w:sz w:val="22"/>
          <w:szCs w:val="22"/>
        </w:rPr>
      </w:pPr>
    </w:p>
    <w:p w14:paraId="61CD51C2" w14:textId="77777777" w:rsidR="003A1328" w:rsidRDefault="003A1328" w:rsidP="003A1328">
      <w:pPr>
        <w:rPr>
          <w:lang w:eastAsia="zh-CN"/>
        </w:rPr>
      </w:pPr>
      <w:r>
        <w:rPr>
          <w:lang w:eastAsia="zh-CN"/>
        </w:rPr>
        <w:t xml:space="preserve">Similarly, when </w:t>
      </w:r>
      <w:r w:rsidRPr="0091709C">
        <w:rPr>
          <w:i/>
        </w:rPr>
        <w:t>srs-PowerControlAdjustmentStates</w:t>
      </w:r>
      <w:r>
        <w:t xml:space="preserve"> is set to </w:t>
      </w:r>
      <w:r w:rsidRPr="0091709C">
        <w:rPr>
          <w:i/>
        </w:rPr>
        <w:t>separateClosedLoop</w:t>
      </w:r>
      <w:r>
        <w:t xml:space="preserve"> in SRS resource set configuration and </w:t>
      </w:r>
      <w:r w:rsidRPr="00606B72">
        <w:rPr>
          <w:rFonts w:eastAsia="DengXian" w:cs="Arial"/>
          <w:szCs w:val="20"/>
          <w:lang w:val="en-CA"/>
        </w:rPr>
        <w:t>two separate SRS CLPC adjustment states are configured</w:t>
      </w:r>
      <w:r>
        <w:rPr>
          <w:rFonts w:eastAsia="DengXian" w:cs="Arial"/>
          <w:szCs w:val="20"/>
          <w:lang w:val="en-CA"/>
        </w:rPr>
        <w:t xml:space="preserve">, a new RRC parameter can be introduced in the SRS resource set configuration to signal the applicable separate adjustment state. </w:t>
      </w:r>
    </w:p>
    <w:p w14:paraId="1CC67AF6" w14:textId="70E306BB" w:rsidR="003A1328" w:rsidRDefault="003A1328" w:rsidP="003A1328">
      <w:pPr>
        <w:rPr>
          <w:rFonts w:eastAsia="DengXian" w:cs="Arial"/>
          <w:b/>
          <w:i/>
          <w:szCs w:val="20"/>
          <w:lang w:val="en-CA"/>
        </w:rPr>
      </w:pPr>
      <w:bookmarkStart w:id="4" w:name="_Hlk181799743"/>
      <w:r w:rsidRPr="00D478E1">
        <w:rPr>
          <w:b/>
          <w:i/>
          <w:lang w:eastAsia="zh-CN"/>
        </w:rPr>
        <w:t xml:space="preserve">Proposal </w:t>
      </w:r>
      <w:r w:rsidR="00391AF8">
        <w:rPr>
          <w:b/>
          <w:i/>
          <w:lang w:eastAsia="zh-CN"/>
        </w:rPr>
        <w:t>4</w:t>
      </w:r>
      <w:r w:rsidRPr="00D478E1">
        <w:rPr>
          <w:b/>
          <w:i/>
          <w:lang w:eastAsia="zh-CN"/>
        </w:rPr>
        <w:t xml:space="preserve">: </w:t>
      </w:r>
      <w:r>
        <w:rPr>
          <w:b/>
          <w:i/>
          <w:lang w:eastAsia="zh-CN"/>
        </w:rPr>
        <w:t>W</w:t>
      </w:r>
      <w:r w:rsidRPr="00D478E1">
        <w:rPr>
          <w:b/>
          <w:i/>
          <w:lang w:eastAsia="zh-CN"/>
        </w:rPr>
        <w:t xml:space="preserve">hen </w:t>
      </w:r>
      <w:r w:rsidRPr="00D478E1">
        <w:rPr>
          <w:b/>
          <w:i/>
        </w:rPr>
        <w:t>srs-PowerControlAdjustmentStates is set to separateClosedLoop in</w:t>
      </w:r>
      <w:r>
        <w:rPr>
          <w:b/>
          <w:i/>
        </w:rPr>
        <w:t xml:space="preserve"> </w:t>
      </w:r>
      <w:r w:rsidRPr="00D478E1">
        <w:rPr>
          <w:b/>
          <w:i/>
        </w:rPr>
        <w:t xml:space="preserve">SRS resource set configuration and </w:t>
      </w:r>
      <w:r w:rsidRPr="00D478E1">
        <w:rPr>
          <w:rFonts w:eastAsia="DengXian" w:cs="Arial"/>
          <w:b/>
          <w:i/>
          <w:szCs w:val="20"/>
          <w:lang w:val="en-CA"/>
        </w:rPr>
        <w:t xml:space="preserve">two separate SRS CLPC adjustment states are configured, a new RRC parameter can be introduced in the SRS resource set configuration to signal the applicable separate adjustment state. </w:t>
      </w:r>
    </w:p>
    <w:tbl>
      <w:tblPr>
        <w:tblStyle w:val="TableGrid"/>
        <w:tblW w:w="0" w:type="auto"/>
        <w:tblLook w:val="04A0" w:firstRow="1" w:lastRow="0" w:firstColumn="1" w:lastColumn="0" w:noHBand="0" w:noVBand="1"/>
      </w:tblPr>
      <w:tblGrid>
        <w:gridCol w:w="9016"/>
      </w:tblGrid>
      <w:tr w:rsidR="003A1328" w:rsidRPr="008704E0" w14:paraId="7AAE55BF" w14:textId="77777777" w:rsidTr="002C3551">
        <w:tc>
          <w:tcPr>
            <w:tcW w:w="9016" w:type="dxa"/>
          </w:tcPr>
          <w:bookmarkEnd w:id="4"/>
          <w:p w14:paraId="149EBCC8" w14:textId="77777777" w:rsidR="003A1328" w:rsidRPr="00BE28A6" w:rsidRDefault="003A1328" w:rsidP="002C3551">
            <w:pPr>
              <w:contextualSpacing/>
              <w:rPr>
                <w:b/>
                <w:bCs/>
                <w:iCs/>
                <w:sz w:val="20"/>
                <w:highlight w:val="green"/>
                <w:lang w:eastAsia="zh-CN"/>
              </w:rPr>
            </w:pPr>
            <w:r w:rsidRPr="00BE28A6">
              <w:rPr>
                <w:b/>
                <w:bCs/>
                <w:iCs/>
                <w:sz w:val="20"/>
                <w:highlight w:val="green"/>
                <w:lang w:eastAsia="zh-CN"/>
              </w:rPr>
              <w:t>Agreement</w:t>
            </w:r>
          </w:p>
          <w:p w14:paraId="28BD089E" w14:textId="77777777" w:rsidR="003A1328" w:rsidRPr="00BE28A6" w:rsidRDefault="003A1328" w:rsidP="002C3551">
            <w:pPr>
              <w:rPr>
                <w:rFonts w:eastAsia="DengXian"/>
                <w:sz w:val="20"/>
                <w:lang w:val="en-CA" w:eastAsia="zh-CN"/>
              </w:rPr>
            </w:pPr>
            <w:r w:rsidRPr="00BE28A6">
              <w:rPr>
                <w:rFonts w:eastAsia="DengXian"/>
                <w:sz w:val="20"/>
                <w:lang w:val="en-CA" w:eastAsia="zh-CN"/>
              </w:rPr>
              <w:t>Support DCI format 1_1 to indicate TPC command for SRS CLPC adjustment state(s) separate from PUSCH:</w:t>
            </w:r>
          </w:p>
          <w:p w14:paraId="77006592" w14:textId="77777777" w:rsidR="003A1328" w:rsidRPr="00BE28A6" w:rsidRDefault="003A1328" w:rsidP="003A1328">
            <w:pPr>
              <w:numPr>
                <w:ilvl w:val="0"/>
                <w:numId w:val="32"/>
              </w:numPr>
              <w:autoSpaceDE/>
              <w:autoSpaceDN/>
              <w:adjustRightInd/>
              <w:snapToGrid/>
              <w:spacing w:after="0"/>
              <w:rPr>
                <w:rFonts w:eastAsia="DengXian"/>
                <w:sz w:val="20"/>
                <w:lang w:val="en-CA" w:eastAsia="zh-CN"/>
              </w:rPr>
            </w:pPr>
            <w:r w:rsidRPr="00BE28A6">
              <w:rPr>
                <w:rFonts w:eastAsia="DengXian"/>
                <w:sz w:val="20"/>
                <w:lang w:val="en-CA" w:eastAsia="zh-CN"/>
              </w:rPr>
              <w:t>(</w:t>
            </w:r>
            <w:r w:rsidRPr="00BE28A6">
              <w:rPr>
                <w:rFonts w:eastAsia="DengXian"/>
                <w:sz w:val="20"/>
                <w:highlight w:val="darkYellow"/>
                <w:lang w:val="en-CA" w:eastAsia="zh-CN"/>
              </w:rPr>
              <w:t>Working Assumption</w:t>
            </w:r>
            <w:r w:rsidRPr="00BE28A6">
              <w:rPr>
                <w:rFonts w:eastAsia="DengXian"/>
                <w:sz w:val="20"/>
                <w:lang w:val="en-CA" w:eastAsia="zh-CN"/>
              </w:rPr>
              <w:t>) Introduce a 2-bit TPC command field to indicate TPC command for SRS associated with separate SRS CLPC adjustment state where:</w:t>
            </w:r>
          </w:p>
          <w:p w14:paraId="65457983" w14:textId="77777777" w:rsidR="003A1328" w:rsidRPr="00BE28A6" w:rsidRDefault="003A1328" w:rsidP="003A1328">
            <w:pPr>
              <w:numPr>
                <w:ilvl w:val="1"/>
                <w:numId w:val="32"/>
              </w:numPr>
              <w:autoSpaceDE/>
              <w:autoSpaceDN/>
              <w:adjustRightInd/>
              <w:snapToGrid/>
              <w:spacing w:after="0"/>
              <w:rPr>
                <w:rFonts w:eastAsia="DengXian"/>
                <w:sz w:val="20"/>
                <w:lang w:val="en-CA" w:eastAsia="zh-CN"/>
              </w:rPr>
            </w:pPr>
            <w:r w:rsidRPr="00BE28A6">
              <w:rPr>
                <w:rFonts w:eastAsia="DengXian"/>
                <w:sz w:val="20"/>
                <w:lang w:val="en-CA" w:eastAsia="zh-CN"/>
              </w:rPr>
              <w:t>The 2-bit TPC command field is present if UE reports supporting a dedicated UE capability, and a corresponding RRC parameter is configured</w:t>
            </w:r>
            <w:r w:rsidRPr="00BE28A6">
              <w:rPr>
                <w:rFonts w:eastAsia="DengXian"/>
                <w:sz w:val="20"/>
                <w:lang w:eastAsia="zh-CN"/>
              </w:rPr>
              <w:t xml:space="preserve"> (which is a new RRC to enable this)</w:t>
            </w:r>
            <w:r w:rsidRPr="00BE28A6">
              <w:rPr>
                <w:rFonts w:eastAsia="DengXian"/>
                <w:sz w:val="20"/>
                <w:lang w:val="en-CA" w:eastAsia="zh-CN"/>
              </w:rPr>
              <w:t>.</w:t>
            </w:r>
          </w:p>
          <w:p w14:paraId="355390F3" w14:textId="77777777" w:rsidR="003A1328" w:rsidRPr="00BE28A6" w:rsidRDefault="003A1328" w:rsidP="003A1328">
            <w:pPr>
              <w:numPr>
                <w:ilvl w:val="0"/>
                <w:numId w:val="32"/>
              </w:numPr>
              <w:autoSpaceDE/>
              <w:autoSpaceDN/>
              <w:adjustRightInd/>
              <w:snapToGrid/>
              <w:spacing w:after="0"/>
              <w:rPr>
                <w:rFonts w:eastAsia="DengXian"/>
                <w:sz w:val="20"/>
                <w:lang w:val="en-CA" w:eastAsia="zh-CN"/>
              </w:rPr>
            </w:pPr>
            <w:r w:rsidRPr="00BE28A6">
              <w:rPr>
                <w:rFonts w:eastAsia="DengXian"/>
                <w:sz w:val="20"/>
                <w:lang w:val="en-CA" w:eastAsia="zh-CN"/>
              </w:rPr>
              <w:t>(</w:t>
            </w:r>
            <w:r w:rsidRPr="00BE28A6">
              <w:rPr>
                <w:rFonts w:eastAsia="DengXian"/>
                <w:sz w:val="20"/>
                <w:highlight w:val="darkYellow"/>
                <w:lang w:val="en-CA" w:eastAsia="zh-CN"/>
              </w:rPr>
              <w:t>Working Assumption</w:t>
            </w:r>
            <w:r w:rsidRPr="00BE28A6">
              <w:rPr>
                <w:rFonts w:eastAsia="DengXian"/>
                <w:sz w:val="20"/>
                <w:lang w:val="en-CA" w:eastAsia="zh-CN"/>
              </w:rPr>
              <w:t>) Introduce a 1-bit SRS close-loop indicator to indicate one of the two separate SRS CLPC adjustment states for the TPC command.</w:t>
            </w:r>
          </w:p>
          <w:p w14:paraId="61EC8581" w14:textId="77777777" w:rsidR="003A1328" w:rsidRPr="00BE28A6" w:rsidRDefault="003A1328" w:rsidP="003A1328">
            <w:pPr>
              <w:numPr>
                <w:ilvl w:val="1"/>
                <w:numId w:val="32"/>
              </w:numPr>
              <w:autoSpaceDE/>
              <w:autoSpaceDN/>
              <w:adjustRightInd/>
              <w:snapToGrid/>
              <w:spacing w:after="0"/>
              <w:rPr>
                <w:rFonts w:eastAsia="DengXian"/>
                <w:sz w:val="20"/>
                <w:lang w:val="en-CA" w:eastAsia="zh-CN"/>
              </w:rPr>
            </w:pPr>
            <w:r w:rsidRPr="00BE28A6">
              <w:rPr>
                <w:rFonts w:eastAsia="DengXian"/>
                <w:sz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49CA8DCA" w14:textId="77777777" w:rsidR="003A1328" w:rsidRPr="002954EB" w:rsidRDefault="003A1328" w:rsidP="002C3551">
            <w:pPr>
              <w:tabs>
                <w:tab w:val="left" w:pos="643"/>
              </w:tabs>
              <w:rPr>
                <w:rFonts w:eastAsia="DengXian"/>
                <w:lang w:val="en-CA"/>
              </w:rPr>
            </w:pPr>
          </w:p>
        </w:tc>
      </w:tr>
    </w:tbl>
    <w:p w14:paraId="0D1C78A6" w14:textId="77777777" w:rsidR="003A1328" w:rsidRDefault="003A1328" w:rsidP="003A1328">
      <w:pPr>
        <w:rPr>
          <w:kern w:val="2"/>
          <w:lang w:val="en-GB" w:eastAsia="zh-CN"/>
        </w:rPr>
      </w:pPr>
    </w:p>
    <w:p w14:paraId="184D4050" w14:textId="540BB677" w:rsidR="003A1328" w:rsidRPr="006E1984" w:rsidRDefault="003A1328" w:rsidP="003A1328">
      <w:pPr>
        <w:rPr>
          <w:lang w:eastAsia="zh-CN"/>
        </w:rPr>
      </w:pPr>
      <w:r w:rsidRPr="006E1984">
        <w:rPr>
          <w:lang w:eastAsia="zh-CN"/>
        </w:rPr>
        <w:t xml:space="preserve">Above working assumptions </w:t>
      </w:r>
      <w:r w:rsidR="002F1447" w:rsidRPr="006E1984">
        <w:rPr>
          <w:lang w:eastAsia="zh-CN"/>
        </w:rPr>
        <w:t xml:space="preserve">were </w:t>
      </w:r>
      <w:r w:rsidRPr="006E1984">
        <w:rPr>
          <w:lang w:eastAsia="zh-CN"/>
        </w:rPr>
        <w:t>reached in RAN1 118-bis [1] to indicate TPC command for SRS close-loop power control adjustment state(s) separate from PUSCH. A similar functionality has been supported by DCI 2_3 with the following two main differences: 1) DCI 2_3 is a group-common DCI that can provide TPC commands for multiple UEs; and 2) For each UE, DCI 2</w:t>
      </w:r>
      <w:r w:rsidR="00377CD8">
        <w:rPr>
          <w:lang w:eastAsia="zh-CN"/>
        </w:rPr>
        <w:t>_</w:t>
      </w:r>
      <w:r w:rsidRPr="006E1984">
        <w:rPr>
          <w:lang w:eastAsia="zh-CN"/>
        </w:rPr>
        <w:t xml:space="preserve">3 can provide TPC commands for multiple CCs. While it is clear that </w:t>
      </w:r>
      <w:bookmarkStart w:id="5" w:name="_Hlk181798084"/>
      <w:r w:rsidRPr="006E1984">
        <w:rPr>
          <w:lang w:eastAsia="zh-CN"/>
        </w:rPr>
        <w:t>DCI 1_1</w:t>
      </w:r>
      <w:bookmarkEnd w:id="5"/>
      <w:r w:rsidRPr="006E1984">
        <w:rPr>
          <w:lang w:eastAsia="zh-CN"/>
        </w:rPr>
        <w:t xml:space="preserve"> is a UE dedicated DCI, it should be further clarified that the single SRS TPC command in </w:t>
      </w:r>
      <w:r w:rsidR="006E1984" w:rsidRPr="0011588D">
        <w:rPr>
          <w:lang w:eastAsia="zh-CN"/>
        </w:rPr>
        <w:t>DCI 1</w:t>
      </w:r>
      <w:r w:rsidR="006E1984">
        <w:rPr>
          <w:lang w:eastAsia="zh-CN"/>
        </w:rPr>
        <w:t>_</w:t>
      </w:r>
      <w:r w:rsidR="006E1984" w:rsidRPr="0011588D">
        <w:rPr>
          <w:lang w:eastAsia="zh-CN"/>
        </w:rPr>
        <w:t>1</w:t>
      </w:r>
      <w:r w:rsidRPr="006E1984">
        <w:rPr>
          <w:lang w:eastAsia="zh-CN"/>
        </w:rPr>
        <w:t xml:space="preserve"> </w:t>
      </w:r>
      <w:r w:rsidR="002F1447" w:rsidRPr="006E1984">
        <w:rPr>
          <w:lang w:eastAsia="zh-CN"/>
        </w:rPr>
        <w:t xml:space="preserve">applies </w:t>
      </w:r>
      <w:r w:rsidRPr="006E1984">
        <w:rPr>
          <w:lang w:eastAsia="zh-CN"/>
        </w:rPr>
        <w:t xml:space="preserve">only to the SRSs with CLPC adjustment state(s) separate from PUSCH that are configured on a single specified CC. We think it is most straightforward to agree that the target CC of the TPC command and </w:t>
      </w:r>
      <w:r w:rsidR="002F1447" w:rsidRPr="006E1984">
        <w:rPr>
          <w:lang w:eastAsia="zh-CN"/>
        </w:rPr>
        <w:t xml:space="preserve">the </w:t>
      </w:r>
      <w:r w:rsidRPr="006E1984">
        <w:rPr>
          <w:lang w:eastAsia="zh-CN"/>
        </w:rPr>
        <w:t>closed-loop indicator in DCI 1_1 is the CC on which the DCI is received</w:t>
      </w:r>
      <w:r w:rsidR="006E1984">
        <w:rPr>
          <w:lang w:eastAsia="zh-CN"/>
        </w:rPr>
        <w:t>.</w:t>
      </w:r>
    </w:p>
    <w:p w14:paraId="66A905E4" w14:textId="44381ABE" w:rsidR="003A1328" w:rsidRPr="006E1984" w:rsidRDefault="003A1328" w:rsidP="003A1328">
      <w:pPr>
        <w:rPr>
          <w:lang w:eastAsia="zh-CN"/>
        </w:rPr>
      </w:pPr>
      <w:r w:rsidRPr="006E1984">
        <w:rPr>
          <w:b/>
          <w:i/>
          <w:lang w:eastAsia="zh-CN"/>
        </w:rPr>
        <w:t xml:space="preserve">Proposal </w:t>
      </w:r>
      <w:r w:rsidR="00391AF8" w:rsidRPr="006E1984">
        <w:rPr>
          <w:b/>
          <w:i/>
          <w:lang w:eastAsia="zh-CN"/>
        </w:rPr>
        <w:t>5</w:t>
      </w:r>
      <w:r w:rsidRPr="006E1984">
        <w:rPr>
          <w:b/>
          <w:i/>
          <w:lang w:eastAsia="zh-CN"/>
        </w:rPr>
        <w:t xml:space="preserve">: The SRS </w:t>
      </w:r>
      <w:r w:rsidRPr="005200B5">
        <w:rPr>
          <w:rFonts w:eastAsia="DengXian"/>
          <w:b/>
          <w:i/>
          <w:lang w:val="en-CA" w:eastAsia="zh-CN"/>
        </w:rPr>
        <w:t>TPC command/closed-loop indicator in DCI format 1_1 applies only to the SRS(s) with CLPC adjustment state(s) separate from PUSCH that are configured on the CC where</w:t>
      </w:r>
      <w:r w:rsidRPr="006E1984">
        <w:rPr>
          <w:b/>
          <w:i/>
          <w:lang w:eastAsia="zh-CN"/>
        </w:rPr>
        <w:t xml:space="preserve"> the DCI is received.</w:t>
      </w:r>
    </w:p>
    <w:p w14:paraId="7D53EAF2" w14:textId="03A72484" w:rsidR="003A1328" w:rsidRPr="006E1984" w:rsidRDefault="003A1328" w:rsidP="003A1328">
      <w:pPr>
        <w:rPr>
          <w:b/>
          <w:bCs/>
          <w:i/>
          <w:strike/>
          <w:lang w:eastAsia="zh-CN"/>
        </w:rPr>
      </w:pPr>
      <w:r w:rsidRPr="006E1984">
        <w:rPr>
          <w:bCs/>
          <w:lang w:eastAsia="zh-CN"/>
        </w:rPr>
        <w:t xml:space="preserve">We think that RAN1 should also discuss the necessity and the possible mechanism to avoid signaling collision between DCI 1_1 and DCI 2_3 as both may indicate SRS TPC command/closed-loop indicator for SRS(s) on the same CC. </w:t>
      </w:r>
    </w:p>
    <w:p w14:paraId="17692E11" w14:textId="7C6A4627" w:rsidR="003A1328" w:rsidRPr="006E1984" w:rsidRDefault="003A1328" w:rsidP="003A1328">
      <w:pPr>
        <w:rPr>
          <w:b/>
          <w:bCs/>
          <w:i/>
          <w:lang w:eastAsia="zh-CN"/>
        </w:rPr>
      </w:pPr>
      <w:r w:rsidRPr="006E1984">
        <w:rPr>
          <w:b/>
          <w:bCs/>
          <w:i/>
          <w:lang w:eastAsia="zh-CN"/>
        </w:rPr>
        <w:t xml:space="preserve">Proposal </w:t>
      </w:r>
      <w:r w:rsidR="00391AF8" w:rsidRPr="006E1984">
        <w:rPr>
          <w:b/>
          <w:bCs/>
          <w:i/>
          <w:lang w:eastAsia="zh-CN"/>
        </w:rPr>
        <w:t>6</w:t>
      </w:r>
      <w:r w:rsidRPr="006E1984">
        <w:rPr>
          <w:b/>
          <w:bCs/>
          <w:i/>
          <w:lang w:eastAsia="zh-CN"/>
        </w:rPr>
        <w:t>: RAN1 to discuss the necessity and the possible mechanism to avoid collision between SRS TPC command/closed-loop indicator between DCI 1_1 and DCI 2_3.</w:t>
      </w:r>
    </w:p>
    <w:p w14:paraId="6DF0E448" w14:textId="77777777" w:rsidR="004B0D27" w:rsidRPr="00EF6BC1" w:rsidRDefault="004B0D27" w:rsidP="00AF60ED">
      <w:pPr>
        <w:rPr>
          <w:kern w:val="2"/>
          <w:lang w:val="en-GB"/>
        </w:rPr>
      </w:pPr>
    </w:p>
    <w:p w14:paraId="537C3D82" w14:textId="5D085466" w:rsidR="0043162D" w:rsidRDefault="0043162D" w:rsidP="0043162D">
      <w:pPr>
        <w:pStyle w:val="Heading1"/>
        <w:rPr>
          <w:rFonts w:eastAsiaTheme="minorEastAsia"/>
          <w:lang w:val="en-GB" w:eastAsia="zh-CN"/>
        </w:rPr>
      </w:pPr>
      <w:r w:rsidRPr="00903FED">
        <w:rPr>
          <w:rFonts w:eastAsiaTheme="minorEastAsia"/>
          <w:lang w:val="en-GB" w:eastAsia="zh-CN"/>
        </w:rPr>
        <w:t>Summary and conclusion</w:t>
      </w:r>
    </w:p>
    <w:p w14:paraId="45528DF8" w14:textId="77777777" w:rsidR="003629C7" w:rsidRDefault="003629C7" w:rsidP="005200B5">
      <w:pPr>
        <w:spacing w:line="360" w:lineRule="auto"/>
        <w:rPr>
          <w:b/>
          <w:bCs/>
          <w:i/>
          <w:u w:val="single"/>
          <w:lang w:eastAsia="zh-CN"/>
        </w:rPr>
      </w:pPr>
      <w:r w:rsidRPr="00212422">
        <w:rPr>
          <w:b/>
          <w:bCs/>
          <w:i/>
          <w:u w:val="single"/>
          <w:lang w:eastAsia="zh-CN"/>
        </w:rPr>
        <w:t>Proposals:</w:t>
      </w:r>
    </w:p>
    <w:p w14:paraId="0E86C9C0" w14:textId="7CE76303" w:rsidR="00F85F76" w:rsidRPr="00D33535" w:rsidRDefault="00F85F76" w:rsidP="005200B5">
      <w:pPr>
        <w:rPr>
          <w:b/>
          <w:i/>
        </w:rPr>
      </w:pPr>
      <w:r w:rsidRPr="00B017E3">
        <w:rPr>
          <w:b/>
          <w:bCs/>
          <w:i/>
          <w:lang w:eastAsia="zh-CN"/>
        </w:rPr>
        <w:t xml:space="preserve">Proposal 1: </w:t>
      </w:r>
      <w:r w:rsidRPr="00F85F76">
        <w:rPr>
          <w:b/>
          <w:bCs/>
          <w:i/>
          <w:lang w:eastAsia="zh-CN"/>
        </w:rPr>
        <w:t>For asymmetric DL sTRP/UL mTRP scenarios, only one of the indicated joint/UL TCI states can be configured with PL offset.</w:t>
      </w:r>
    </w:p>
    <w:p w14:paraId="0D20E57A" w14:textId="670C59D7" w:rsidR="00F85F76" w:rsidRPr="00D33535" w:rsidRDefault="00F85F76" w:rsidP="00F85F76">
      <w:pPr>
        <w:rPr>
          <w:b/>
          <w:bCs/>
          <w:i/>
          <w:u w:val="single"/>
        </w:rPr>
      </w:pPr>
      <w:r w:rsidRPr="00F54DA5">
        <w:rPr>
          <w:b/>
          <w:i/>
          <w:lang w:eastAsia="zh-CN"/>
        </w:rPr>
        <w:lastRenderedPageBreak/>
        <w:t xml:space="preserve">Proposal 2: </w:t>
      </w:r>
      <w:r w:rsidRPr="00F85F76">
        <w:rPr>
          <w:b/>
          <w:i/>
          <w:lang w:eastAsia="zh-CN"/>
        </w:rPr>
        <w:t>Do not support Type 3 PHR in a serving cell/BWP where the UE is configured with two separate SRS CLPC adjustment states.</w:t>
      </w:r>
    </w:p>
    <w:p w14:paraId="42103D0F" w14:textId="0937B09E" w:rsidR="00F85F76" w:rsidRDefault="00F85F76" w:rsidP="00F85F76">
      <w:pPr>
        <w:rPr>
          <w:b/>
          <w:bCs/>
          <w:i/>
          <w:lang w:eastAsia="zh-CN"/>
        </w:rPr>
      </w:pPr>
      <w:r w:rsidRPr="00EB1CD2">
        <w:rPr>
          <w:b/>
          <w:bCs/>
          <w:i/>
          <w:lang w:eastAsia="zh-CN"/>
        </w:rPr>
        <w:t xml:space="preserve">Proposal </w:t>
      </w:r>
      <w:r>
        <w:rPr>
          <w:b/>
          <w:bCs/>
          <w:i/>
          <w:lang w:eastAsia="zh-CN"/>
        </w:rPr>
        <w:t>3</w:t>
      </w:r>
      <w:r w:rsidRPr="00EB1CD2">
        <w:rPr>
          <w:b/>
          <w:bCs/>
          <w:i/>
          <w:lang w:eastAsia="zh-CN"/>
        </w:rPr>
        <w:t xml:space="preserve">: </w:t>
      </w:r>
      <w:r w:rsidRPr="00F85F76">
        <w:rPr>
          <w:b/>
          <w:bCs/>
          <w:i/>
          <w:lang w:eastAsia="zh-CN"/>
        </w:rPr>
        <w:t>When SRS resource set is not configured to follow the indicated TCI state and separate TCI states are not assigned to its resources, a PL offset value is optionally configured in the SRS resource set configuration.</w:t>
      </w:r>
    </w:p>
    <w:p w14:paraId="387F4C9B" w14:textId="763EC8A3" w:rsidR="00F85F76" w:rsidRPr="00F85F76" w:rsidRDefault="00F85F76" w:rsidP="005200B5">
      <w:pPr>
        <w:numPr>
          <w:ilvl w:val="0"/>
          <w:numId w:val="40"/>
        </w:numPr>
        <w:rPr>
          <w:b/>
          <w:bCs/>
          <w:i/>
          <w:lang w:eastAsia="zh-CN"/>
        </w:rPr>
      </w:pPr>
      <w:r w:rsidRPr="00F85F76">
        <w:rPr>
          <w:b/>
          <w:bCs/>
          <w:i/>
          <w:lang w:eastAsia="zh-CN"/>
        </w:rPr>
        <w:t>The same MAC-CE that updates the pathloss offset value for joint or UL TCI state is also used to update the pathloss offset value in the SRS resource set configuration.</w:t>
      </w:r>
    </w:p>
    <w:p w14:paraId="04033AB7" w14:textId="00EA0C75" w:rsidR="00F85F76" w:rsidRPr="003B4DB2" w:rsidRDefault="00F85F76" w:rsidP="00F85F76">
      <w:pPr>
        <w:rPr>
          <w:b/>
          <w:i/>
          <w:kern w:val="2"/>
          <w:lang w:val="en-GB"/>
        </w:rPr>
      </w:pPr>
      <w:r w:rsidRPr="003B4DB2">
        <w:rPr>
          <w:b/>
          <w:bCs/>
          <w:i/>
          <w:lang w:eastAsia="zh-CN"/>
        </w:rPr>
        <w:t xml:space="preserve">Proposal </w:t>
      </w:r>
      <w:r>
        <w:rPr>
          <w:b/>
          <w:bCs/>
          <w:i/>
          <w:lang w:eastAsia="zh-CN"/>
        </w:rPr>
        <w:t>4</w:t>
      </w:r>
      <w:r w:rsidRPr="003B4DB2">
        <w:rPr>
          <w:b/>
          <w:bCs/>
          <w:i/>
          <w:lang w:eastAsia="zh-CN"/>
        </w:rPr>
        <w:t xml:space="preserve">: </w:t>
      </w:r>
      <w:r w:rsidRPr="00F85F76">
        <w:rPr>
          <w:b/>
          <w:bCs/>
          <w:i/>
          <w:lang w:eastAsia="zh-CN"/>
        </w:rPr>
        <w:t>When srs-PowerControlAdjustmentStates is set to separateClosedLoop in SRS resource set configuration and two separate SRS CLPC adjustment states are configured, a new RRC parameter can be introduced in the SRS resource set configuration to signal the applicable separate adjustment state.</w:t>
      </w:r>
    </w:p>
    <w:p w14:paraId="0AF0339C" w14:textId="08074322" w:rsidR="00F85F76" w:rsidRPr="00A23535" w:rsidRDefault="00F85F76" w:rsidP="00F85F76">
      <w:pPr>
        <w:rPr>
          <w:b/>
          <w:bCs/>
          <w:i/>
          <w:lang w:eastAsia="zh-CN"/>
        </w:rPr>
      </w:pPr>
      <w:r w:rsidRPr="00A23535">
        <w:rPr>
          <w:b/>
          <w:bCs/>
          <w:i/>
          <w:lang w:eastAsia="zh-CN"/>
        </w:rPr>
        <w:t xml:space="preserve">Proposal </w:t>
      </w:r>
      <w:r>
        <w:rPr>
          <w:b/>
          <w:bCs/>
          <w:i/>
          <w:lang w:eastAsia="zh-CN"/>
        </w:rPr>
        <w:t>5</w:t>
      </w:r>
      <w:r w:rsidRPr="00A23535">
        <w:rPr>
          <w:b/>
          <w:bCs/>
          <w:i/>
          <w:lang w:eastAsia="zh-CN"/>
        </w:rPr>
        <w:t xml:space="preserve">: </w:t>
      </w:r>
      <w:r w:rsidRPr="00F85F76">
        <w:rPr>
          <w:b/>
          <w:bCs/>
          <w:i/>
          <w:lang w:eastAsia="zh-CN"/>
        </w:rPr>
        <w:t>The SRS TPC command/closed-loop indicator in DCI format 1_1 applies only to the SRS(s) with CLPC adjustment state(s) separate from PUSCH that are configured on the CC where the DCI is received.</w:t>
      </w:r>
    </w:p>
    <w:p w14:paraId="3BF892D5" w14:textId="0458714B" w:rsidR="00F85F76" w:rsidRDefault="00F85F76" w:rsidP="00F85F76">
      <w:pPr>
        <w:rPr>
          <w:rFonts w:eastAsia="DengXian"/>
          <w:b/>
          <w:i/>
          <w:sz w:val="20"/>
          <w:lang w:eastAsia="zh-CN"/>
        </w:rPr>
      </w:pPr>
      <w:r w:rsidRPr="007124F2">
        <w:rPr>
          <w:b/>
          <w:i/>
          <w:lang w:eastAsia="zh-CN"/>
        </w:rPr>
        <w:t xml:space="preserve">Proposal 6: </w:t>
      </w:r>
      <w:r w:rsidRPr="00F85F76">
        <w:rPr>
          <w:b/>
          <w:i/>
          <w:lang w:eastAsia="zh-CN"/>
        </w:rPr>
        <w:t>RAN1 to discuss the necessity and the possible mechanism to avoid collision between SRS TPC command/closed-loop indicator between DCI 1_1 and DCI 2_3.</w:t>
      </w:r>
      <w:r>
        <w:rPr>
          <w:b/>
          <w:i/>
          <w:lang w:eastAsia="zh-CN"/>
        </w:rPr>
        <w:t xml:space="preserve"> </w:t>
      </w:r>
    </w:p>
    <w:p w14:paraId="3DD864C8" w14:textId="77777777" w:rsidR="00FF6327" w:rsidRPr="00903FED" w:rsidRDefault="00FF6327" w:rsidP="0043162D">
      <w:pPr>
        <w:rPr>
          <w:b/>
          <w:i/>
          <w:lang w:val="en-GB"/>
        </w:rPr>
      </w:pPr>
    </w:p>
    <w:p w14:paraId="1DB8281C" w14:textId="77777777" w:rsidR="0043162D" w:rsidRPr="00903FED" w:rsidRDefault="0043162D" w:rsidP="0043162D">
      <w:pPr>
        <w:pStyle w:val="Heading1"/>
        <w:rPr>
          <w:rFonts w:eastAsiaTheme="minorEastAsia"/>
          <w:lang w:val="en-GB" w:eastAsia="zh-CN"/>
        </w:rPr>
      </w:pPr>
      <w:r w:rsidRPr="00903FED">
        <w:rPr>
          <w:rFonts w:eastAsiaTheme="minorEastAsia"/>
          <w:lang w:val="en-GB" w:eastAsia="zh-CN"/>
        </w:rPr>
        <w:t>References</w:t>
      </w:r>
    </w:p>
    <w:p w14:paraId="42B113EB" w14:textId="4FDD08BC" w:rsidR="00D67149" w:rsidRPr="00A4193C" w:rsidRDefault="00FB4E6D">
      <w:pPr>
        <w:rPr>
          <w:lang w:val="en-GB" w:eastAsia="zh-CN"/>
        </w:rPr>
      </w:pPr>
      <w:r>
        <w:rPr>
          <w:rFonts w:hint="eastAsia"/>
          <w:lang w:val="en-GB" w:eastAsia="zh-CN"/>
        </w:rPr>
        <w:t>[</w:t>
      </w:r>
      <w:r w:rsidR="0037494E">
        <w:rPr>
          <w:lang w:val="en-GB" w:eastAsia="zh-CN"/>
        </w:rPr>
        <w:t>1</w:t>
      </w:r>
      <w:r>
        <w:rPr>
          <w:lang w:val="en-GB" w:eastAsia="zh-CN"/>
        </w:rPr>
        <w:t xml:space="preserve">] </w:t>
      </w:r>
      <w:r w:rsidRPr="00FD3159">
        <w:rPr>
          <w:rFonts w:eastAsiaTheme="minorEastAsia"/>
          <w:lang w:val="en-GB" w:eastAsia="zh-CN"/>
        </w:rPr>
        <w:t>Report of 3GPP TSG RAN WG1 meeting #11</w:t>
      </w:r>
      <w:r>
        <w:rPr>
          <w:rFonts w:eastAsiaTheme="minorEastAsia"/>
          <w:lang w:val="en-GB" w:eastAsia="zh-CN"/>
        </w:rPr>
        <w:t>8</w:t>
      </w:r>
      <w:r w:rsidR="0037494E">
        <w:rPr>
          <w:rFonts w:eastAsiaTheme="minorEastAsia"/>
          <w:lang w:val="en-GB" w:eastAsia="zh-CN"/>
        </w:rPr>
        <w:t>bis</w:t>
      </w:r>
    </w:p>
    <w:sectPr w:rsidR="00D67149" w:rsidRPr="00A4193C" w:rsidSect="00F018D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CA1F1" w14:textId="77777777" w:rsidR="008163B4" w:rsidRDefault="008163B4" w:rsidP="0043162D">
      <w:pPr>
        <w:spacing w:after="0"/>
      </w:pPr>
      <w:r>
        <w:separator/>
      </w:r>
    </w:p>
  </w:endnote>
  <w:endnote w:type="continuationSeparator" w:id="0">
    <w:p w14:paraId="58CDB0A6" w14:textId="77777777" w:rsidR="008163B4" w:rsidRDefault="008163B4"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E369F" w14:textId="77777777" w:rsidR="008163B4" w:rsidRDefault="008163B4" w:rsidP="0043162D">
      <w:pPr>
        <w:spacing w:after="0"/>
      </w:pPr>
      <w:r>
        <w:separator/>
      </w:r>
    </w:p>
  </w:footnote>
  <w:footnote w:type="continuationSeparator" w:id="0">
    <w:p w14:paraId="47E45129" w14:textId="77777777" w:rsidR="008163B4" w:rsidRDefault="008163B4"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SimSun" w:eastAsia="SimSun" w:hAnsi="SimSun"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830446"/>
    <w:multiLevelType w:val="hybridMultilevel"/>
    <w:tmpl w:val="4FB2B50E"/>
    <w:lvl w:ilvl="0" w:tplc="4E5CA9E4">
      <w:numFmt w:val="bullet"/>
      <w:lvlText w:val="-"/>
      <w:lvlJc w:val="left"/>
      <w:pPr>
        <w:ind w:left="836" w:hanging="420"/>
      </w:pPr>
      <w:rPr>
        <w:rFonts w:ascii="Times New Roman" w:eastAsia="MS Mincho" w:hAnsi="Times New Roman"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SimSun"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F306C5"/>
    <w:multiLevelType w:val="hybridMultilevel"/>
    <w:tmpl w:val="5156A2F0"/>
    <w:lvl w:ilvl="0" w:tplc="04090011">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7C389D"/>
    <w:multiLevelType w:val="hybridMultilevel"/>
    <w:tmpl w:val="5AF62048"/>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6B3C43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B212D"/>
    <w:multiLevelType w:val="hybridMultilevel"/>
    <w:tmpl w:val="1292EEC6"/>
    <w:lvl w:ilvl="0" w:tplc="05E217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5" w15:restartNumberingAfterBreak="0">
    <w:nsid w:val="5EF64306"/>
    <w:multiLevelType w:val="hybridMultilevel"/>
    <w:tmpl w:val="E39A36D2"/>
    <w:lvl w:ilvl="0" w:tplc="0A5235B8">
      <w:numFmt w:val="bullet"/>
      <w:lvlText w:val="-"/>
      <w:lvlJc w:val="left"/>
      <w:pPr>
        <w:ind w:left="420" w:hanging="420"/>
      </w:pPr>
      <w:rPr>
        <w:rFonts w:ascii="Yu Mincho" w:eastAsia="Yu Mincho" w:hAnsi="Yu Mincho"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B5822"/>
    <w:multiLevelType w:val="hybridMultilevel"/>
    <w:tmpl w:val="DB0CE7D4"/>
    <w:lvl w:ilvl="0" w:tplc="8D08140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3C39F2"/>
    <w:multiLevelType w:val="hybridMultilevel"/>
    <w:tmpl w:val="9B52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27"/>
  </w:num>
  <w:num w:numId="4">
    <w:abstractNumId w:val="19"/>
  </w:num>
  <w:num w:numId="5">
    <w:abstractNumId w:val="23"/>
  </w:num>
  <w:num w:numId="6">
    <w:abstractNumId w:val="24"/>
  </w:num>
  <w:num w:numId="7">
    <w:abstractNumId w:val="9"/>
  </w:num>
  <w:num w:numId="8">
    <w:abstractNumId w:val="0"/>
  </w:num>
  <w:num w:numId="9">
    <w:abstractNumId w:val="11"/>
  </w:num>
  <w:num w:numId="10">
    <w:abstractNumId w:val="11"/>
  </w:num>
  <w:num w:numId="11">
    <w:abstractNumId w:val="11"/>
  </w:num>
  <w:num w:numId="12">
    <w:abstractNumId w:val="14"/>
  </w:num>
  <w:num w:numId="13">
    <w:abstractNumId w:val="32"/>
  </w:num>
  <w:num w:numId="14">
    <w:abstractNumId w:val="16"/>
  </w:num>
  <w:num w:numId="15">
    <w:abstractNumId w:val="6"/>
  </w:num>
  <w:num w:numId="16">
    <w:abstractNumId w:val="4"/>
  </w:num>
  <w:num w:numId="17">
    <w:abstractNumId w:val="29"/>
  </w:num>
  <w:num w:numId="18">
    <w:abstractNumId w:val="10"/>
  </w:num>
  <w:num w:numId="19">
    <w:abstractNumId w:val="5"/>
  </w:num>
  <w:num w:numId="20">
    <w:abstractNumId w:val="22"/>
  </w:num>
  <w:num w:numId="21">
    <w:abstractNumId w:val="30"/>
  </w:num>
  <w:num w:numId="22">
    <w:abstractNumId w:val="35"/>
  </w:num>
  <w:num w:numId="23">
    <w:abstractNumId w:val="11"/>
    <w:lvlOverride w:ilvl="0">
      <w:startOverride w:val="3"/>
    </w:lvlOverride>
    <w:lvlOverride w:ilvl="1">
      <w:startOverride w:val="2"/>
    </w:lvlOverride>
  </w:num>
  <w:num w:numId="24">
    <w:abstractNumId w:val="18"/>
  </w:num>
  <w:num w:numId="25">
    <w:abstractNumId w:val="21"/>
  </w:num>
  <w:num w:numId="26">
    <w:abstractNumId w:val="3"/>
  </w:num>
  <w:num w:numId="27">
    <w:abstractNumId w:val="28"/>
  </w:num>
  <w:num w:numId="28">
    <w:abstractNumId w:val="7"/>
  </w:num>
  <w:num w:numId="29">
    <w:abstractNumId w:val="2"/>
  </w:num>
  <w:num w:numId="30">
    <w:abstractNumId w:val="34"/>
  </w:num>
  <w:num w:numId="31">
    <w:abstractNumId w:val="1"/>
  </w:num>
  <w:num w:numId="32">
    <w:abstractNumId w:val="31"/>
  </w:num>
  <w:num w:numId="33">
    <w:abstractNumId w:val="15"/>
  </w:num>
  <w:num w:numId="34">
    <w:abstractNumId w:val="33"/>
  </w:num>
  <w:num w:numId="35">
    <w:abstractNumId w:val="17"/>
  </w:num>
  <w:num w:numId="36">
    <w:abstractNumId w:val="20"/>
  </w:num>
  <w:num w:numId="37">
    <w:abstractNumId w:val="25"/>
  </w:num>
  <w:num w:numId="38">
    <w:abstractNumId w:val="26"/>
  </w:num>
  <w:num w:numId="39">
    <w:abstractNumId w:val="8"/>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666"/>
    <w:rsid w:val="0000417F"/>
    <w:rsid w:val="000048A6"/>
    <w:rsid w:val="0000607E"/>
    <w:rsid w:val="000064E1"/>
    <w:rsid w:val="00006656"/>
    <w:rsid w:val="00014386"/>
    <w:rsid w:val="0001484E"/>
    <w:rsid w:val="0001618D"/>
    <w:rsid w:val="00021212"/>
    <w:rsid w:val="00024073"/>
    <w:rsid w:val="000250FB"/>
    <w:rsid w:val="00025128"/>
    <w:rsid w:val="00025F37"/>
    <w:rsid w:val="00027458"/>
    <w:rsid w:val="000307D7"/>
    <w:rsid w:val="000329B1"/>
    <w:rsid w:val="00036B9A"/>
    <w:rsid w:val="000415FF"/>
    <w:rsid w:val="00042F34"/>
    <w:rsid w:val="0004325B"/>
    <w:rsid w:val="00045E6C"/>
    <w:rsid w:val="00046CB6"/>
    <w:rsid w:val="000472D5"/>
    <w:rsid w:val="0005017B"/>
    <w:rsid w:val="00050494"/>
    <w:rsid w:val="00051B00"/>
    <w:rsid w:val="00051E60"/>
    <w:rsid w:val="00060C14"/>
    <w:rsid w:val="00060F45"/>
    <w:rsid w:val="00061E74"/>
    <w:rsid w:val="000626B9"/>
    <w:rsid w:val="00062CA8"/>
    <w:rsid w:val="00066941"/>
    <w:rsid w:val="0007435C"/>
    <w:rsid w:val="00081216"/>
    <w:rsid w:val="00081594"/>
    <w:rsid w:val="00081DFD"/>
    <w:rsid w:val="00084633"/>
    <w:rsid w:val="00085DF6"/>
    <w:rsid w:val="000873C7"/>
    <w:rsid w:val="00090411"/>
    <w:rsid w:val="00092B74"/>
    <w:rsid w:val="000949E0"/>
    <w:rsid w:val="000A22DB"/>
    <w:rsid w:val="000A2A6B"/>
    <w:rsid w:val="000A5E80"/>
    <w:rsid w:val="000A63A1"/>
    <w:rsid w:val="000B069C"/>
    <w:rsid w:val="000B5BB7"/>
    <w:rsid w:val="000B69CF"/>
    <w:rsid w:val="000B7A51"/>
    <w:rsid w:val="000C4944"/>
    <w:rsid w:val="000C692E"/>
    <w:rsid w:val="000C7AE9"/>
    <w:rsid w:val="000D49E8"/>
    <w:rsid w:val="000D4A76"/>
    <w:rsid w:val="000D4E87"/>
    <w:rsid w:val="000E1F71"/>
    <w:rsid w:val="000E2481"/>
    <w:rsid w:val="000E396C"/>
    <w:rsid w:val="000E72B9"/>
    <w:rsid w:val="000F035D"/>
    <w:rsid w:val="000F07C4"/>
    <w:rsid w:val="000F2587"/>
    <w:rsid w:val="000F48D4"/>
    <w:rsid w:val="000F67C5"/>
    <w:rsid w:val="00101564"/>
    <w:rsid w:val="00102D17"/>
    <w:rsid w:val="00104F51"/>
    <w:rsid w:val="00114D8E"/>
    <w:rsid w:val="00115294"/>
    <w:rsid w:val="001169CF"/>
    <w:rsid w:val="00116BFF"/>
    <w:rsid w:val="00123E70"/>
    <w:rsid w:val="0012751E"/>
    <w:rsid w:val="00130548"/>
    <w:rsid w:val="00132C13"/>
    <w:rsid w:val="00133D40"/>
    <w:rsid w:val="001341CD"/>
    <w:rsid w:val="00134B7A"/>
    <w:rsid w:val="00136928"/>
    <w:rsid w:val="00137CB1"/>
    <w:rsid w:val="00141579"/>
    <w:rsid w:val="00141B7A"/>
    <w:rsid w:val="00141EE3"/>
    <w:rsid w:val="00143637"/>
    <w:rsid w:val="00143C16"/>
    <w:rsid w:val="0014720B"/>
    <w:rsid w:val="00150B07"/>
    <w:rsid w:val="001515F9"/>
    <w:rsid w:val="0015287A"/>
    <w:rsid w:val="0016290D"/>
    <w:rsid w:val="001664BC"/>
    <w:rsid w:val="00170811"/>
    <w:rsid w:val="00175489"/>
    <w:rsid w:val="00176886"/>
    <w:rsid w:val="001768C4"/>
    <w:rsid w:val="00177515"/>
    <w:rsid w:val="001779B1"/>
    <w:rsid w:val="00180945"/>
    <w:rsid w:val="00181586"/>
    <w:rsid w:val="00182150"/>
    <w:rsid w:val="0018244B"/>
    <w:rsid w:val="001841C4"/>
    <w:rsid w:val="00186A46"/>
    <w:rsid w:val="00187429"/>
    <w:rsid w:val="0019266B"/>
    <w:rsid w:val="00196B46"/>
    <w:rsid w:val="00197510"/>
    <w:rsid w:val="0019753C"/>
    <w:rsid w:val="0019797B"/>
    <w:rsid w:val="001A4E7A"/>
    <w:rsid w:val="001B21A1"/>
    <w:rsid w:val="001B448C"/>
    <w:rsid w:val="001B66B1"/>
    <w:rsid w:val="001C44BB"/>
    <w:rsid w:val="001D027C"/>
    <w:rsid w:val="001D1B56"/>
    <w:rsid w:val="001D791B"/>
    <w:rsid w:val="001D7D7A"/>
    <w:rsid w:val="001E01D6"/>
    <w:rsid w:val="001F251B"/>
    <w:rsid w:val="001F35A8"/>
    <w:rsid w:val="001F5AEA"/>
    <w:rsid w:val="00204AE4"/>
    <w:rsid w:val="00205DA7"/>
    <w:rsid w:val="00207E51"/>
    <w:rsid w:val="002105F9"/>
    <w:rsid w:val="00212422"/>
    <w:rsid w:val="00213512"/>
    <w:rsid w:val="00213C9D"/>
    <w:rsid w:val="002162E7"/>
    <w:rsid w:val="00216ED6"/>
    <w:rsid w:val="0021737D"/>
    <w:rsid w:val="00222AC1"/>
    <w:rsid w:val="002245FB"/>
    <w:rsid w:val="002250AD"/>
    <w:rsid w:val="00227066"/>
    <w:rsid w:val="0023062D"/>
    <w:rsid w:val="002356A8"/>
    <w:rsid w:val="00235761"/>
    <w:rsid w:val="002361DB"/>
    <w:rsid w:val="00245CF8"/>
    <w:rsid w:val="0025019B"/>
    <w:rsid w:val="002519BB"/>
    <w:rsid w:val="00251DC1"/>
    <w:rsid w:val="00254F1F"/>
    <w:rsid w:val="00256E4C"/>
    <w:rsid w:val="00261FCF"/>
    <w:rsid w:val="00263083"/>
    <w:rsid w:val="00263734"/>
    <w:rsid w:val="0026404D"/>
    <w:rsid w:val="0027279E"/>
    <w:rsid w:val="00274250"/>
    <w:rsid w:val="00274B6A"/>
    <w:rsid w:val="00274FB3"/>
    <w:rsid w:val="00277218"/>
    <w:rsid w:val="00280519"/>
    <w:rsid w:val="00280CC3"/>
    <w:rsid w:val="00281677"/>
    <w:rsid w:val="00283255"/>
    <w:rsid w:val="0028555C"/>
    <w:rsid w:val="00286F5A"/>
    <w:rsid w:val="00294E65"/>
    <w:rsid w:val="002954EB"/>
    <w:rsid w:val="00295782"/>
    <w:rsid w:val="00296ED3"/>
    <w:rsid w:val="00297920"/>
    <w:rsid w:val="002A14AE"/>
    <w:rsid w:val="002A1676"/>
    <w:rsid w:val="002A2423"/>
    <w:rsid w:val="002A606F"/>
    <w:rsid w:val="002A6242"/>
    <w:rsid w:val="002A6438"/>
    <w:rsid w:val="002A7497"/>
    <w:rsid w:val="002B131A"/>
    <w:rsid w:val="002B1FD3"/>
    <w:rsid w:val="002B46BA"/>
    <w:rsid w:val="002B6933"/>
    <w:rsid w:val="002B7DD6"/>
    <w:rsid w:val="002C1247"/>
    <w:rsid w:val="002C18B0"/>
    <w:rsid w:val="002C468C"/>
    <w:rsid w:val="002C7C6A"/>
    <w:rsid w:val="002C7E8C"/>
    <w:rsid w:val="002D0BB1"/>
    <w:rsid w:val="002D19E9"/>
    <w:rsid w:val="002D4158"/>
    <w:rsid w:val="002D70AA"/>
    <w:rsid w:val="002E0904"/>
    <w:rsid w:val="002E23EC"/>
    <w:rsid w:val="002E273E"/>
    <w:rsid w:val="002E4849"/>
    <w:rsid w:val="002F0225"/>
    <w:rsid w:val="002F1447"/>
    <w:rsid w:val="002F171D"/>
    <w:rsid w:val="002F2CAD"/>
    <w:rsid w:val="002F3884"/>
    <w:rsid w:val="002F48DD"/>
    <w:rsid w:val="002F5976"/>
    <w:rsid w:val="002F709E"/>
    <w:rsid w:val="00302797"/>
    <w:rsid w:val="00302F74"/>
    <w:rsid w:val="0030483D"/>
    <w:rsid w:val="0030503C"/>
    <w:rsid w:val="003054DF"/>
    <w:rsid w:val="00306A17"/>
    <w:rsid w:val="00306BAE"/>
    <w:rsid w:val="00306D7E"/>
    <w:rsid w:val="00311054"/>
    <w:rsid w:val="003129FA"/>
    <w:rsid w:val="00313C92"/>
    <w:rsid w:val="003156F9"/>
    <w:rsid w:val="0031703A"/>
    <w:rsid w:val="003210FC"/>
    <w:rsid w:val="00321905"/>
    <w:rsid w:val="00321A56"/>
    <w:rsid w:val="003226B5"/>
    <w:rsid w:val="00327550"/>
    <w:rsid w:val="003277D8"/>
    <w:rsid w:val="00331DC7"/>
    <w:rsid w:val="00332101"/>
    <w:rsid w:val="003325AD"/>
    <w:rsid w:val="00332D98"/>
    <w:rsid w:val="00333E31"/>
    <w:rsid w:val="00335012"/>
    <w:rsid w:val="00336829"/>
    <w:rsid w:val="00336DA5"/>
    <w:rsid w:val="0033775E"/>
    <w:rsid w:val="00340B5B"/>
    <w:rsid w:val="003411E9"/>
    <w:rsid w:val="00344BFB"/>
    <w:rsid w:val="0034557B"/>
    <w:rsid w:val="003511E2"/>
    <w:rsid w:val="003513D0"/>
    <w:rsid w:val="00354C71"/>
    <w:rsid w:val="00355477"/>
    <w:rsid w:val="00356144"/>
    <w:rsid w:val="003629C7"/>
    <w:rsid w:val="003653C5"/>
    <w:rsid w:val="00370395"/>
    <w:rsid w:val="003709FE"/>
    <w:rsid w:val="003728EF"/>
    <w:rsid w:val="003730CE"/>
    <w:rsid w:val="00373B4D"/>
    <w:rsid w:val="0037494E"/>
    <w:rsid w:val="0037500E"/>
    <w:rsid w:val="00377ACA"/>
    <w:rsid w:val="00377CD8"/>
    <w:rsid w:val="00380288"/>
    <w:rsid w:val="003812DF"/>
    <w:rsid w:val="00382081"/>
    <w:rsid w:val="0038287C"/>
    <w:rsid w:val="00391550"/>
    <w:rsid w:val="00391AF8"/>
    <w:rsid w:val="00392D83"/>
    <w:rsid w:val="003935A5"/>
    <w:rsid w:val="0039700C"/>
    <w:rsid w:val="003A1328"/>
    <w:rsid w:val="003A36EB"/>
    <w:rsid w:val="003B0089"/>
    <w:rsid w:val="003B25A0"/>
    <w:rsid w:val="003B3B3B"/>
    <w:rsid w:val="003B4DB2"/>
    <w:rsid w:val="003B73FC"/>
    <w:rsid w:val="003B791C"/>
    <w:rsid w:val="003B7D99"/>
    <w:rsid w:val="003C0421"/>
    <w:rsid w:val="003C0D93"/>
    <w:rsid w:val="003C1419"/>
    <w:rsid w:val="003C1884"/>
    <w:rsid w:val="003C2D7F"/>
    <w:rsid w:val="003C6654"/>
    <w:rsid w:val="003C66CD"/>
    <w:rsid w:val="003D1165"/>
    <w:rsid w:val="003D4956"/>
    <w:rsid w:val="003D4F41"/>
    <w:rsid w:val="003D62AE"/>
    <w:rsid w:val="003E11A8"/>
    <w:rsid w:val="003E2E36"/>
    <w:rsid w:val="003E31AC"/>
    <w:rsid w:val="003F00D9"/>
    <w:rsid w:val="003F045D"/>
    <w:rsid w:val="003F2F7C"/>
    <w:rsid w:val="003F50C3"/>
    <w:rsid w:val="003F54A0"/>
    <w:rsid w:val="003F5591"/>
    <w:rsid w:val="003F7FAC"/>
    <w:rsid w:val="004022CE"/>
    <w:rsid w:val="004028DA"/>
    <w:rsid w:val="004055ED"/>
    <w:rsid w:val="0040602B"/>
    <w:rsid w:val="00406613"/>
    <w:rsid w:val="00406D22"/>
    <w:rsid w:val="0040702F"/>
    <w:rsid w:val="0040788F"/>
    <w:rsid w:val="004128B7"/>
    <w:rsid w:val="004152AC"/>
    <w:rsid w:val="00415995"/>
    <w:rsid w:val="00415A83"/>
    <w:rsid w:val="00427C3A"/>
    <w:rsid w:val="00430D5B"/>
    <w:rsid w:val="0043162D"/>
    <w:rsid w:val="00431838"/>
    <w:rsid w:val="004341D9"/>
    <w:rsid w:val="00435366"/>
    <w:rsid w:val="00442692"/>
    <w:rsid w:val="00451B71"/>
    <w:rsid w:val="00452A43"/>
    <w:rsid w:val="00461946"/>
    <w:rsid w:val="00461E63"/>
    <w:rsid w:val="0046586A"/>
    <w:rsid w:val="00470D4A"/>
    <w:rsid w:val="00473510"/>
    <w:rsid w:val="0047506B"/>
    <w:rsid w:val="00484634"/>
    <w:rsid w:val="00485968"/>
    <w:rsid w:val="00490B17"/>
    <w:rsid w:val="00492A85"/>
    <w:rsid w:val="00493C31"/>
    <w:rsid w:val="00496764"/>
    <w:rsid w:val="00497BDF"/>
    <w:rsid w:val="004A5ACE"/>
    <w:rsid w:val="004A5D7B"/>
    <w:rsid w:val="004A6340"/>
    <w:rsid w:val="004A6E78"/>
    <w:rsid w:val="004A7787"/>
    <w:rsid w:val="004B0D27"/>
    <w:rsid w:val="004B1680"/>
    <w:rsid w:val="004B2C89"/>
    <w:rsid w:val="004B44AD"/>
    <w:rsid w:val="004B4E56"/>
    <w:rsid w:val="004B522F"/>
    <w:rsid w:val="004C19F6"/>
    <w:rsid w:val="004C35D2"/>
    <w:rsid w:val="004C6CDC"/>
    <w:rsid w:val="004C7A7A"/>
    <w:rsid w:val="004D1AA5"/>
    <w:rsid w:val="004D3D98"/>
    <w:rsid w:val="004D4FF1"/>
    <w:rsid w:val="004E6954"/>
    <w:rsid w:val="004E6A9B"/>
    <w:rsid w:val="004E7ECF"/>
    <w:rsid w:val="004F07DA"/>
    <w:rsid w:val="004F0E6A"/>
    <w:rsid w:val="004F5120"/>
    <w:rsid w:val="004F58B6"/>
    <w:rsid w:val="004F6393"/>
    <w:rsid w:val="00503E09"/>
    <w:rsid w:val="005149BC"/>
    <w:rsid w:val="005200B5"/>
    <w:rsid w:val="005221FA"/>
    <w:rsid w:val="005224C5"/>
    <w:rsid w:val="005227C4"/>
    <w:rsid w:val="00523FF7"/>
    <w:rsid w:val="00524EF3"/>
    <w:rsid w:val="00526458"/>
    <w:rsid w:val="005275A6"/>
    <w:rsid w:val="00542770"/>
    <w:rsid w:val="00542A9D"/>
    <w:rsid w:val="00545F27"/>
    <w:rsid w:val="0055150A"/>
    <w:rsid w:val="00552EBD"/>
    <w:rsid w:val="00556742"/>
    <w:rsid w:val="00560842"/>
    <w:rsid w:val="00562EC2"/>
    <w:rsid w:val="0056437C"/>
    <w:rsid w:val="005646FC"/>
    <w:rsid w:val="00564F62"/>
    <w:rsid w:val="005677CC"/>
    <w:rsid w:val="0057090C"/>
    <w:rsid w:val="00571797"/>
    <w:rsid w:val="00574232"/>
    <w:rsid w:val="00580DA1"/>
    <w:rsid w:val="0058216C"/>
    <w:rsid w:val="005825A4"/>
    <w:rsid w:val="0058474A"/>
    <w:rsid w:val="00584E75"/>
    <w:rsid w:val="0058625C"/>
    <w:rsid w:val="0058691C"/>
    <w:rsid w:val="00591D37"/>
    <w:rsid w:val="005948D1"/>
    <w:rsid w:val="00595FD8"/>
    <w:rsid w:val="00597120"/>
    <w:rsid w:val="00597F0F"/>
    <w:rsid w:val="005A1FE6"/>
    <w:rsid w:val="005A3AF3"/>
    <w:rsid w:val="005A46D1"/>
    <w:rsid w:val="005A51D1"/>
    <w:rsid w:val="005A596B"/>
    <w:rsid w:val="005B4853"/>
    <w:rsid w:val="005B7992"/>
    <w:rsid w:val="005C0203"/>
    <w:rsid w:val="005C25CF"/>
    <w:rsid w:val="005C3CAA"/>
    <w:rsid w:val="005D02BD"/>
    <w:rsid w:val="005D0D81"/>
    <w:rsid w:val="005D1231"/>
    <w:rsid w:val="005D59E4"/>
    <w:rsid w:val="005D7532"/>
    <w:rsid w:val="005D7AF2"/>
    <w:rsid w:val="005E2BBD"/>
    <w:rsid w:val="005F15D9"/>
    <w:rsid w:val="005F1A69"/>
    <w:rsid w:val="005F3419"/>
    <w:rsid w:val="005F34C7"/>
    <w:rsid w:val="005F4209"/>
    <w:rsid w:val="005F5267"/>
    <w:rsid w:val="005F5FD1"/>
    <w:rsid w:val="005F661B"/>
    <w:rsid w:val="00602E8A"/>
    <w:rsid w:val="0060362C"/>
    <w:rsid w:val="00603A32"/>
    <w:rsid w:val="00606289"/>
    <w:rsid w:val="006115AD"/>
    <w:rsid w:val="0061177A"/>
    <w:rsid w:val="00617391"/>
    <w:rsid w:val="00620CBF"/>
    <w:rsid w:val="00622AD8"/>
    <w:rsid w:val="006232E3"/>
    <w:rsid w:val="00623EFB"/>
    <w:rsid w:val="00625170"/>
    <w:rsid w:val="00627866"/>
    <w:rsid w:val="00627AEA"/>
    <w:rsid w:val="006307AE"/>
    <w:rsid w:val="00645985"/>
    <w:rsid w:val="006464ED"/>
    <w:rsid w:val="0065072D"/>
    <w:rsid w:val="0065088C"/>
    <w:rsid w:val="00650D8C"/>
    <w:rsid w:val="00653656"/>
    <w:rsid w:val="00653B1C"/>
    <w:rsid w:val="006547E6"/>
    <w:rsid w:val="00654D21"/>
    <w:rsid w:val="00655A69"/>
    <w:rsid w:val="006568A7"/>
    <w:rsid w:val="006606F1"/>
    <w:rsid w:val="006634A2"/>
    <w:rsid w:val="00663DB7"/>
    <w:rsid w:val="00673C9D"/>
    <w:rsid w:val="00683CC7"/>
    <w:rsid w:val="00683D4B"/>
    <w:rsid w:val="00685FD0"/>
    <w:rsid w:val="006919E9"/>
    <w:rsid w:val="00692704"/>
    <w:rsid w:val="00694192"/>
    <w:rsid w:val="00694706"/>
    <w:rsid w:val="0069646B"/>
    <w:rsid w:val="00697CFA"/>
    <w:rsid w:val="006A07A4"/>
    <w:rsid w:val="006A26F6"/>
    <w:rsid w:val="006A2B1A"/>
    <w:rsid w:val="006A371B"/>
    <w:rsid w:val="006A4312"/>
    <w:rsid w:val="006A4625"/>
    <w:rsid w:val="006A53D6"/>
    <w:rsid w:val="006A7159"/>
    <w:rsid w:val="006B4035"/>
    <w:rsid w:val="006B4C93"/>
    <w:rsid w:val="006B55DE"/>
    <w:rsid w:val="006C0702"/>
    <w:rsid w:val="006C2587"/>
    <w:rsid w:val="006C4878"/>
    <w:rsid w:val="006C7F9E"/>
    <w:rsid w:val="006D46BD"/>
    <w:rsid w:val="006D52C6"/>
    <w:rsid w:val="006D66A6"/>
    <w:rsid w:val="006E00B0"/>
    <w:rsid w:val="006E1984"/>
    <w:rsid w:val="006E233B"/>
    <w:rsid w:val="006E307E"/>
    <w:rsid w:val="006E4A85"/>
    <w:rsid w:val="006E77D4"/>
    <w:rsid w:val="006F0C11"/>
    <w:rsid w:val="006F1C92"/>
    <w:rsid w:val="006F54DF"/>
    <w:rsid w:val="006F5DB1"/>
    <w:rsid w:val="00700C03"/>
    <w:rsid w:val="00701C99"/>
    <w:rsid w:val="00702524"/>
    <w:rsid w:val="00702A37"/>
    <w:rsid w:val="00705AED"/>
    <w:rsid w:val="007063C0"/>
    <w:rsid w:val="00706695"/>
    <w:rsid w:val="00711D6B"/>
    <w:rsid w:val="00715B70"/>
    <w:rsid w:val="0071770F"/>
    <w:rsid w:val="007236C4"/>
    <w:rsid w:val="00725293"/>
    <w:rsid w:val="00726BBA"/>
    <w:rsid w:val="00734532"/>
    <w:rsid w:val="0073475A"/>
    <w:rsid w:val="00742241"/>
    <w:rsid w:val="00745EA7"/>
    <w:rsid w:val="007532E9"/>
    <w:rsid w:val="00756D75"/>
    <w:rsid w:val="007636AB"/>
    <w:rsid w:val="00766835"/>
    <w:rsid w:val="00771C4E"/>
    <w:rsid w:val="00782961"/>
    <w:rsid w:val="007839E5"/>
    <w:rsid w:val="00783AB5"/>
    <w:rsid w:val="0078791A"/>
    <w:rsid w:val="007917BC"/>
    <w:rsid w:val="00793305"/>
    <w:rsid w:val="007A08ED"/>
    <w:rsid w:val="007A2232"/>
    <w:rsid w:val="007A242D"/>
    <w:rsid w:val="007A4ABE"/>
    <w:rsid w:val="007A5101"/>
    <w:rsid w:val="007A6FA3"/>
    <w:rsid w:val="007A7095"/>
    <w:rsid w:val="007B2DC7"/>
    <w:rsid w:val="007B497C"/>
    <w:rsid w:val="007B7CAD"/>
    <w:rsid w:val="007C3611"/>
    <w:rsid w:val="007C4B99"/>
    <w:rsid w:val="007C6768"/>
    <w:rsid w:val="007D7608"/>
    <w:rsid w:val="007D7C3C"/>
    <w:rsid w:val="007E40F3"/>
    <w:rsid w:val="007F189C"/>
    <w:rsid w:val="007F6133"/>
    <w:rsid w:val="007F6761"/>
    <w:rsid w:val="00801995"/>
    <w:rsid w:val="00804BD4"/>
    <w:rsid w:val="0080654A"/>
    <w:rsid w:val="00810E0B"/>
    <w:rsid w:val="008145CC"/>
    <w:rsid w:val="00814671"/>
    <w:rsid w:val="008163B4"/>
    <w:rsid w:val="008165CF"/>
    <w:rsid w:val="00816C42"/>
    <w:rsid w:val="008221FE"/>
    <w:rsid w:val="00825CFD"/>
    <w:rsid w:val="0082655E"/>
    <w:rsid w:val="00826D6B"/>
    <w:rsid w:val="00827691"/>
    <w:rsid w:val="00830D81"/>
    <w:rsid w:val="0083206C"/>
    <w:rsid w:val="00834596"/>
    <w:rsid w:val="00835E7F"/>
    <w:rsid w:val="00836EA8"/>
    <w:rsid w:val="008378D0"/>
    <w:rsid w:val="008441E8"/>
    <w:rsid w:val="00846A72"/>
    <w:rsid w:val="00852A23"/>
    <w:rsid w:val="00862F75"/>
    <w:rsid w:val="008656E8"/>
    <w:rsid w:val="008704E0"/>
    <w:rsid w:val="008704E8"/>
    <w:rsid w:val="008726F0"/>
    <w:rsid w:val="00872848"/>
    <w:rsid w:val="008755CD"/>
    <w:rsid w:val="008813CE"/>
    <w:rsid w:val="00881AF9"/>
    <w:rsid w:val="00882B04"/>
    <w:rsid w:val="00884C2B"/>
    <w:rsid w:val="008856CD"/>
    <w:rsid w:val="00885C9C"/>
    <w:rsid w:val="00892413"/>
    <w:rsid w:val="00892DA1"/>
    <w:rsid w:val="00893090"/>
    <w:rsid w:val="00896507"/>
    <w:rsid w:val="008A2230"/>
    <w:rsid w:val="008A52AC"/>
    <w:rsid w:val="008A5DC9"/>
    <w:rsid w:val="008A7035"/>
    <w:rsid w:val="008B0322"/>
    <w:rsid w:val="008B653D"/>
    <w:rsid w:val="008C2C20"/>
    <w:rsid w:val="008C33A3"/>
    <w:rsid w:val="008C4DF4"/>
    <w:rsid w:val="008D04FA"/>
    <w:rsid w:val="008D0505"/>
    <w:rsid w:val="008D0910"/>
    <w:rsid w:val="008D0AE1"/>
    <w:rsid w:val="008D1DAE"/>
    <w:rsid w:val="008D20C7"/>
    <w:rsid w:val="008D41ED"/>
    <w:rsid w:val="008D54D4"/>
    <w:rsid w:val="008D6A3C"/>
    <w:rsid w:val="008D7CFC"/>
    <w:rsid w:val="008E212A"/>
    <w:rsid w:val="008E311A"/>
    <w:rsid w:val="008F0B24"/>
    <w:rsid w:val="008F77C7"/>
    <w:rsid w:val="008F7866"/>
    <w:rsid w:val="00902E0B"/>
    <w:rsid w:val="00904306"/>
    <w:rsid w:val="00911F35"/>
    <w:rsid w:val="009123CC"/>
    <w:rsid w:val="009140D0"/>
    <w:rsid w:val="0091757D"/>
    <w:rsid w:val="009176C8"/>
    <w:rsid w:val="00926DAE"/>
    <w:rsid w:val="00926EAE"/>
    <w:rsid w:val="00927FE8"/>
    <w:rsid w:val="0093044F"/>
    <w:rsid w:val="00930615"/>
    <w:rsid w:val="009308F4"/>
    <w:rsid w:val="009313F7"/>
    <w:rsid w:val="00934CB7"/>
    <w:rsid w:val="00934DFD"/>
    <w:rsid w:val="00934FB3"/>
    <w:rsid w:val="00935C4E"/>
    <w:rsid w:val="00941795"/>
    <w:rsid w:val="0094248A"/>
    <w:rsid w:val="009435CD"/>
    <w:rsid w:val="00944FC8"/>
    <w:rsid w:val="009545D4"/>
    <w:rsid w:val="0096453F"/>
    <w:rsid w:val="00970C68"/>
    <w:rsid w:val="00971153"/>
    <w:rsid w:val="00973271"/>
    <w:rsid w:val="00981038"/>
    <w:rsid w:val="00981D32"/>
    <w:rsid w:val="00981E22"/>
    <w:rsid w:val="00982244"/>
    <w:rsid w:val="009844EA"/>
    <w:rsid w:val="009855DB"/>
    <w:rsid w:val="00986817"/>
    <w:rsid w:val="0099044A"/>
    <w:rsid w:val="00991B21"/>
    <w:rsid w:val="00993518"/>
    <w:rsid w:val="00994AAD"/>
    <w:rsid w:val="00995058"/>
    <w:rsid w:val="009956DC"/>
    <w:rsid w:val="00997E7D"/>
    <w:rsid w:val="009A03D7"/>
    <w:rsid w:val="009A0F24"/>
    <w:rsid w:val="009A10AC"/>
    <w:rsid w:val="009A38D7"/>
    <w:rsid w:val="009A5A5A"/>
    <w:rsid w:val="009A7FFD"/>
    <w:rsid w:val="009B0CCE"/>
    <w:rsid w:val="009B1C51"/>
    <w:rsid w:val="009B2619"/>
    <w:rsid w:val="009B348C"/>
    <w:rsid w:val="009C1863"/>
    <w:rsid w:val="009D3081"/>
    <w:rsid w:val="009D50A3"/>
    <w:rsid w:val="009D6E07"/>
    <w:rsid w:val="009E0B5D"/>
    <w:rsid w:val="009E43B1"/>
    <w:rsid w:val="009E4CFF"/>
    <w:rsid w:val="009E5058"/>
    <w:rsid w:val="009F0AE4"/>
    <w:rsid w:val="009F2C1E"/>
    <w:rsid w:val="00A01549"/>
    <w:rsid w:val="00A02E23"/>
    <w:rsid w:val="00A02E5C"/>
    <w:rsid w:val="00A03454"/>
    <w:rsid w:val="00A042C0"/>
    <w:rsid w:val="00A044D4"/>
    <w:rsid w:val="00A04DFE"/>
    <w:rsid w:val="00A052D7"/>
    <w:rsid w:val="00A07FF5"/>
    <w:rsid w:val="00A202AF"/>
    <w:rsid w:val="00A20FC7"/>
    <w:rsid w:val="00A22108"/>
    <w:rsid w:val="00A225DC"/>
    <w:rsid w:val="00A23535"/>
    <w:rsid w:val="00A237B3"/>
    <w:rsid w:val="00A26354"/>
    <w:rsid w:val="00A31E04"/>
    <w:rsid w:val="00A4193C"/>
    <w:rsid w:val="00A433B4"/>
    <w:rsid w:val="00A446D8"/>
    <w:rsid w:val="00A4632F"/>
    <w:rsid w:val="00A50501"/>
    <w:rsid w:val="00A51C4F"/>
    <w:rsid w:val="00A55801"/>
    <w:rsid w:val="00A559A3"/>
    <w:rsid w:val="00A57387"/>
    <w:rsid w:val="00A61888"/>
    <w:rsid w:val="00A70481"/>
    <w:rsid w:val="00A727C3"/>
    <w:rsid w:val="00A7285D"/>
    <w:rsid w:val="00A7653D"/>
    <w:rsid w:val="00A808F3"/>
    <w:rsid w:val="00A81E10"/>
    <w:rsid w:val="00A8395B"/>
    <w:rsid w:val="00A91190"/>
    <w:rsid w:val="00A92517"/>
    <w:rsid w:val="00A932D8"/>
    <w:rsid w:val="00A9438B"/>
    <w:rsid w:val="00A94A86"/>
    <w:rsid w:val="00AA5DA3"/>
    <w:rsid w:val="00AA620B"/>
    <w:rsid w:val="00AA6DF6"/>
    <w:rsid w:val="00AA7C7F"/>
    <w:rsid w:val="00AB1734"/>
    <w:rsid w:val="00AB326B"/>
    <w:rsid w:val="00AB340A"/>
    <w:rsid w:val="00AB7D4C"/>
    <w:rsid w:val="00AC1B2A"/>
    <w:rsid w:val="00AC2B87"/>
    <w:rsid w:val="00AC3091"/>
    <w:rsid w:val="00AC30B0"/>
    <w:rsid w:val="00AC634F"/>
    <w:rsid w:val="00AD1ED8"/>
    <w:rsid w:val="00AD4AF8"/>
    <w:rsid w:val="00AD6AD8"/>
    <w:rsid w:val="00AE1268"/>
    <w:rsid w:val="00AE3D1F"/>
    <w:rsid w:val="00AE7837"/>
    <w:rsid w:val="00AE7C00"/>
    <w:rsid w:val="00AF1109"/>
    <w:rsid w:val="00AF1C6B"/>
    <w:rsid w:val="00AF2B3F"/>
    <w:rsid w:val="00AF37F6"/>
    <w:rsid w:val="00AF42DF"/>
    <w:rsid w:val="00AF6064"/>
    <w:rsid w:val="00AF60ED"/>
    <w:rsid w:val="00B00B50"/>
    <w:rsid w:val="00B059C4"/>
    <w:rsid w:val="00B118F5"/>
    <w:rsid w:val="00B14678"/>
    <w:rsid w:val="00B14DFD"/>
    <w:rsid w:val="00B204CC"/>
    <w:rsid w:val="00B21592"/>
    <w:rsid w:val="00B220F4"/>
    <w:rsid w:val="00B23F4F"/>
    <w:rsid w:val="00B30570"/>
    <w:rsid w:val="00B3431B"/>
    <w:rsid w:val="00B350EF"/>
    <w:rsid w:val="00B356A6"/>
    <w:rsid w:val="00B37948"/>
    <w:rsid w:val="00B4429E"/>
    <w:rsid w:val="00B52526"/>
    <w:rsid w:val="00B60BB4"/>
    <w:rsid w:val="00B667FA"/>
    <w:rsid w:val="00B66D3B"/>
    <w:rsid w:val="00B67C0A"/>
    <w:rsid w:val="00B71E10"/>
    <w:rsid w:val="00B8043A"/>
    <w:rsid w:val="00B8067C"/>
    <w:rsid w:val="00B84103"/>
    <w:rsid w:val="00B846F2"/>
    <w:rsid w:val="00B84FE9"/>
    <w:rsid w:val="00B861C6"/>
    <w:rsid w:val="00B87906"/>
    <w:rsid w:val="00B906A0"/>
    <w:rsid w:val="00B92C4A"/>
    <w:rsid w:val="00B92D3A"/>
    <w:rsid w:val="00B93A72"/>
    <w:rsid w:val="00B9703E"/>
    <w:rsid w:val="00BA2709"/>
    <w:rsid w:val="00BA6FFF"/>
    <w:rsid w:val="00BA7152"/>
    <w:rsid w:val="00BA71BC"/>
    <w:rsid w:val="00BA74B3"/>
    <w:rsid w:val="00BB77C2"/>
    <w:rsid w:val="00BC2C91"/>
    <w:rsid w:val="00BC390E"/>
    <w:rsid w:val="00BC3CE9"/>
    <w:rsid w:val="00BD710D"/>
    <w:rsid w:val="00BE28A6"/>
    <w:rsid w:val="00BE30AE"/>
    <w:rsid w:val="00BE5252"/>
    <w:rsid w:val="00BF16CD"/>
    <w:rsid w:val="00BF1829"/>
    <w:rsid w:val="00BF2CF8"/>
    <w:rsid w:val="00BF3CE9"/>
    <w:rsid w:val="00BF441D"/>
    <w:rsid w:val="00BF4F23"/>
    <w:rsid w:val="00BF5A40"/>
    <w:rsid w:val="00C01AB0"/>
    <w:rsid w:val="00C02E63"/>
    <w:rsid w:val="00C02E92"/>
    <w:rsid w:val="00C04F50"/>
    <w:rsid w:val="00C06525"/>
    <w:rsid w:val="00C117C6"/>
    <w:rsid w:val="00C124A3"/>
    <w:rsid w:val="00C13DDD"/>
    <w:rsid w:val="00C14380"/>
    <w:rsid w:val="00C16365"/>
    <w:rsid w:val="00C1652C"/>
    <w:rsid w:val="00C20B50"/>
    <w:rsid w:val="00C21AB9"/>
    <w:rsid w:val="00C21F93"/>
    <w:rsid w:val="00C300EC"/>
    <w:rsid w:val="00C34073"/>
    <w:rsid w:val="00C3558B"/>
    <w:rsid w:val="00C3725E"/>
    <w:rsid w:val="00C37446"/>
    <w:rsid w:val="00C408BC"/>
    <w:rsid w:val="00C41FB8"/>
    <w:rsid w:val="00C4202E"/>
    <w:rsid w:val="00C51F2E"/>
    <w:rsid w:val="00C539A8"/>
    <w:rsid w:val="00C53DE7"/>
    <w:rsid w:val="00C540DE"/>
    <w:rsid w:val="00C5417A"/>
    <w:rsid w:val="00C54FDD"/>
    <w:rsid w:val="00C6055A"/>
    <w:rsid w:val="00C61A26"/>
    <w:rsid w:val="00C62282"/>
    <w:rsid w:val="00C63805"/>
    <w:rsid w:val="00C6467F"/>
    <w:rsid w:val="00C64ADA"/>
    <w:rsid w:val="00C6547D"/>
    <w:rsid w:val="00C76A44"/>
    <w:rsid w:val="00C77636"/>
    <w:rsid w:val="00C808C7"/>
    <w:rsid w:val="00C84AF4"/>
    <w:rsid w:val="00C8581E"/>
    <w:rsid w:val="00C86ADC"/>
    <w:rsid w:val="00C92402"/>
    <w:rsid w:val="00C939AF"/>
    <w:rsid w:val="00C945D3"/>
    <w:rsid w:val="00C947B2"/>
    <w:rsid w:val="00C94CEC"/>
    <w:rsid w:val="00C966D5"/>
    <w:rsid w:val="00C96E03"/>
    <w:rsid w:val="00CA77D6"/>
    <w:rsid w:val="00CA7B7F"/>
    <w:rsid w:val="00CB082B"/>
    <w:rsid w:val="00CB0CDB"/>
    <w:rsid w:val="00CB2EFF"/>
    <w:rsid w:val="00CB5E3B"/>
    <w:rsid w:val="00CC14C3"/>
    <w:rsid w:val="00CC3732"/>
    <w:rsid w:val="00CC3961"/>
    <w:rsid w:val="00CC3978"/>
    <w:rsid w:val="00CC43F6"/>
    <w:rsid w:val="00CC44A2"/>
    <w:rsid w:val="00CD088D"/>
    <w:rsid w:val="00CD5F3B"/>
    <w:rsid w:val="00CE2981"/>
    <w:rsid w:val="00CE3016"/>
    <w:rsid w:val="00CE6C46"/>
    <w:rsid w:val="00CF44DB"/>
    <w:rsid w:val="00CF72BF"/>
    <w:rsid w:val="00D01743"/>
    <w:rsid w:val="00D02229"/>
    <w:rsid w:val="00D02848"/>
    <w:rsid w:val="00D05451"/>
    <w:rsid w:val="00D06A8C"/>
    <w:rsid w:val="00D07006"/>
    <w:rsid w:val="00D079A0"/>
    <w:rsid w:val="00D120D2"/>
    <w:rsid w:val="00D12774"/>
    <w:rsid w:val="00D16821"/>
    <w:rsid w:val="00D21346"/>
    <w:rsid w:val="00D23C1A"/>
    <w:rsid w:val="00D263A7"/>
    <w:rsid w:val="00D30146"/>
    <w:rsid w:val="00D3656C"/>
    <w:rsid w:val="00D366A9"/>
    <w:rsid w:val="00D401DD"/>
    <w:rsid w:val="00D402C3"/>
    <w:rsid w:val="00D422C3"/>
    <w:rsid w:val="00D42C5A"/>
    <w:rsid w:val="00D46E5F"/>
    <w:rsid w:val="00D50E4C"/>
    <w:rsid w:val="00D51907"/>
    <w:rsid w:val="00D53FA1"/>
    <w:rsid w:val="00D619BC"/>
    <w:rsid w:val="00D62A6B"/>
    <w:rsid w:val="00D64B68"/>
    <w:rsid w:val="00D652AB"/>
    <w:rsid w:val="00D66762"/>
    <w:rsid w:val="00D67149"/>
    <w:rsid w:val="00D73BB8"/>
    <w:rsid w:val="00D73C6F"/>
    <w:rsid w:val="00D73F8A"/>
    <w:rsid w:val="00D740C0"/>
    <w:rsid w:val="00D74E35"/>
    <w:rsid w:val="00D7514F"/>
    <w:rsid w:val="00D76BC7"/>
    <w:rsid w:val="00D76D3D"/>
    <w:rsid w:val="00D77E02"/>
    <w:rsid w:val="00D806F9"/>
    <w:rsid w:val="00D81D6E"/>
    <w:rsid w:val="00D81ED5"/>
    <w:rsid w:val="00D82B33"/>
    <w:rsid w:val="00D847F1"/>
    <w:rsid w:val="00D849AD"/>
    <w:rsid w:val="00D84AA2"/>
    <w:rsid w:val="00D85D0D"/>
    <w:rsid w:val="00D86287"/>
    <w:rsid w:val="00D86549"/>
    <w:rsid w:val="00D8676D"/>
    <w:rsid w:val="00D87FC9"/>
    <w:rsid w:val="00D937CD"/>
    <w:rsid w:val="00D957E3"/>
    <w:rsid w:val="00DA1835"/>
    <w:rsid w:val="00DA2E24"/>
    <w:rsid w:val="00DA4815"/>
    <w:rsid w:val="00DA5AF5"/>
    <w:rsid w:val="00DA5CCA"/>
    <w:rsid w:val="00DB0473"/>
    <w:rsid w:val="00DB6F6E"/>
    <w:rsid w:val="00DC0983"/>
    <w:rsid w:val="00DC34CF"/>
    <w:rsid w:val="00DC5ACE"/>
    <w:rsid w:val="00DC7059"/>
    <w:rsid w:val="00DD1227"/>
    <w:rsid w:val="00DD1D9C"/>
    <w:rsid w:val="00DD6948"/>
    <w:rsid w:val="00DE2343"/>
    <w:rsid w:val="00DE31AF"/>
    <w:rsid w:val="00DE3DBB"/>
    <w:rsid w:val="00DF083B"/>
    <w:rsid w:val="00DF358F"/>
    <w:rsid w:val="00DF38A1"/>
    <w:rsid w:val="00E00B85"/>
    <w:rsid w:val="00E01251"/>
    <w:rsid w:val="00E0176D"/>
    <w:rsid w:val="00E01A3E"/>
    <w:rsid w:val="00E02180"/>
    <w:rsid w:val="00E02A99"/>
    <w:rsid w:val="00E03E5B"/>
    <w:rsid w:val="00E1261E"/>
    <w:rsid w:val="00E135B3"/>
    <w:rsid w:val="00E1606C"/>
    <w:rsid w:val="00E17C4B"/>
    <w:rsid w:val="00E17F4D"/>
    <w:rsid w:val="00E20D80"/>
    <w:rsid w:val="00E2184C"/>
    <w:rsid w:val="00E22293"/>
    <w:rsid w:val="00E23BED"/>
    <w:rsid w:val="00E32779"/>
    <w:rsid w:val="00E364B7"/>
    <w:rsid w:val="00E37B0D"/>
    <w:rsid w:val="00E40BC0"/>
    <w:rsid w:val="00E41FD8"/>
    <w:rsid w:val="00E42F20"/>
    <w:rsid w:val="00E47902"/>
    <w:rsid w:val="00E55B93"/>
    <w:rsid w:val="00E609E7"/>
    <w:rsid w:val="00E61038"/>
    <w:rsid w:val="00E63E7A"/>
    <w:rsid w:val="00E64B55"/>
    <w:rsid w:val="00E73359"/>
    <w:rsid w:val="00E759E3"/>
    <w:rsid w:val="00E75E2D"/>
    <w:rsid w:val="00E827F0"/>
    <w:rsid w:val="00E83E79"/>
    <w:rsid w:val="00E90AB5"/>
    <w:rsid w:val="00EA22DF"/>
    <w:rsid w:val="00EA535E"/>
    <w:rsid w:val="00EB1817"/>
    <w:rsid w:val="00EB1CD2"/>
    <w:rsid w:val="00EB271D"/>
    <w:rsid w:val="00EB4EB9"/>
    <w:rsid w:val="00EB6824"/>
    <w:rsid w:val="00EC0EE6"/>
    <w:rsid w:val="00EC55EB"/>
    <w:rsid w:val="00EC601C"/>
    <w:rsid w:val="00ED4225"/>
    <w:rsid w:val="00ED4371"/>
    <w:rsid w:val="00ED484D"/>
    <w:rsid w:val="00ED6A30"/>
    <w:rsid w:val="00ED6D4B"/>
    <w:rsid w:val="00ED76B5"/>
    <w:rsid w:val="00EE0F42"/>
    <w:rsid w:val="00EE1F9E"/>
    <w:rsid w:val="00EE3A4E"/>
    <w:rsid w:val="00EE4363"/>
    <w:rsid w:val="00EE620B"/>
    <w:rsid w:val="00EE63D6"/>
    <w:rsid w:val="00EE70E8"/>
    <w:rsid w:val="00EE7936"/>
    <w:rsid w:val="00EF2199"/>
    <w:rsid w:val="00EF293A"/>
    <w:rsid w:val="00EF2C6D"/>
    <w:rsid w:val="00EF6BC1"/>
    <w:rsid w:val="00F018DE"/>
    <w:rsid w:val="00F04C7D"/>
    <w:rsid w:val="00F069A8"/>
    <w:rsid w:val="00F071B4"/>
    <w:rsid w:val="00F11343"/>
    <w:rsid w:val="00F140F5"/>
    <w:rsid w:val="00F201CC"/>
    <w:rsid w:val="00F268E6"/>
    <w:rsid w:val="00F35050"/>
    <w:rsid w:val="00F360A8"/>
    <w:rsid w:val="00F37855"/>
    <w:rsid w:val="00F40B79"/>
    <w:rsid w:val="00F41270"/>
    <w:rsid w:val="00F41677"/>
    <w:rsid w:val="00F416AB"/>
    <w:rsid w:val="00F41FE7"/>
    <w:rsid w:val="00F444DD"/>
    <w:rsid w:val="00F51037"/>
    <w:rsid w:val="00F60A05"/>
    <w:rsid w:val="00F632E1"/>
    <w:rsid w:val="00F67EF8"/>
    <w:rsid w:val="00F713CF"/>
    <w:rsid w:val="00F733CB"/>
    <w:rsid w:val="00F761E2"/>
    <w:rsid w:val="00F85F76"/>
    <w:rsid w:val="00F8681A"/>
    <w:rsid w:val="00F96108"/>
    <w:rsid w:val="00FA0EAF"/>
    <w:rsid w:val="00FA29AA"/>
    <w:rsid w:val="00FA2A16"/>
    <w:rsid w:val="00FA361F"/>
    <w:rsid w:val="00FA3978"/>
    <w:rsid w:val="00FA3DA9"/>
    <w:rsid w:val="00FA7560"/>
    <w:rsid w:val="00FA760C"/>
    <w:rsid w:val="00FA7BDE"/>
    <w:rsid w:val="00FB3EF3"/>
    <w:rsid w:val="00FB4E6D"/>
    <w:rsid w:val="00FB5A47"/>
    <w:rsid w:val="00FB62BD"/>
    <w:rsid w:val="00FB6DDC"/>
    <w:rsid w:val="00FC0550"/>
    <w:rsid w:val="00FC2182"/>
    <w:rsid w:val="00FC2C2C"/>
    <w:rsid w:val="00FD1207"/>
    <w:rsid w:val="00FD19A1"/>
    <w:rsid w:val="00FD3159"/>
    <w:rsid w:val="00FD58B7"/>
    <w:rsid w:val="00FE0325"/>
    <w:rsid w:val="00FE1804"/>
    <w:rsid w:val="00FE28A4"/>
    <w:rsid w:val="00FE5B4A"/>
    <w:rsid w:val="00FF0268"/>
    <w:rsid w:val="00FF02BD"/>
    <w:rsid w:val="00FF03FE"/>
    <w:rsid w:val="00FF3C5F"/>
    <w:rsid w:val="00FF6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9C0F2620-30C3-4FD1-B5AA-9F5F78C9C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393"/>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basedOn w:val="TableNormal"/>
    <w:uiPriority w:val="39"/>
    <w:qFormat/>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FE0325"/>
    <w:rPr>
      <w:kern w:val="2"/>
      <w:sz w:val="20"/>
      <w:szCs w:val="20"/>
      <w:lang w:val="en-GB"/>
    </w:rPr>
  </w:style>
  <w:style w:type="character" w:customStyle="1" w:styleId="CommentTextChar">
    <w:name w:val="Comment Text Char"/>
    <w:basedOn w:val="DefaultParagraphFont"/>
    <w:link w:val="CommentText"/>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3162D"/>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3162D"/>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3162D"/>
    <w:rPr>
      <w:rFonts w:ascii="Times New Roman" w:eastAsia="SimSu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7D7C3C"/>
    <w:rPr>
      <w:sz w:val="16"/>
      <w:szCs w:val="16"/>
    </w:rPr>
  </w:style>
  <w:style w:type="paragraph" w:styleId="CommentSubject">
    <w:name w:val="annotation subject"/>
    <w:basedOn w:val="CommentText"/>
    <w:next w:val="CommentText"/>
    <w:link w:val="CommentSubjectChar"/>
    <w:uiPriority w:val="99"/>
    <w:semiHidden/>
    <w:unhideWhenUsed/>
    <w:rsid w:val="007D7C3C"/>
    <w:rPr>
      <w:b/>
      <w:bCs/>
      <w:kern w:val="0"/>
      <w:lang w:val="en-US"/>
    </w:rPr>
  </w:style>
  <w:style w:type="character" w:customStyle="1" w:styleId="CommentSubjectChar">
    <w:name w:val="Comment Subject Char"/>
    <w:basedOn w:val="CommentTextChar"/>
    <w:link w:val="CommentSubject"/>
    <w:uiPriority w:val="99"/>
    <w:semiHidden/>
    <w:rsid w:val="007D7C3C"/>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7D7C3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7C3C"/>
    <w:rPr>
      <w:rFonts w:ascii="Segoe UI" w:eastAsia="SimSun" w:hAnsi="Segoe UI" w:cs="Segoe UI"/>
      <w:kern w:val="0"/>
      <w:sz w:val="18"/>
      <w:szCs w:val="18"/>
      <w:lang w:eastAsia="en-US"/>
    </w:rPr>
  </w:style>
  <w:style w:type="paragraph" w:styleId="Revision">
    <w:name w:val="Revision"/>
    <w:hidden/>
    <w:uiPriority w:val="99"/>
    <w:semiHidden/>
    <w:rsid w:val="00E1261E"/>
    <w:rPr>
      <w:rFonts w:ascii="Times New Roman" w:eastAsia="SimSun" w:hAnsi="Times New Roman" w:cs="Times New Roman"/>
      <w:kern w:val="0"/>
      <w:sz w:val="22"/>
      <w:lang w:eastAsia="en-US"/>
    </w:rPr>
  </w:style>
  <w:style w:type="paragraph" w:styleId="NormalWeb">
    <w:name w:val="Normal (Web)"/>
    <w:basedOn w:val="Normal"/>
    <w:uiPriority w:val="99"/>
    <w:semiHidden/>
    <w:unhideWhenUsed/>
    <w:rsid w:val="00E41F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EndnoteText">
    <w:name w:val="endnote text"/>
    <w:basedOn w:val="Normal"/>
    <w:link w:val="EndnoteTextChar"/>
    <w:uiPriority w:val="99"/>
    <w:semiHidden/>
    <w:unhideWhenUsed/>
    <w:rsid w:val="00493C31"/>
    <w:pPr>
      <w:jc w:val="left"/>
    </w:pPr>
  </w:style>
  <w:style w:type="character" w:customStyle="1" w:styleId="EndnoteTextChar">
    <w:name w:val="Endnote Text Char"/>
    <w:basedOn w:val="DefaultParagraphFont"/>
    <w:link w:val="EndnoteText"/>
    <w:uiPriority w:val="99"/>
    <w:semiHidden/>
    <w:rsid w:val="00493C31"/>
    <w:rPr>
      <w:rFonts w:ascii="Times New Roman" w:eastAsia="SimSun" w:hAnsi="Times New Roman" w:cs="Times New Roman"/>
      <w:kern w:val="0"/>
      <w:sz w:val="22"/>
      <w:lang w:eastAsia="en-US"/>
    </w:rPr>
  </w:style>
  <w:style w:type="character" w:styleId="EndnoteReference">
    <w:name w:val="endnote reference"/>
    <w:basedOn w:val="DefaultParagraphFont"/>
    <w:uiPriority w:val="99"/>
    <w:semiHidden/>
    <w:unhideWhenUsed/>
    <w:rsid w:val="00493C31"/>
    <w:rPr>
      <w:vertAlign w:val="superscript"/>
    </w:rPr>
  </w:style>
  <w:style w:type="character" w:styleId="Hyperlink">
    <w:name w:val="Hyperlink"/>
    <w:uiPriority w:val="99"/>
    <w:qFormat/>
    <w:rsid w:val="0000417F"/>
    <w:rPr>
      <w:color w:val="0000FF"/>
      <w:u w:val="singl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0417F"/>
    <w:rPr>
      <w:rFonts w:eastAsia="SimSun"/>
      <w:lang w:eastAsia="ja-JP"/>
    </w:rPr>
  </w:style>
  <w:style w:type="character" w:styleId="PlaceholderText">
    <w:name w:val="Placeholder Text"/>
    <w:basedOn w:val="DefaultParagraphFont"/>
    <w:uiPriority w:val="99"/>
    <w:semiHidden/>
    <w:rsid w:val="001341CD"/>
    <w:rPr>
      <w:color w:val="808080"/>
    </w:rPr>
  </w:style>
  <w:style w:type="paragraph" w:customStyle="1" w:styleId="EQ">
    <w:name w:val="EQ"/>
    <w:basedOn w:val="Normal"/>
    <w:next w:val="Normal"/>
    <w:qFormat/>
    <w:rsid w:val="001341CD"/>
    <w:pPr>
      <w:keepLines/>
      <w:tabs>
        <w:tab w:val="center" w:pos="4536"/>
        <w:tab w:val="right" w:pos="9072"/>
      </w:tabs>
      <w:autoSpaceDE/>
      <w:autoSpaceDN/>
      <w:adjustRightInd/>
      <w:snapToGrid/>
      <w:spacing w:after="180"/>
      <w:jc w:val="left"/>
    </w:pPr>
    <w:rPr>
      <w:noProof/>
      <w:sz w:val="20"/>
      <w:szCs w:val="20"/>
      <w:lang w:val="en-GB"/>
    </w:rPr>
  </w:style>
  <w:style w:type="character" w:customStyle="1" w:styleId="0MaintextChar">
    <w:name w:val="0 Main text Char"/>
    <w:link w:val="0Maintext"/>
    <w:qFormat/>
    <w:locked/>
    <w:rsid w:val="006F54DF"/>
    <w:rPr>
      <w:rFonts w:ascii="Times New Roman" w:hAnsi="Times New Roman"/>
      <w:lang w:val="en-GB"/>
    </w:rPr>
  </w:style>
  <w:style w:type="paragraph" w:customStyle="1" w:styleId="0Maintext">
    <w:name w:val="0 Main text"/>
    <w:basedOn w:val="Normal"/>
    <w:link w:val="0MaintextChar"/>
    <w:qFormat/>
    <w:rsid w:val="006F54DF"/>
    <w:pPr>
      <w:autoSpaceDE/>
      <w:autoSpaceDN/>
      <w:adjustRightInd/>
      <w:snapToGrid/>
      <w:spacing w:after="0"/>
    </w:pPr>
    <w:rPr>
      <w:rFonts w:eastAsiaTheme="minorEastAsia" w:cstheme="minorBidi"/>
      <w:kern w:val="2"/>
      <w:sz w:val="21"/>
      <w:lang w:val="en-GB" w:eastAsia="zh-CN"/>
    </w:rPr>
  </w:style>
  <w:style w:type="character" w:customStyle="1" w:styleId="B1Zchn">
    <w:name w:val="B1 Zchn"/>
    <w:qFormat/>
    <w:rsid w:val="00C117C6"/>
    <w:rPr>
      <w:rFonts w:ascii="Times New Roman" w:eastAsia="SimSun" w:hAnsi="Times New Roman" w:cs="Times New Roman"/>
      <w:kern w:val="0"/>
      <w:sz w:val="20"/>
      <w:szCs w:val="20"/>
      <w:lang w:val="zh-CN" w:eastAsia="en-US"/>
      <w14:ligatures w14:val="none"/>
    </w:rPr>
  </w:style>
  <w:style w:type="character" w:customStyle="1" w:styleId="B2Char">
    <w:name w:val="B2 Char"/>
    <w:link w:val="B2"/>
    <w:qFormat/>
    <w:locked/>
    <w:rsid w:val="00FB4E6D"/>
    <w:rPr>
      <w:lang w:val="x-none" w:eastAsia="en-US"/>
    </w:rPr>
  </w:style>
  <w:style w:type="paragraph" w:customStyle="1" w:styleId="B2">
    <w:name w:val="B2"/>
    <w:basedOn w:val="Normal"/>
    <w:link w:val="B2Char"/>
    <w:qFormat/>
    <w:rsid w:val="00FB4E6D"/>
    <w:pPr>
      <w:autoSpaceDE/>
      <w:autoSpaceDN/>
      <w:adjustRightInd/>
      <w:snapToGrid/>
      <w:spacing w:after="180"/>
      <w:ind w:left="851" w:hanging="284"/>
      <w:jc w:val="left"/>
    </w:pPr>
    <w:rPr>
      <w:rFonts w:asciiTheme="minorHAnsi" w:eastAsiaTheme="minorEastAsia" w:hAnsiTheme="minorHAnsi" w:cstheme="minorBidi"/>
      <w:kern w:val="2"/>
      <w:sz w:val="21"/>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056538">
      <w:bodyDiv w:val="1"/>
      <w:marLeft w:val="0"/>
      <w:marRight w:val="0"/>
      <w:marTop w:val="0"/>
      <w:marBottom w:val="0"/>
      <w:divBdr>
        <w:top w:val="none" w:sz="0" w:space="0" w:color="auto"/>
        <w:left w:val="none" w:sz="0" w:space="0" w:color="auto"/>
        <w:bottom w:val="none" w:sz="0" w:space="0" w:color="auto"/>
        <w:right w:val="none" w:sz="0" w:space="0" w:color="auto"/>
      </w:divBdr>
    </w:div>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B0135-5106-45FA-BDFE-EF8AA19FF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4</cp:revision>
  <dcterms:created xsi:type="dcterms:W3CDTF">2024-11-07T18:45:00Z</dcterms:created>
  <dcterms:modified xsi:type="dcterms:W3CDTF">2024-11-08T16:14:00Z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(3)704wFI2vs7POek3uFeFndBPX3kMLLE9h03VyIN8eJ183I1qe4Cq10wNuMVo8JFW70JqGVbNj
5C/XgYck8hNDFmKAEPnVseg32jGb9y9P4T+duDApu+XNUvH14I0qtvhaP46WM9RRQgLv+6a2
9qVlqC8PngMWg9Ib8iDCycbZJJL7lpjT4DvgI8CVEWH+NcMiLztLrOy9jSvTEl9q+wtzUudA
DJinPxBX9QNyxctlgm</vt:lpwstr>
  </property>
  <property fmtid="{D5CDD505-2E9C-101B-9397-08002B2CF9AE}" pid="3" name="_2015_ms_pID_7253431">
    <vt:lpwstr>dyRJzbiY+Vfp4T9JKp1PMYOrSDQpzBG+debej70RKHHmYcyfUUxYuR
sijlJ7i1YXqzkEItYzNvlDmLlKDFbE9+C/SD2VywWyvoD2NVeGjQNPVuTHQZeI4+3YIgc/kz
d9GJ85uJcKuNWoBVVJwyHNHzcg+k9BSWusUFJIXenf0Q3zoCi0vrm6InpwBVDQ/BU8YJuGlZ
c3crjotxAbqhC1grql45wEOFwCKP3G8jOgcb</vt:lpwstr>
  </property>
  <property fmtid="{D5CDD505-2E9C-101B-9397-08002B2CF9AE}" pid="4" name="_2015_ms_pID_7253432">
    <vt:lpwstr>DXWbuET7b1rnE+ieotjE7bU=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1723208868</vt:lpwstr>
  </property>
</Properties>
</file>