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snapToGrid/>
        <w:spacing w:before="0" w:beforeLines="0" w:after="0" w:line="240" w:lineRule="auto"/>
        <w:ind w:right="2"/>
        <w:jc w:val="left"/>
        <w:rPr>
          <w:rFonts w:ascii="Arial" w:hAnsi="Arial" w:cs="Arial"/>
          <w:b/>
          <w:bCs/>
          <w:sz w:val="24"/>
        </w:rPr>
      </w:pPr>
      <w:bookmarkStart w:id="0" w:name="_Hlk145670493"/>
      <w:bookmarkStart w:id="1" w:name="_Hlk117841894"/>
      <w:bookmarkStart w:id="2" w:name="OLE_LINK13"/>
      <w:bookmarkStart w:id="3" w:name="OLE_LINK12"/>
      <w:r>
        <w:rPr>
          <w:rFonts w:ascii="Arial" w:hAnsi="Arial" w:eastAsia="Batang" w:cs="Arial"/>
          <w:b/>
          <w:bCs/>
          <w:sz w:val="24"/>
          <w:lang w:val="en-GB" w:eastAsia="en-US"/>
        </w:rPr>
        <w:t>3GPP TSG RAN WG1 #11</w:t>
      </w:r>
      <w:r>
        <w:rPr>
          <w:rFonts w:hint="eastAsia" w:ascii="Arial" w:hAnsi="Arial" w:cs="Arial"/>
          <w:b/>
          <w:bCs/>
          <w:sz w:val="24"/>
        </w:rPr>
        <w:t xml:space="preserve">8  </w:t>
      </w:r>
      <w:r>
        <w:rPr>
          <w:rFonts w:ascii="Arial" w:hAnsi="Arial" w:cs="Arial"/>
          <w:b/>
          <w:bCs/>
          <w:sz w:val="24"/>
        </w:rPr>
        <w:t xml:space="preserve"> </w:t>
      </w:r>
      <w:r>
        <w:rPr>
          <w:rFonts w:hint="eastAsia" w:ascii="Arial" w:hAnsi="Arial" w:cs="Arial"/>
          <w:b/>
          <w:bCs/>
          <w:sz w:val="24"/>
        </w:rPr>
        <w:t xml:space="preserve">          </w:t>
      </w:r>
      <w:r>
        <w:rPr>
          <w:rFonts w:ascii="Arial" w:hAnsi="Arial" w:eastAsia="Batang" w:cs="Arial"/>
          <w:b/>
          <w:bCs/>
          <w:sz w:val="24"/>
          <w:lang w:val="en-GB" w:eastAsia="en-US"/>
        </w:rPr>
        <w:tab/>
      </w:r>
      <w:r>
        <w:rPr>
          <w:rFonts w:hint="eastAsia" w:ascii="Arial" w:hAnsi="Arial" w:cs="Arial"/>
          <w:b/>
          <w:bCs/>
          <w:sz w:val="24"/>
        </w:rPr>
        <w:t xml:space="preserve">                       </w:t>
      </w:r>
      <w:r>
        <w:rPr>
          <w:rFonts w:ascii="Arial" w:hAnsi="Arial" w:eastAsia="Batang" w:cs="Arial"/>
          <w:b/>
          <w:bCs/>
          <w:sz w:val="24"/>
          <w:lang w:val="en-GB" w:eastAsia="en-US"/>
        </w:rPr>
        <w:t>R1-</w:t>
      </w:r>
      <w:r>
        <w:rPr>
          <w:rFonts w:hint="eastAsia" w:ascii="Arial" w:hAnsi="Arial" w:eastAsia="Batang" w:cs="Arial"/>
          <w:b/>
          <w:bCs/>
          <w:sz w:val="24"/>
          <w:lang w:val="en-GB" w:eastAsia="en-US"/>
        </w:rPr>
        <w:t>24</w:t>
      </w:r>
      <w:r>
        <w:rPr>
          <w:rFonts w:hint="eastAsia" w:ascii="Arial" w:hAnsi="Arial" w:cs="Arial"/>
          <w:b/>
          <w:bCs/>
          <w:sz w:val="24"/>
        </w:rPr>
        <w:t>06413</w:t>
      </w:r>
    </w:p>
    <w:p>
      <w:pPr>
        <w:tabs>
          <w:tab w:val="center" w:pos="4536"/>
          <w:tab w:val="right" w:pos="9072"/>
        </w:tabs>
        <w:snapToGrid/>
        <w:spacing w:before="0" w:beforeLines="0" w:after="0" w:line="240" w:lineRule="auto"/>
        <w:jc w:val="left"/>
        <w:rPr>
          <w:rFonts w:ascii="Arial" w:hAnsi="Arial" w:eastAsia="MS Mincho" w:cs="Arial"/>
          <w:b/>
          <w:bCs/>
          <w:sz w:val="24"/>
          <w:lang w:val="en-GB" w:eastAsia="ja-JP"/>
        </w:rPr>
      </w:pPr>
      <w:r>
        <w:rPr>
          <w:rFonts w:hint="eastAsia" w:ascii="Arial" w:hAnsi="Arial" w:eastAsia="MS Mincho" w:cs="Arial"/>
          <w:b/>
          <w:bCs/>
          <w:sz w:val="24"/>
          <w:lang w:val="en-GB" w:eastAsia="ja-JP"/>
        </w:rPr>
        <w:t>Maastricht, NL, August 19</w:t>
      </w:r>
      <w:r>
        <w:rPr>
          <w:rFonts w:hint="eastAsia" w:ascii="Arial" w:hAnsi="Arial" w:eastAsia="MS Mincho" w:cs="Arial"/>
          <w:b/>
          <w:bCs/>
          <w:sz w:val="24"/>
          <w:vertAlign w:val="superscript"/>
          <w:lang w:val="en-GB" w:eastAsia="ja-JP"/>
        </w:rPr>
        <w:t>th</w:t>
      </w:r>
      <w:r>
        <w:rPr>
          <w:rFonts w:hint="eastAsia" w:ascii="Arial" w:hAnsi="Arial" w:eastAsia="MS Mincho" w:cs="Arial"/>
          <w:b/>
          <w:bCs/>
          <w:sz w:val="24"/>
          <w:lang w:val="en-GB" w:eastAsia="ja-JP"/>
        </w:rPr>
        <w:t xml:space="preserve"> – 23</w:t>
      </w:r>
      <w:r>
        <w:rPr>
          <w:rFonts w:hint="eastAsia" w:ascii="Arial" w:hAnsi="Arial" w:eastAsia="MS Mincho" w:cs="Arial"/>
          <w:b/>
          <w:bCs/>
          <w:sz w:val="24"/>
          <w:vertAlign w:val="superscript"/>
          <w:lang w:val="en-GB" w:eastAsia="ja-JP"/>
        </w:rPr>
        <w:t>rd</w:t>
      </w:r>
      <w:r>
        <w:rPr>
          <w:rFonts w:hint="eastAsia" w:ascii="Arial" w:hAnsi="Arial" w:eastAsia="MS Mincho" w:cs="Arial"/>
          <w:b/>
          <w:bCs/>
          <w:sz w:val="24"/>
          <w:lang w:val="en-GB" w:eastAsia="ja-JP"/>
        </w:rPr>
        <w:t>, 2024</w:t>
      </w:r>
    </w:p>
    <w:bookmarkEnd w:id="0"/>
    <w:p>
      <w:pPr>
        <w:spacing w:before="120" w:after="0"/>
        <w:jc w:val="left"/>
        <w:rPr>
          <w:szCs w:val="20"/>
        </w:rPr>
      </w:pPr>
    </w:p>
    <w:p>
      <w:pPr>
        <w:tabs>
          <w:tab w:val="left" w:pos="1985"/>
          <w:tab w:val="left" w:pos="2835"/>
          <w:tab w:val="right" w:pos="9072"/>
          <w:tab w:val="right" w:pos="10206"/>
        </w:tabs>
        <w:snapToGrid/>
        <w:spacing w:before="0" w:beforeLines="0" w:after="0" w:line="240" w:lineRule="auto"/>
        <w:jc w:val="left"/>
        <w:rPr>
          <w:rFonts w:ascii="Arial" w:hAnsi="Arial" w:eastAsia="Batang"/>
          <w:b/>
          <w:sz w:val="22"/>
          <w:szCs w:val="20"/>
          <w:lang w:val="en-GB" w:eastAsia="en-US"/>
        </w:rPr>
      </w:pPr>
      <w:r>
        <w:rPr>
          <w:rFonts w:ascii="Arial" w:hAnsi="Arial" w:eastAsia="Batang"/>
          <w:b/>
          <w:sz w:val="22"/>
          <w:szCs w:val="20"/>
          <w:lang w:val="en-GB" w:eastAsia="en-US"/>
        </w:rPr>
        <w:t xml:space="preserve">Source: </w:t>
      </w:r>
      <w:r>
        <w:rPr>
          <w:rFonts w:ascii="Arial" w:hAnsi="Arial" w:eastAsia="Batang"/>
          <w:b/>
          <w:sz w:val="22"/>
          <w:szCs w:val="20"/>
          <w:lang w:val="en-GB" w:eastAsia="en-US"/>
        </w:rPr>
        <w:tab/>
      </w:r>
      <w:r>
        <w:rPr>
          <w:rFonts w:ascii="Arial" w:hAnsi="Arial" w:eastAsia="Batang"/>
          <w:b/>
          <w:sz w:val="22"/>
          <w:szCs w:val="20"/>
          <w:lang w:bidi="ar"/>
        </w:rPr>
        <w:t>ZTE</w:t>
      </w:r>
      <w:r>
        <w:rPr>
          <w:rFonts w:hint="eastAsia" w:ascii="Arial" w:hAnsi="Arial"/>
          <w:b/>
          <w:sz w:val="22"/>
          <w:szCs w:val="20"/>
          <w:lang w:val="en-US" w:eastAsia="zh-CN" w:bidi="ar"/>
        </w:rPr>
        <w:t xml:space="preserve"> Corporation</w:t>
      </w:r>
      <w:r>
        <w:rPr>
          <w:rFonts w:ascii="Arial" w:hAnsi="Arial" w:eastAsia="Batang"/>
          <w:b/>
          <w:sz w:val="22"/>
          <w:szCs w:val="20"/>
          <w:lang w:bidi="ar"/>
        </w:rPr>
        <w:t>, Sanechips</w:t>
      </w:r>
    </w:p>
    <w:p>
      <w:pPr>
        <w:tabs>
          <w:tab w:val="left" w:pos="1985"/>
          <w:tab w:val="left" w:pos="2835"/>
          <w:tab w:val="right" w:pos="9072"/>
          <w:tab w:val="right" w:pos="10206"/>
        </w:tabs>
        <w:snapToGrid/>
        <w:spacing w:before="0" w:beforeLines="0" w:after="0" w:line="240" w:lineRule="auto"/>
        <w:jc w:val="left"/>
        <w:rPr>
          <w:rFonts w:ascii="Arial" w:hAnsi="Arial"/>
          <w:b/>
          <w:sz w:val="22"/>
          <w:szCs w:val="20"/>
          <w:lang w:bidi="ar"/>
        </w:rPr>
      </w:pPr>
      <w:r>
        <w:rPr>
          <w:rFonts w:ascii="Arial" w:hAnsi="Arial" w:eastAsia="Batang"/>
          <w:b/>
          <w:sz w:val="22"/>
          <w:szCs w:val="20"/>
          <w:lang w:val="en-GB" w:eastAsia="en-US"/>
        </w:rPr>
        <w:t>Title:</w:t>
      </w:r>
      <w:bookmarkStart w:id="4" w:name="Title"/>
      <w:bookmarkEnd w:id="4"/>
      <w:r>
        <w:rPr>
          <w:rFonts w:ascii="Arial" w:hAnsi="Arial" w:eastAsia="Batang"/>
          <w:b/>
          <w:sz w:val="22"/>
          <w:szCs w:val="20"/>
          <w:lang w:val="en-GB" w:eastAsia="en-US"/>
        </w:rPr>
        <w:tab/>
      </w:r>
      <w:r>
        <w:rPr>
          <w:rFonts w:hint="eastAsia" w:ascii="Arial" w:hAnsi="Arial"/>
          <w:b/>
          <w:sz w:val="22"/>
          <w:szCs w:val="20"/>
          <w:lang w:bidi="ar"/>
        </w:rPr>
        <w:t xml:space="preserve">Discussion on </w:t>
      </w:r>
      <w:r>
        <w:rPr>
          <w:rFonts w:ascii="Arial" w:hAnsi="Arial" w:eastAsia="Batang"/>
          <w:b/>
          <w:sz w:val="22"/>
          <w:szCs w:val="20"/>
          <w:lang w:bidi="ar"/>
        </w:rPr>
        <w:t xml:space="preserve">LP-WUS </w:t>
      </w:r>
      <w:r>
        <w:rPr>
          <w:rFonts w:hint="eastAsia" w:ascii="Arial" w:hAnsi="Arial"/>
          <w:b/>
          <w:sz w:val="22"/>
          <w:szCs w:val="20"/>
          <w:lang w:bidi="ar"/>
        </w:rPr>
        <w:t>operation in IDLE/INACTIVE mode</w:t>
      </w:r>
    </w:p>
    <w:p>
      <w:pPr>
        <w:tabs>
          <w:tab w:val="left" w:pos="1985"/>
          <w:tab w:val="left" w:pos="2835"/>
          <w:tab w:val="right" w:pos="9072"/>
          <w:tab w:val="right" w:pos="10206"/>
        </w:tabs>
        <w:snapToGrid/>
        <w:spacing w:before="0" w:beforeLines="0" w:after="0" w:line="240" w:lineRule="auto"/>
        <w:jc w:val="left"/>
        <w:rPr>
          <w:rFonts w:ascii="Arial" w:hAnsi="Arial"/>
          <w:b/>
          <w:sz w:val="22"/>
          <w:szCs w:val="20"/>
          <w:lang w:val="en-GB" w:eastAsia="en-US" w:bidi="ar"/>
        </w:rPr>
      </w:pPr>
      <w:r>
        <w:rPr>
          <w:rFonts w:hint="eastAsia" w:ascii="Arial" w:hAnsi="Arial"/>
          <w:b/>
          <w:sz w:val="22"/>
          <w:szCs w:val="20"/>
          <w:lang w:val="en-GB" w:eastAsia="en-US" w:bidi="ar"/>
        </w:rPr>
        <w:t xml:space="preserve">Agenda item: </w:t>
      </w:r>
      <w:r>
        <w:rPr>
          <w:rFonts w:hint="eastAsia" w:ascii="Arial" w:hAnsi="Arial"/>
          <w:b/>
          <w:sz w:val="22"/>
          <w:szCs w:val="20"/>
          <w:lang w:val="en-GB" w:eastAsia="en-US" w:bidi="ar"/>
        </w:rPr>
        <w:tab/>
      </w:r>
      <w:r>
        <w:rPr>
          <w:rFonts w:hint="eastAsia" w:ascii="Arial" w:hAnsi="Arial"/>
          <w:b/>
          <w:sz w:val="22"/>
          <w:szCs w:val="20"/>
          <w:lang w:val="en-GB" w:eastAsia="en-US" w:bidi="ar"/>
        </w:rPr>
        <w:t>9.6.2</w:t>
      </w:r>
    </w:p>
    <w:p>
      <w:pPr>
        <w:tabs>
          <w:tab w:val="left" w:pos="1985"/>
          <w:tab w:val="left" w:pos="2835"/>
          <w:tab w:val="right" w:pos="9072"/>
          <w:tab w:val="right" w:pos="10206"/>
        </w:tabs>
        <w:snapToGrid/>
        <w:spacing w:before="0" w:beforeLines="0" w:after="0" w:line="240" w:lineRule="auto"/>
        <w:jc w:val="left"/>
        <w:rPr>
          <w:rFonts w:ascii="Arial" w:hAnsi="Arial" w:eastAsia="Batang"/>
          <w:b/>
          <w:sz w:val="22"/>
          <w:szCs w:val="20"/>
          <w:lang w:val="en-GB" w:eastAsia="en-US"/>
        </w:rPr>
      </w:pPr>
      <w:r>
        <w:rPr>
          <w:rFonts w:ascii="Arial" w:hAnsi="Arial" w:eastAsia="Batang"/>
          <w:b/>
          <w:sz w:val="22"/>
          <w:szCs w:val="20"/>
          <w:lang w:val="en-GB" w:eastAsia="en-US"/>
        </w:rPr>
        <w:t>Document for:</w:t>
      </w:r>
      <w:r>
        <w:rPr>
          <w:rFonts w:ascii="Arial" w:hAnsi="Arial" w:eastAsia="Batang"/>
          <w:b/>
          <w:sz w:val="22"/>
          <w:szCs w:val="20"/>
          <w:lang w:val="en-GB" w:eastAsia="en-US"/>
        </w:rPr>
        <w:tab/>
      </w:r>
      <w:bookmarkStart w:id="5" w:name="DocumentFor"/>
      <w:bookmarkEnd w:id="5"/>
      <w:r>
        <w:rPr>
          <w:rFonts w:ascii="Arial" w:hAnsi="Arial" w:eastAsia="Batang"/>
          <w:b/>
          <w:sz w:val="22"/>
          <w:szCs w:val="20"/>
          <w:lang w:bidi="ar"/>
        </w:rPr>
        <w:t xml:space="preserve">Discussion </w:t>
      </w:r>
      <w:r>
        <w:rPr>
          <w:rFonts w:hint="eastAsia" w:ascii="Arial" w:hAnsi="Arial" w:eastAsia="Batang"/>
          <w:b/>
          <w:sz w:val="22"/>
          <w:szCs w:val="20"/>
          <w:lang w:bidi="ar"/>
        </w:rPr>
        <w:t>and d</w:t>
      </w:r>
      <w:r>
        <w:rPr>
          <w:rFonts w:ascii="Arial" w:hAnsi="Arial" w:eastAsia="Batang"/>
          <w:b/>
          <w:sz w:val="22"/>
          <w:szCs w:val="20"/>
          <w:lang w:bidi="ar"/>
        </w:rPr>
        <w:t>ecision</w:t>
      </w:r>
    </w:p>
    <w:p>
      <w:pPr>
        <w:pBdr>
          <w:bottom w:val="single" w:color="auto" w:sz="4" w:space="1"/>
        </w:pBdr>
        <w:tabs>
          <w:tab w:val="left" w:pos="2552"/>
        </w:tabs>
        <w:spacing w:before="120"/>
        <w:rPr>
          <w:sz w:val="24"/>
        </w:rPr>
      </w:pPr>
    </w:p>
    <w:p>
      <w:pPr>
        <w:pStyle w:val="2"/>
        <w:spacing w:before="120"/>
        <w:rPr>
          <w:lang w:val="en-US"/>
        </w:rPr>
      </w:pPr>
      <w:r>
        <w:rPr>
          <w:rFonts w:hint="eastAsia"/>
          <w:lang w:val="en-US"/>
        </w:rPr>
        <w:t>Introduction</w:t>
      </w:r>
    </w:p>
    <w:bookmarkEnd w:id="1"/>
    <w:p>
      <w:pPr>
        <w:overflowPunct w:val="0"/>
        <w:autoSpaceDE w:val="0"/>
        <w:autoSpaceDN w:val="0"/>
        <w:adjustRightInd w:val="0"/>
        <w:spacing w:before="120" w:beforeLines="0" w:line="276" w:lineRule="auto"/>
        <w:ind w:right="-96"/>
        <w:textAlignment w:val="baseline"/>
        <w:rPr>
          <w:szCs w:val="20"/>
        </w:rPr>
      </w:pPr>
      <w:bookmarkStart w:id="6" w:name="OLE_LINK3"/>
      <w:r>
        <w:rPr>
          <w:szCs w:val="20"/>
          <w:lang w:eastAsia="ja-JP"/>
        </w:rPr>
        <w:t xml:space="preserve">In </w:t>
      </w:r>
      <w:r>
        <w:rPr>
          <w:szCs w:val="20"/>
        </w:rPr>
        <w:t>RAN #</w:t>
      </w:r>
      <w:r>
        <w:rPr>
          <w:rFonts w:hint="eastAsia"/>
          <w:szCs w:val="20"/>
        </w:rPr>
        <w:t>10</w:t>
      </w:r>
      <w:r>
        <w:rPr>
          <w:szCs w:val="20"/>
        </w:rPr>
        <w:t>3 meeting</w:t>
      </w:r>
      <w:bookmarkEnd w:id="6"/>
      <w:r>
        <w:rPr>
          <w:rFonts w:hint="eastAsia"/>
          <w:szCs w:val="20"/>
        </w:rPr>
        <w:t xml:space="preserve">, a </w:t>
      </w:r>
      <w:r>
        <w:rPr>
          <w:szCs w:val="20"/>
        </w:rPr>
        <w:t xml:space="preserve">new </w:t>
      </w:r>
      <w:r>
        <w:rPr>
          <w:rFonts w:hint="eastAsia"/>
          <w:szCs w:val="20"/>
        </w:rPr>
        <w:t xml:space="preserve">WID </w:t>
      </w:r>
      <w:r>
        <w:rPr>
          <w:szCs w:val="20"/>
        </w:rPr>
        <w:t xml:space="preserve">on </w:t>
      </w:r>
      <w:r>
        <w:t>low-power Wake-up Signal and Receiver for NR</w:t>
      </w:r>
      <w:r>
        <w:rPr>
          <w:rFonts w:hint="eastAsia"/>
        </w:rPr>
        <w:t xml:space="preserve"> </w:t>
      </w:r>
      <w:r>
        <w:rPr>
          <w:szCs w:val="20"/>
        </w:rPr>
        <w:t>was revised</w:t>
      </w:r>
      <w:r>
        <w:rPr>
          <w:rFonts w:hint="eastAsia"/>
          <w:szCs w:val="20"/>
        </w:rPr>
        <w:t xml:space="preserve"> in [1]</w:t>
      </w:r>
      <w:r>
        <w:rPr>
          <w:szCs w:val="20"/>
        </w:rPr>
        <w:t xml:space="preserve">. </w:t>
      </w:r>
    </w:p>
    <w:p>
      <w:pPr>
        <w:spacing w:before="120" w:afterLines="50" w:line="276" w:lineRule="auto"/>
        <w:rPr>
          <w:szCs w:val="20"/>
        </w:rPr>
      </w:pPr>
      <w:r>
        <w:rPr>
          <w:szCs w:val="20"/>
          <w:lang w:eastAsia="ja-JP"/>
        </w:rPr>
        <w:t xml:space="preserve">In </w:t>
      </w:r>
      <w:r>
        <w:rPr>
          <w:szCs w:val="20"/>
        </w:rPr>
        <w:t>RAN</w:t>
      </w:r>
      <w:r>
        <w:rPr>
          <w:rFonts w:hint="eastAsia"/>
          <w:szCs w:val="20"/>
        </w:rPr>
        <w:t>1</w:t>
      </w:r>
      <w:r>
        <w:rPr>
          <w:szCs w:val="20"/>
        </w:rPr>
        <w:t xml:space="preserve"> #</w:t>
      </w:r>
      <w:r>
        <w:rPr>
          <w:rFonts w:hint="eastAsia"/>
          <w:szCs w:val="20"/>
        </w:rPr>
        <w:t>117</w:t>
      </w:r>
      <w:r>
        <w:rPr>
          <w:szCs w:val="20"/>
        </w:rPr>
        <w:t xml:space="preserve"> meeting</w:t>
      </w:r>
      <w:r>
        <w:rPr>
          <w:rFonts w:hint="eastAsia"/>
          <w:szCs w:val="20"/>
        </w:rPr>
        <w:t>, the following agreements were made [2].</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0" w:after="0" w:line="240" w:lineRule="auto"/>
              <w:jc w:val="left"/>
              <w:rPr>
                <w:rFonts w:ascii="Times" w:hAnsi="Times" w:eastAsia="Batang"/>
                <w:b/>
                <w:bCs/>
                <w:szCs w:val="24"/>
                <w:lang w:val="en-GB" w:eastAsia="en-US"/>
              </w:rPr>
            </w:pPr>
            <w:r>
              <w:rPr>
                <w:rFonts w:ascii="Times" w:hAnsi="Times" w:eastAsia="Batang"/>
                <w:b/>
                <w:bCs/>
                <w:szCs w:val="24"/>
                <w:lang w:val="en-GB" w:eastAsia="en-US"/>
              </w:rPr>
              <w:t>Conclusion</w:t>
            </w:r>
          </w:p>
          <w:p>
            <w:pPr>
              <w:snapToGrid/>
              <w:spacing w:before="0" w:beforeLines="0" w:after="0" w:line="240" w:lineRule="auto"/>
              <w:jc w:val="left"/>
              <w:rPr>
                <w:rFonts w:ascii="Times" w:hAnsi="Times" w:eastAsia="Batang"/>
                <w:szCs w:val="20"/>
                <w:lang w:val="en-GB" w:eastAsia="en-US"/>
              </w:rPr>
            </w:pPr>
            <w:r>
              <w:rPr>
                <w:rFonts w:ascii="Times" w:hAnsi="Times" w:eastAsia="Batang"/>
                <w:szCs w:val="20"/>
                <w:lang w:val="en-GB" w:eastAsia="en-US"/>
              </w:rPr>
              <w:t xml:space="preserve">Regarding the “FFS: How to determine the received power of LP-SS in OOK ON symbols” for LP-RSRP, no additional work in RAN1. </w:t>
            </w:r>
          </w:p>
          <w:p>
            <w:pPr>
              <w:snapToGrid/>
              <w:spacing w:before="0" w:beforeLines="0" w:after="0" w:line="240" w:lineRule="auto"/>
              <w:jc w:val="left"/>
              <w:rPr>
                <w:rFonts w:ascii="Times" w:hAnsi="Times" w:eastAsia="Batang"/>
                <w:szCs w:val="24"/>
                <w:lang w:val="en-GB" w:eastAsia="en-US"/>
              </w:rPr>
            </w:pPr>
          </w:p>
          <w:p>
            <w:pPr>
              <w:snapToGrid/>
              <w:spacing w:before="0" w:beforeLines="0" w:after="0" w:line="240" w:lineRule="auto"/>
              <w:jc w:val="left"/>
              <w:rPr>
                <w:rFonts w:ascii="Times" w:hAnsi="Times" w:eastAsia="等线"/>
                <w:szCs w:val="24"/>
                <w:lang w:eastAsia="ko-KR" w:bidi="ar"/>
              </w:rPr>
            </w:pPr>
            <w:r>
              <w:rPr>
                <w:rFonts w:ascii="Times" w:hAnsi="Times" w:eastAsia="等线"/>
                <w:b/>
                <w:bCs/>
                <w:szCs w:val="24"/>
                <w:lang w:eastAsia="ko-KR" w:bidi="ar"/>
              </w:rPr>
              <w:t>R1-2404300</w:t>
            </w:r>
            <w:r>
              <w:rPr>
                <w:rFonts w:ascii="Times" w:hAnsi="Times" w:eastAsia="等线"/>
                <w:szCs w:val="24"/>
                <w:lang w:eastAsia="ko-KR" w:bidi="ar"/>
              </w:rPr>
              <w:tab/>
            </w:r>
            <w:r>
              <w:rPr>
                <w:rFonts w:ascii="Times" w:hAnsi="Times" w:eastAsia="等线"/>
                <w:szCs w:val="24"/>
                <w:lang w:eastAsia="ko-KR" w:bidi="ar"/>
              </w:rPr>
              <w:t>Summary #2 on LP-WUS operation in IDLE/INACTIVE mode</w:t>
            </w:r>
            <w:r>
              <w:rPr>
                <w:rFonts w:ascii="Times" w:hAnsi="Times" w:eastAsia="等线"/>
                <w:szCs w:val="24"/>
                <w:lang w:eastAsia="ko-KR" w:bidi="ar"/>
              </w:rPr>
              <w:tab/>
            </w:r>
            <w:r>
              <w:rPr>
                <w:rFonts w:ascii="Times" w:hAnsi="Times" w:eastAsia="等线"/>
                <w:szCs w:val="24"/>
                <w:lang w:eastAsia="ko-KR" w:bidi="ar"/>
              </w:rPr>
              <w:t>Moderator (Apple)</w:t>
            </w:r>
          </w:p>
          <w:p>
            <w:pPr>
              <w:snapToGrid/>
              <w:spacing w:before="0" w:beforeLines="0" w:after="0" w:line="240" w:lineRule="auto"/>
              <w:jc w:val="left"/>
              <w:rPr>
                <w:rFonts w:ascii="Times" w:hAnsi="Times" w:eastAsia="等线"/>
                <w:szCs w:val="24"/>
                <w:lang w:bidi="ar"/>
              </w:rPr>
            </w:pPr>
          </w:p>
          <w:p>
            <w:pPr>
              <w:snapToGrid/>
              <w:spacing w:before="0" w:beforeLines="0" w:after="0" w:line="240" w:lineRule="auto"/>
              <w:jc w:val="left"/>
              <w:rPr>
                <w:rFonts w:ascii="Times" w:hAnsi="Times" w:eastAsia="等线"/>
                <w:b/>
                <w:bCs/>
                <w:szCs w:val="24"/>
                <w:lang w:eastAsia="ko-KR" w:bidi="ar"/>
              </w:rPr>
            </w:pPr>
            <w:r>
              <w:rPr>
                <w:rFonts w:ascii="Times" w:hAnsi="Times" w:eastAsia="等线"/>
                <w:b/>
                <w:bCs/>
                <w:szCs w:val="24"/>
                <w:highlight w:val="green"/>
                <w:lang w:eastAsia="ko-KR" w:bidi="ar"/>
              </w:rPr>
              <w:t>Agreement</w:t>
            </w:r>
          </w:p>
          <w:p>
            <w:pPr>
              <w:snapToGrid/>
              <w:spacing w:before="0" w:beforeLines="0" w:after="0" w:line="240" w:lineRule="auto"/>
              <w:jc w:val="left"/>
              <w:rPr>
                <w:rFonts w:ascii="Times" w:hAnsi="Times" w:eastAsia="Batang"/>
                <w:szCs w:val="20"/>
                <w:lang w:val="en-GB" w:eastAsia="en-US"/>
              </w:rPr>
            </w:pPr>
            <w:r>
              <w:rPr>
                <w:rFonts w:ascii="Times" w:hAnsi="Times" w:eastAsia="Batang"/>
                <w:szCs w:val="20"/>
                <w:lang w:val="en-GB" w:eastAsia="en-US"/>
              </w:rPr>
              <w:t>It is supported that UEs monitoring the same PO are divided into multiple subgroups, where LP-WUS can provide wake-up indication for each subgroup. Consider the following options:</w:t>
            </w:r>
          </w:p>
          <w:p>
            <w:pPr>
              <w:numPr>
                <w:ilvl w:val="0"/>
                <w:numId w:val="7"/>
              </w:numPr>
              <w:snapToGrid/>
              <w:spacing w:before="0" w:beforeLines="0" w:after="0"/>
              <w:jc w:val="left"/>
              <w:rPr>
                <w:rFonts w:ascii="Times" w:hAnsi="Times" w:eastAsia="Batang"/>
                <w:bCs/>
                <w:szCs w:val="20"/>
                <w:lang w:val="en-GB" w:eastAsia="en-US"/>
              </w:rPr>
            </w:pPr>
            <w:r>
              <w:rPr>
                <w:rFonts w:ascii="Times" w:hAnsi="Times" w:eastAsia="Batang"/>
                <w:szCs w:val="20"/>
                <w:lang w:val="en-GB" w:eastAsia="en-US"/>
              </w:rPr>
              <w:t>Option 1: UEs monitoring the same PO monitor the same LO</w:t>
            </w:r>
          </w:p>
          <w:p>
            <w:pPr>
              <w:numPr>
                <w:ilvl w:val="0"/>
                <w:numId w:val="7"/>
              </w:numPr>
              <w:snapToGrid/>
              <w:spacing w:before="0" w:beforeLines="0" w:after="0"/>
              <w:jc w:val="left"/>
              <w:rPr>
                <w:rFonts w:ascii="Times" w:hAnsi="Times" w:eastAsia="等线"/>
                <w:szCs w:val="20"/>
                <w:lang w:val="en-GB" w:eastAsia="en-US"/>
              </w:rPr>
            </w:pPr>
            <w:r>
              <w:rPr>
                <w:rFonts w:ascii="Times" w:hAnsi="Times" w:eastAsia="Batang"/>
                <w:szCs w:val="20"/>
                <w:lang w:val="en-GB" w:eastAsia="en-US"/>
              </w:rPr>
              <w:t>Option 2: UEs corresponding to different POs monitor the same LO</w:t>
            </w:r>
          </w:p>
          <w:p>
            <w:pPr>
              <w:numPr>
                <w:ilvl w:val="0"/>
                <w:numId w:val="7"/>
              </w:numPr>
              <w:snapToGrid/>
              <w:spacing w:before="0" w:beforeLines="0" w:after="0"/>
              <w:jc w:val="left"/>
              <w:rPr>
                <w:rFonts w:ascii="Times" w:hAnsi="Times" w:eastAsia="Batang"/>
                <w:szCs w:val="10"/>
                <w:lang w:val="en-GB" w:eastAsia="en-US"/>
              </w:rPr>
            </w:pPr>
            <w:r>
              <w:rPr>
                <w:rFonts w:ascii="Times" w:hAnsi="Times" w:eastAsia="Batang"/>
                <w:szCs w:val="20"/>
                <w:lang w:val="en-GB" w:eastAsia="en-US"/>
              </w:rPr>
              <w:t>Option 3: UEs monitoring the same PO are divided into multiple sets of subgroups, with UEs within each set of subgroups monitor</w:t>
            </w:r>
            <w:r>
              <w:rPr>
                <w:rFonts w:ascii="Times" w:hAnsi="Times" w:eastAsia="Batang"/>
                <w:color w:val="FF0000"/>
                <w:szCs w:val="20"/>
                <w:lang w:val="en-GB" w:eastAsia="en-US"/>
              </w:rPr>
              <w:t>ing</w:t>
            </w:r>
            <w:r>
              <w:rPr>
                <w:rFonts w:ascii="Times" w:hAnsi="Times" w:eastAsia="Batang"/>
                <w:szCs w:val="20"/>
                <w:lang w:val="en-GB" w:eastAsia="en-US"/>
              </w:rPr>
              <w:t xml:space="preserve"> the same LO.</w:t>
            </w:r>
          </w:p>
          <w:p>
            <w:pPr>
              <w:numPr>
                <w:ilvl w:val="0"/>
                <w:numId w:val="7"/>
              </w:numPr>
              <w:snapToGrid/>
              <w:spacing w:before="0" w:beforeLines="0" w:after="0"/>
              <w:jc w:val="left"/>
              <w:rPr>
                <w:rFonts w:ascii="Times" w:hAnsi="Times" w:eastAsia="Batang"/>
                <w:szCs w:val="10"/>
                <w:lang w:val="en-GB" w:eastAsia="en-US"/>
              </w:rPr>
            </w:pPr>
            <w:r>
              <w:rPr>
                <w:rFonts w:ascii="Times" w:hAnsi="Times" w:eastAsia="Batang"/>
                <w:color w:val="FF0000"/>
                <w:szCs w:val="20"/>
                <w:lang w:val="en-GB" w:eastAsia="en-US"/>
              </w:rPr>
              <w:t>Combinations of the above options can be considered.</w:t>
            </w:r>
          </w:p>
          <w:p>
            <w:pPr>
              <w:snapToGrid/>
              <w:spacing w:before="0" w:beforeLines="0" w:after="0" w:line="240" w:lineRule="auto"/>
              <w:jc w:val="left"/>
              <w:rPr>
                <w:rFonts w:ascii="Times" w:hAnsi="Times" w:eastAsia="等线"/>
                <w:szCs w:val="24"/>
                <w:lang w:val="en-GB" w:bidi="ar"/>
              </w:rPr>
            </w:pPr>
          </w:p>
          <w:p>
            <w:pPr>
              <w:snapToGrid/>
              <w:spacing w:before="0" w:beforeLines="0" w:after="0" w:line="240" w:lineRule="auto"/>
              <w:jc w:val="left"/>
              <w:rPr>
                <w:rFonts w:ascii="Times" w:hAnsi="Times" w:eastAsia="Batang"/>
                <w:b/>
                <w:bCs/>
                <w:szCs w:val="24"/>
                <w:lang w:val="en-GB"/>
              </w:rPr>
            </w:pPr>
            <w:r>
              <w:rPr>
                <w:rFonts w:ascii="Times" w:hAnsi="Times" w:eastAsia="Batang"/>
                <w:b/>
                <w:bCs/>
                <w:szCs w:val="24"/>
                <w:highlight w:val="green"/>
                <w:lang w:val="en-GB"/>
              </w:rPr>
              <w:t>Agreement</w:t>
            </w:r>
          </w:p>
          <w:p>
            <w:pPr>
              <w:snapToGrid/>
              <w:spacing w:before="0" w:beforeLines="0" w:after="0" w:line="240" w:lineRule="auto"/>
              <w:jc w:val="left"/>
              <w:rPr>
                <w:rFonts w:ascii="Times" w:hAnsi="Times" w:eastAsia="Batang"/>
                <w:szCs w:val="20"/>
                <w:lang w:val="en-GB" w:eastAsia="en-US"/>
              </w:rPr>
            </w:pPr>
            <w:r>
              <w:rPr>
                <w:rFonts w:ascii="Times" w:hAnsi="Times" w:eastAsia="Batang"/>
                <w:szCs w:val="20"/>
                <w:lang w:val="en-GB" w:eastAsia="en-US"/>
              </w:rPr>
              <w:t>For LP-SS based LP-RSRQ, LP-RSRP and LP-RSSI are measured within the same bandwidth.</w:t>
            </w:r>
          </w:p>
          <w:p>
            <w:pPr>
              <w:snapToGrid/>
              <w:spacing w:before="0" w:beforeLines="0" w:after="0" w:line="240" w:lineRule="auto"/>
              <w:jc w:val="left"/>
              <w:rPr>
                <w:rFonts w:ascii="Times" w:hAnsi="Times" w:eastAsia="等线"/>
                <w:szCs w:val="24"/>
                <w:lang w:val="en-GB" w:bidi="ar"/>
              </w:rPr>
            </w:pPr>
          </w:p>
          <w:p>
            <w:pPr>
              <w:snapToGrid/>
              <w:spacing w:before="0" w:beforeLines="0" w:after="0" w:line="240" w:lineRule="auto"/>
              <w:jc w:val="left"/>
              <w:rPr>
                <w:rFonts w:ascii="Times" w:hAnsi="Times" w:eastAsia="Batang"/>
                <w:b/>
                <w:bCs/>
                <w:szCs w:val="24"/>
                <w:lang w:val="en-GB"/>
              </w:rPr>
            </w:pPr>
            <w:r>
              <w:rPr>
                <w:rFonts w:ascii="Times" w:hAnsi="Times" w:eastAsia="Batang"/>
                <w:b/>
                <w:bCs/>
                <w:szCs w:val="24"/>
                <w:highlight w:val="green"/>
                <w:lang w:val="en-GB"/>
              </w:rPr>
              <w:t>Agreement</w:t>
            </w:r>
          </w:p>
          <w:p>
            <w:pPr>
              <w:snapToGrid/>
              <w:spacing w:before="0" w:beforeLines="0" w:after="0" w:line="240" w:lineRule="auto"/>
              <w:jc w:val="left"/>
              <w:rPr>
                <w:rFonts w:ascii="Times" w:hAnsi="Times" w:eastAsia="Batang"/>
                <w:szCs w:val="20"/>
                <w:lang w:val="en-GB" w:eastAsia="en-US"/>
              </w:rPr>
            </w:pPr>
            <w:r>
              <w:rPr>
                <w:rFonts w:ascii="Times" w:hAnsi="Times" w:eastAsia="Batang"/>
                <w:szCs w:val="20"/>
                <w:lang w:val="en-GB" w:eastAsia="en-US"/>
              </w:rPr>
              <w:t>For LP-RSSI definition for LP-RSRQ, the following is agreed</w:t>
            </w:r>
          </w:p>
          <w:p>
            <w:pPr>
              <w:numPr>
                <w:ilvl w:val="0"/>
                <w:numId w:val="8"/>
              </w:numPr>
              <w:spacing w:before="120"/>
              <w:rPr>
                <w:rFonts w:ascii="Times" w:hAnsi="Times" w:eastAsia="Batang"/>
                <w:szCs w:val="24"/>
                <w:lang w:val="en-GB"/>
              </w:rPr>
            </w:pPr>
            <w:r>
              <w:rPr>
                <w:rFonts w:ascii="Times" w:hAnsi="Times" w:eastAsia="Batang"/>
                <w:szCs w:val="24"/>
                <w:lang w:val="en-GB"/>
              </w:rPr>
              <w:t>Option 1: LP-RSSI is the linear average of total received power in ON and OFF LP-SS OOK symbols.</w:t>
            </w:r>
          </w:p>
          <w:p>
            <w:pPr>
              <w:snapToGrid/>
              <w:spacing w:before="0" w:beforeLines="0" w:after="0" w:line="240" w:lineRule="auto"/>
              <w:jc w:val="left"/>
              <w:rPr>
                <w:rFonts w:ascii="Times" w:hAnsi="Times" w:eastAsia="Batang"/>
                <w:szCs w:val="24"/>
                <w:lang w:val="en-GB" w:eastAsia="en-US"/>
              </w:rPr>
            </w:pPr>
            <w:r>
              <w:rPr>
                <w:rFonts w:hint="eastAsia" w:ascii="Times" w:hAnsi="Times" w:eastAsia="Batang"/>
                <w:szCs w:val="24"/>
                <w:lang w:val="en-GB" w:eastAsia="ko-KR"/>
              </w:rPr>
              <w:t>N</w:t>
            </w:r>
            <w:r>
              <w:rPr>
                <w:rFonts w:ascii="Times" w:hAnsi="Times" w:eastAsia="Batang"/>
                <w:szCs w:val="24"/>
                <w:lang w:val="en-GB" w:eastAsia="ko-KR"/>
              </w:rPr>
              <w:t>ote: Above does not constrain LP-SS sequence design for OOK</w:t>
            </w:r>
          </w:p>
          <w:p>
            <w:pPr>
              <w:snapToGrid/>
              <w:spacing w:before="0" w:beforeLines="0" w:after="0" w:line="240" w:lineRule="auto"/>
              <w:jc w:val="left"/>
              <w:rPr>
                <w:rFonts w:ascii="Times" w:hAnsi="Times" w:eastAsia="等线"/>
                <w:szCs w:val="24"/>
                <w:lang w:val="en-GB" w:bidi="ar"/>
              </w:rPr>
            </w:pPr>
          </w:p>
          <w:p>
            <w:pPr>
              <w:snapToGrid/>
              <w:spacing w:before="0" w:beforeLines="0" w:after="0" w:line="240" w:lineRule="auto"/>
              <w:jc w:val="left"/>
              <w:rPr>
                <w:rFonts w:ascii="Times" w:hAnsi="Times" w:eastAsia="等线"/>
                <w:b/>
                <w:bCs/>
                <w:szCs w:val="24"/>
                <w:lang w:val="en-GB" w:bidi="ar"/>
              </w:rPr>
            </w:pPr>
            <w:r>
              <w:rPr>
                <w:rFonts w:ascii="Times" w:hAnsi="Times" w:eastAsia="等线"/>
                <w:b/>
                <w:bCs/>
                <w:szCs w:val="24"/>
                <w:highlight w:val="darkYellow"/>
                <w:lang w:val="en-GB" w:bidi="ar"/>
              </w:rPr>
              <w:t>Working Assumption</w:t>
            </w:r>
          </w:p>
          <w:p>
            <w:pPr>
              <w:snapToGrid/>
              <w:spacing w:before="0" w:beforeLines="0" w:after="0" w:line="240" w:lineRule="auto"/>
              <w:jc w:val="left"/>
              <w:rPr>
                <w:rFonts w:ascii="Times" w:hAnsi="Times" w:eastAsia="Batang"/>
                <w:szCs w:val="20"/>
                <w:lang w:val="en-GB" w:eastAsia="en-US"/>
              </w:rPr>
            </w:pPr>
            <w:r>
              <w:rPr>
                <w:rFonts w:ascii="Times" w:hAnsi="Times" w:eastAsia="Batang"/>
                <w:szCs w:val="20"/>
                <w:lang w:val="en-GB" w:eastAsia="en-US"/>
              </w:rPr>
              <w:t>From RAN1 perspective, for the RRM measurement metrics based on SSS for OFDM-based LP-WUR, use the same definition of SS-RSRP and SS-RSRQ for LP-SSS-RSRP and LP-SSS-RSRQ, respectively.</w:t>
            </w:r>
          </w:p>
          <w:p>
            <w:pPr>
              <w:numPr>
                <w:ilvl w:val="0"/>
                <w:numId w:val="8"/>
              </w:numPr>
              <w:spacing w:before="120"/>
              <w:rPr>
                <w:rFonts w:ascii="Times" w:hAnsi="Times" w:eastAsia="Batang"/>
                <w:szCs w:val="20"/>
                <w:lang w:val="en-GB"/>
              </w:rPr>
            </w:pPr>
            <w:r>
              <w:rPr>
                <w:rFonts w:hint="eastAsia" w:ascii="Times" w:hAnsi="Times" w:eastAsia="Batang"/>
                <w:szCs w:val="20"/>
                <w:lang w:val="en-GB" w:eastAsia="ko-KR"/>
              </w:rPr>
              <w:t>A</w:t>
            </w:r>
            <w:r>
              <w:rPr>
                <w:rFonts w:ascii="Times" w:hAnsi="Times" w:eastAsia="Batang"/>
                <w:szCs w:val="20"/>
                <w:lang w:val="en-GB" w:eastAsia="ko-KR"/>
              </w:rPr>
              <w:t xml:space="preserve">bove is applicable for both </w:t>
            </w:r>
            <w:r>
              <w:rPr>
                <w:rFonts w:ascii="Times" w:hAnsi="Times" w:eastAsia="Batang"/>
                <w:szCs w:val="20"/>
                <w:lang w:val="en-GB"/>
              </w:rPr>
              <w:t>time-domain processing or frequency-domain processing</w:t>
            </w:r>
          </w:p>
          <w:p>
            <w:pPr>
              <w:numPr>
                <w:ilvl w:val="0"/>
                <w:numId w:val="8"/>
              </w:numPr>
              <w:spacing w:before="120"/>
              <w:rPr>
                <w:rFonts w:ascii="Times" w:hAnsi="Times" w:eastAsia="Batang"/>
                <w:szCs w:val="24"/>
                <w:lang w:val="en-GB"/>
              </w:rPr>
            </w:pPr>
            <w:r>
              <w:rPr>
                <w:rFonts w:hint="eastAsia" w:ascii="Times" w:hAnsi="Times" w:eastAsia="Batang"/>
                <w:szCs w:val="24"/>
                <w:lang w:val="en-GB"/>
              </w:rPr>
              <w:t>A</w:t>
            </w:r>
            <w:r>
              <w:rPr>
                <w:rFonts w:ascii="Times" w:hAnsi="Times" w:eastAsia="Batang"/>
                <w:szCs w:val="24"/>
                <w:lang w:val="en-GB"/>
              </w:rPr>
              <w:t>bove does not imply that RAN1 will introduce LP-SSS-RSRP and LP-SSS-RSRQ in the specifications</w:t>
            </w:r>
          </w:p>
          <w:p>
            <w:pPr>
              <w:snapToGrid/>
              <w:spacing w:before="0" w:beforeLines="0" w:after="0" w:line="240" w:lineRule="auto"/>
              <w:jc w:val="left"/>
              <w:rPr>
                <w:rFonts w:ascii="Times" w:hAnsi="Times" w:eastAsia="等线"/>
                <w:szCs w:val="20"/>
                <w:lang w:val="en-GB" w:eastAsia="en-US"/>
              </w:rPr>
            </w:pPr>
          </w:p>
          <w:p>
            <w:pPr>
              <w:snapToGrid/>
              <w:spacing w:before="0" w:beforeLines="0" w:after="0" w:line="240" w:lineRule="auto"/>
              <w:jc w:val="left"/>
              <w:rPr>
                <w:rFonts w:ascii="Times" w:hAnsi="Times" w:eastAsia="等线"/>
                <w:szCs w:val="24"/>
                <w:lang w:val="en-GB" w:eastAsia="ko-KR" w:bidi="ar"/>
              </w:rPr>
            </w:pPr>
            <w:r>
              <w:rPr>
                <w:rFonts w:ascii="Times" w:hAnsi="Times" w:eastAsia="等线"/>
                <w:b/>
                <w:bCs/>
                <w:szCs w:val="24"/>
                <w:lang w:val="en-GB" w:eastAsia="ko-KR" w:bidi="ar"/>
              </w:rPr>
              <w:t>R1-2405681</w:t>
            </w:r>
            <w:r>
              <w:rPr>
                <w:rFonts w:ascii="Times" w:hAnsi="Times" w:eastAsia="等线"/>
                <w:szCs w:val="24"/>
                <w:lang w:val="en-GB" w:eastAsia="ko-KR" w:bidi="ar"/>
              </w:rPr>
              <w:tab/>
            </w:r>
            <w:r>
              <w:rPr>
                <w:rFonts w:ascii="Times" w:hAnsi="Times" w:eastAsia="等线"/>
                <w:szCs w:val="24"/>
                <w:lang w:val="en-GB" w:eastAsia="ko-KR" w:bidi="ar"/>
              </w:rPr>
              <w:t>Summary #4 on LP-WUS operation in IDLE/INACTIVE mode</w:t>
            </w:r>
            <w:r>
              <w:rPr>
                <w:rFonts w:ascii="Times" w:hAnsi="Times" w:eastAsia="等线"/>
                <w:szCs w:val="24"/>
                <w:lang w:val="en-GB" w:eastAsia="ko-KR" w:bidi="ar"/>
              </w:rPr>
              <w:tab/>
            </w:r>
            <w:r>
              <w:rPr>
                <w:rFonts w:ascii="Times" w:hAnsi="Times" w:eastAsia="等线"/>
                <w:szCs w:val="24"/>
                <w:lang w:val="en-GB" w:eastAsia="ko-KR" w:bidi="ar"/>
              </w:rPr>
              <w:t>Moderator (Apple)</w:t>
            </w:r>
          </w:p>
          <w:p>
            <w:pPr>
              <w:snapToGrid/>
              <w:spacing w:before="0" w:beforeLines="0" w:after="0" w:line="240" w:lineRule="auto"/>
              <w:jc w:val="left"/>
              <w:rPr>
                <w:rFonts w:ascii="Times" w:hAnsi="Times" w:eastAsia="等线"/>
                <w:szCs w:val="24"/>
                <w:lang w:val="en-GB" w:eastAsia="ko-KR" w:bidi="ar"/>
              </w:rPr>
            </w:pPr>
          </w:p>
          <w:p>
            <w:pPr>
              <w:snapToGrid/>
              <w:spacing w:before="0" w:beforeLines="0" w:after="0" w:line="240" w:lineRule="auto"/>
              <w:jc w:val="left"/>
              <w:rPr>
                <w:rFonts w:ascii="Times" w:hAnsi="Times" w:eastAsia="Batang"/>
                <w:b/>
                <w:bCs/>
                <w:szCs w:val="24"/>
                <w:lang w:val="en-GB"/>
              </w:rPr>
            </w:pPr>
            <w:r>
              <w:rPr>
                <w:rFonts w:ascii="Times" w:hAnsi="Times" w:eastAsia="Batang"/>
                <w:b/>
                <w:bCs/>
                <w:szCs w:val="24"/>
                <w:highlight w:val="green"/>
                <w:lang w:val="en-GB"/>
              </w:rPr>
              <w:t>Agreement</w:t>
            </w:r>
          </w:p>
          <w:p>
            <w:pPr>
              <w:snapToGrid/>
              <w:spacing w:before="0" w:beforeLines="0" w:after="0" w:line="240" w:lineRule="auto"/>
              <w:jc w:val="left"/>
              <w:rPr>
                <w:rFonts w:ascii="Times" w:hAnsi="Times" w:eastAsia="Batang"/>
                <w:szCs w:val="20"/>
                <w:lang w:val="en-GB" w:eastAsia="en-US"/>
              </w:rPr>
            </w:pPr>
            <w:r>
              <w:rPr>
                <w:rFonts w:ascii="Times" w:hAnsi="Times" w:eastAsia="Batang"/>
                <w:szCs w:val="20"/>
                <w:lang w:val="en-GB" w:eastAsia="en-US"/>
              </w:rPr>
              <w:t>For idle/inactive mode, the maximum number of information bits (excluding CRC) in a LP-WUS is Z, where Z &lt;= [8 or 16].</w:t>
            </w:r>
          </w:p>
          <w:p>
            <w:pPr>
              <w:numPr>
                <w:ilvl w:val="0"/>
                <w:numId w:val="8"/>
              </w:numPr>
              <w:spacing w:before="120"/>
              <w:rPr>
                <w:rFonts w:ascii="Times" w:hAnsi="Times" w:eastAsia="等线"/>
                <w:szCs w:val="20"/>
                <w:lang w:val="en-GB"/>
              </w:rPr>
            </w:pPr>
            <w:r>
              <w:rPr>
                <w:rFonts w:ascii="Times" w:hAnsi="Times" w:eastAsia="Batang"/>
                <w:szCs w:val="20"/>
                <w:lang w:val="en-GB"/>
              </w:rPr>
              <w:t>FFS the exact value of Z</w:t>
            </w:r>
          </w:p>
          <w:p>
            <w:pPr>
              <w:spacing w:before="120" w:after="0"/>
              <w:rPr>
                <w:rFonts w:ascii="Times" w:hAnsi="Times" w:eastAsia="Batang"/>
                <w:szCs w:val="20"/>
                <w:lang w:val="en-GB"/>
              </w:rPr>
            </w:pPr>
          </w:p>
          <w:p>
            <w:pPr>
              <w:snapToGrid/>
              <w:spacing w:before="0" w:beforeLines="0" w:after="0" w:line="240" w:lineRule="auto"/>
              <w:jc w:val="left"/>
              <w:rPr>
                <w:rFonts w:ascii="Times" w:hAnsi="Times" w:eastAsia="Batang"/>
                <w:b/>
                <w:bCs/>
                <w:szCs w:val="24"/>
                <w:lang w:val="en-GB"/>
              </w:rPr>
            </w:pPr>
            <w:r>
              <w:rPr>
                <w:rFonts w:ascii="Times" w:hAnsi="Times" w:eastAsia="Batang"/>
                <w:b/>
                <w:bCs/>
                <w:szCs w:val="24"/>
                <w:highlight w:val="green"/>
                <w:lang w:val="en-GB"/>
              </w:rPr>
              <w:t>Agreement</w:t>
            </w:r>
          </w:p>
          <w:p>
            <w:pPr>
              <w:snapToGrid/>
              <w:spacing w:before="0" w:beforeLines="0" w:after="0" w:line="240" w:lineRule="auto"/>
              <w:jc w:val="left"/>
              <w:rPr>
                <w:rFonts w:ascii="Times" w:hAnsi="Times" w:eastAsia="Batang"/>
                <w:szCs w:val="20"/>
                <w:lang w:val="en-GB" w:eastAsia="en-US"/>
              </w:rPr>
            </w:pPr>
            <w:r>
              <w:rPr>
                <w:rFonts w:ascii="Times" w:hAnsi="Times" w:eastAsia="Batang"/>
                <w:szCs w:val="20"/>
                <w:lang w:val="en-GB" w:eastAsia="en-US"/>
              </w:rPr>
              <w:t>For idle/inactive mode, the maximum number of subgroups per PO is X, where 8 &lt;= X &lt;= 256.</w:t>
            </w:r>
          </w:p>
          <w:p>
            <w:pPr>
              <w:numPr>
                <w:ilvl w:val="0"/>
                <w:numId w:val="8"/>
              </w:numPr>
              <w:spacing w:before="120"/>
              <w:rPr>
                <w:szCs w:val="20"/>
              </w:rPr>
            </w:pPr>
            <w:r>
              <w:rPr>
                <w:rFonts w:ascii="Times" w:hAnsi="Times" w:eastAsia="Batang"/>
                <w:szCs w:val="20"/>
                <w:lang w:val="en-GB"/>
              </w:rPr>
              <w:t>FFS the exact value of X.</w:t>
            </w:r>
          </w:p>
        </w:tc>
      </w:tr>
    </w:tbl>
    <w:p>
      <w:pPr>
        <w:spacing w:before="120" w:afterLines="50" w:line="276" w:lineRule="auto"/>
        <w:rPr>
          <w:rFonts w:eastAsia="Times New Roman"/>
          <w:b/>
          <w:i/>
          <w:iCs/>
          <w:lang w:eastAsia="ko" w:bidi="ar"/>
        </w:rPr>
      </w:pPr>
      <w:r>
        <w:rPr>
          <w:szCs w:val="20"/>
        </w:rPr>
        <w:t xml:space="preserve">In this contribution, </w:t>
      </w:r>
      <w:bookmarkStart w:id="7" w:name="OLE_LINK22"/>
      <w:r>
        <w:rPr>
          <w:rFonts w:hint="eastAsia"/>
          <w:szCs w:val="20"/>
        </w:rPr>
        <w:t>open issues on</w:t>
      </w:r>
      <w:bookmarkStart w:id="8" w:name="OLE_LINK1"/>
      <w:r>
        <w:rPr>
          <w:rFonts w:hint="eastAsia"/>
          <w:szCs w:val="20"/>
        </w:rPr>
        <w:t xml:space="preserve"> LP-WUS operation in IDLE/INACTIVE mode</w:t>
      </w:r>
      <w:r>
        <w:rPr>
          <w:szCs w:val="20"/>
        </w:rPr>
        <w:t xml:space="preserve"> </w:t>
      </w:r>
      <w:bookmarkEnd w:id="8"/>
      <w:r>
        <w:rPr>
          <w:szCs w:val="20"/>
        </w:rPr>
        <w:t>are discussed</w:t>
      </w:r>
      <w:r>
        <w:rPr>
          <w:rFonts w:hint="eastAsia"/>
          <w:szCs w:val="20"/>
        </w:rPr>
        <w:t>.</w:t>
      </w:r>
      <w:bookmarkEnd w:id="7"/>
      <w:bookmarkStart w:id="9" w:name="OLE_LINK5"/>
    </w:p>
    <w:p>
      <w:pPr>
        <w:pStyle w:val="2"/>
        <w:spacing w:before="120"/>
        <w:rPr>
          <w:lang w:val="en-US"/>
        </w:rPr>
      </w:pPr>
      <w:bookmarkStart w:id="10" w:name="OLE_LINK20"/>
      <w:r>
        <w:rPr>
          <w:rFonts w:hint="eastAsia"/>
          <w:lang w:val="en-US"/>
        </w:rPr>
        <w:t>Activation/Deactivation</w:t>
      </w:r>
      <w:bookmarkEnd w:id="10"/>
    </w:p>
    <w:p>
      <w:pPr>
        <w:spacing w:before="120" w:beforeLines="0" w:line="276" w:lineRule="auto"/>
        <w:rPr>
          <w:rFonts w:cs="Times"/>
        </w:rPr>
      </w:pPr>
      <w:r>
        <w:rPr>
          <w:rFonts w:hint="eastAsia" w:cs="Malgun Gothic"/>
          <w:lang w:bidi="ar"/>
        </w:rPr>
        <w:t xml:space="preserve">For LP-WUS in IDLE/INACTIVE mode, regarding </w:t>
      </w:r>
      <w:r>
        <w:rPr>
          <w:rFonts w:hint="eastAsia" w:cs="Times"/>
        </w:rPr>
        <w:t>a</w:t>
      </w:r>
      <w:r>
        <w:rPr>
          <w:rFonts w:cs="Times"/>
        </w:rPr>
        <w:t>ctivation and deactivation of LP-WUS monitoring by LP-WUR for a UE</w:t>
      </w:r>
      <w:r>
        <w:rPr>
          <w:rFonts w:hint="eastAsia" w:cs="Times"/>
        </w:rPr>
        <w:t>, there remains a working assumption for confirmation and some other details may also requires clarification.</w:t>
      </w:r>
    </w:p>
    <w:p>
      <w:pPr>
        <w:spacing w:before="120" w:beforeLines="0" w:line="276" w:lineRule="auto"/>
        <w:rPr>
          <w:rFonts w:cs="Times"/>
        </w:rPr>
      </w:pPr>
      <w:r>
        <w:rPr>
          <w:rFonts w:hint="eastAsia" w:cs="Times"/>
        </w:rPr>
        <w:t xml:space="preserve">For the entry/exit condition, there is a case required to be addressed, i.e., the serving cell measurement performed by the MR is above entry threshold(s) and </w:t>
      </w:r>
      <w:r>
        <w:rPr>
          <w:rFonts w:eastAsia="Batang"/>
          <w:szCs w:val="24"/>
          <w:lang w:val="en-GB" w:eastAsia="ko-KR"/>
        </w:rPr>
        <w:t>the serving cell measurement performed by the LR is below exit threshold(s)</w:t>
      </w:r>
      <w:r>
        <w:rPr>
          <w:rFonts w:hint="eastAsia"/>
          <w:szCs w:val="24"/>
        </w:rPr>
        <w:t xml:space="preserve">. It may happen in the case </w:t>
      </w:r>
      <w:r>
        <w:rPr>
          <w:rFonts w:hint="eastAsia" w:cs="Times"/>
        </w:rPr>
        <w:t>when the LR operates in another frequency location different with MR. Even if the LR operates in the CORESET#0, due to the RSRP and RSRP definition difference, there is a risk to happen. In this case, the UE has no PSG benefits but increasing the power consumption. The corresponding illustration is shown as follows</w:t>
      </w:r>
    </w:p>
    <w:p>
      <w:pPr>
        <w:spacing w:before="120" w:beforeLines="0" w:line="276" w:lineRule="auto"/>
        <w:jc w:val="center"/>
      </w:pPr>
      <w:r>
        <w:drawing>
          <wp:inline distT="0" distB="0" distL="114300" distR="114300">
            <wp:extent cx="4584065" cy="2089785"/>
            <wp:effectExtent l="0" t="0" r="6985" b="571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a:stretch>
                      <a:fillRect/>
                    </a:stretch>
                  </pic:blipFill>
                  <pic:spPr>
                    <a:xfrm>
                      <a:off x="0" y="0"/>
                      <a:ext cx="4584065" cy="2089785"/>
                    </a:xfrm>
                    <a:prstGeom prst="rect">
                      <a:avLst/>
                    </a:prstGeom>
                    <a:noFill/>
                    <a:ln>
                      <a:noFill/>
                    </a:ln>
                  </pic:spPr>
                </pic:pic>
              </a:graphicData>
            </a:graphic>
          </wp:inline>
        </w:drawing>
      </w:r>
    </w:p>
    <w:p>
      <w:pPr>
        <w:spacing w:before="120" w:beforeLines="0" w:line="276" w:lineRule="auto"/>
        <w:jc w:val="center"/>
      </w:pPr>
      <w:r>
        <w:rPr>
          <w:rFonts w:hint="eastAsia"/>
        </w:rPr>
        <w:t>Figure 1. Both entry and exit condition are satisfied</w:t>
      </w:r>
    </w:p>
    <w:p>
      <w:pPr>
        <w:spacing w:before="120" w:beforeLines="0" w:line="276" w:lineRule="auto"/>
        <w:rPr>
          <w:b/>
          <w:bCs/>
          <w:i/>
          <w:iCs/>
          <w:color w:val="FF0000"/>
          <w:szCs w:val="24"/>
        </w:rPr>
      </w:pPr>
      <w:r>
        <w:rPr>
          <w:rFonts w:hint="eastAsia" w:cs="Times"/>
          <w:b/>
          <w:bCs/>
          <w:i/>
          <w:iCs/>
        </w:rPr>
        <w:t xml:space="preserve">Observation 1: </w:t>
      </w:r>
      <w:r>
        <w:rPr>
          <w:rFonts w:hint="eastAsia"/>
          <w:b/>
          <w:bCs/>
          <w:i/>
          <w:iCs/>
          <w:szCs w:val="24"/>
        </w:rPr>
        <w:t>T</w:t>
      </w:r>
      <w:r>
        <w:rPr>
          <w:rFonts w:eastAsia="Batang"/>
          <w:b/>
          <w:bCs/>
          <w:i/>
          <w:iCs/>
          <w:szCs w:val="24"/>
          <w:lang w:val="en-GB" w:eastAsia="ko-KR"/>
        </w:rPr>
        <w:t>he serving cell measurement performed by the MR is above entry threshold(s</w:t>
      </w:r>
      <w:r>
        <w:rPr>
          <w:rFonts w:hint="eastAsia"/>
          <w:b/>
          <w:bCs/>
          <w:i/>
          <w:iCs/>
          <w:szCs w:val="24"/>
        </w:rPr>
        <w:t xml:space="preserve">) and </w:t>
      </w:r>
      <w:r>
        <w:rPr>
          <w:rFonts w:eastAsia="Batang"/>
          <w:b/>
          <w:bCs/>
          <w:i/>
          <w:iCs/>
          <w:szCs w:val="24"/>
          <w:lang w:val="en-GB" w:eastAsia="ko-KR"/>
        </w:rPr>
        <w:t>the serving cell measurement performed by the LR is below exit threshold(s)</w:t>
      </w:r>
      <w:r>
        <w:rPr>
          <w:rFonts w:hint="eastAsia"/>
          <w:b/>
          <w:bCs/>
          <w:i/>
          <w:iCs/>
          <w:szCs w:val="24"/>
        </w:rPr>
        <w:t xml:space="preserve"> may be satisfied at the same time.</w:t>
      </w:r>
    </w:p>
    <w:p>
      <w:pPr>
        <w:spacing w:before="120" w:beforeLines="0" w:line="276" w:lineRule="auto"/>
        <w:rPr>
          <w:szCs w:val="24"/>
        </w:rPr>
      </w:pPr>
      <w:r>
        <w:rPr>
          <w:rFonts w:hint="eastAsia"/>
          <w:szCs w:val="24"/>
        </w:rPr>
        <w:t xml:space="preserve">To avoid above situation, the SNR or threshold for entry also should be aligned that for exit. For example, the entry condition also should include that </w:t>
      </w:r>
      <w:r>
        <w:rPr>
          <w:rFonts w:eastAsia="Batang"/>
          <w:szCs w:val="24"/>
          <w:lang w:val="en-GB" w:eastAsia="ko-KR"/>
        </w:rPr>
        <w:t xml:space="preserve">serving cell measurement performed by the LR is </w:t>
      </w:r>
      <w:r>
        <w:rPr>
          <w:rFonts w:hint="eastAsia"/>
          <w:szCs w:val="24"/>
        </w:rPr>
        <w:t xml:space="preserve">not </w:t>
      </w:r>
      <w:r>
        <w:rPr>
          <w:rFonts w:eastAsia="Batang"/>
          <w:szCs w:val="24"/>
          <w:lang w:val="en-GB" w:eastAsia="ko-KR"/>
        </w:rPr>
        <w:t>below exit threshold(s)</w:t>
      </w:r>
      <w:r>
        <w:rPr>
          <w:rFonts w:hint="eastAsia"/>
          <w:szCs w:val="24"/>
        </w:rPr>
        <w:t xml:space="preserve">. </w:t>
      </w:r>
    </w:p>
    <w:p>
      <w:pPr>
        <w:spacing w:before="120" w:beforeLines="0" w:line="276" w:lineRule="auto"/>
        <w:rPr>
          <w:b/>
          <w:bCs/>
          <w:i/>
          <w:iCs/>
          <w:szCs w:val="24"/>
        </w:rPr>
      </w:pPr>
      <w:r>
        <w:rPr>
          <w:rFonts w:hint="eastAsia"/>
          <w:b/>
          <w:bCs/>
          <w:i/>
          <w:iCs/>
          <w:szCs w:val="24"/>
        </w:rPr>
        <w:t xml:space="preserve">Proposal 1: For the activation condition of LP-WUS monitoring, that </w:t>
      </w:r>
      <w:r>
        <w:rPr>
          <w:rFonts w:eastAsia="Batang"/>
          <w:b/>
          <w:bCs/>
          <w:i/>
          <w:iCs/>
          <w:szCs w:val="24"/>
          <w:lang w:val="en-GB" w:eastAsia="ko-KR"/>
        </w:rPr>
        <w:t xml:space="preserve">serving cell measurement </w:t>
      </w:r>
      <w:r>
        <w:rPr>
          <w:rFonts w:eastAsia="Batang"/>
          <w:b/>
          <w:bCs/>
          <w:i/>
          <w:iCs/>
          <w:szCs w:val="24"/>
          <w:lang w:eastAsia="ko-KR"/>
        </w:rPr>
        <w:t xml:space="preserve">performed </w:t>
      </w:r>
      <w:r>
        <w:rPr>
          <w:rFonts w:eastAsia="Batang"/>
          <w:b/>
          <w:bCs/>
          <w:i/>
          <w:iCs/>
          <w:szCs w:val="24"/>
          <w:lang w:val="en-GB" w:eastAsia="ko-KR"/>
        </w:rPr>
        <w:t xml:space="preserve">by the LR is </w:t>
      </w:r>
      <w:r>
        <w:rPr>
          <w:rFonts w:hint="eastAsia"/>
          <w:b/>
          <w:bCs/>
          <w:i/>
          <w:iCs/>
          <w:szCs w:val="24"/>
        </w:rPr>
        <w:t xml:space="preserve">not </w:t>
      </w:r>
      <w:r>
        <w:rPr>
          <w:rFonts w:eastAsia="Batang"/>
          <w:b/>
          <w:bCs/>
          <w:i/>
          <w:iCs/>
          <w:szCs w:val="24"/>
          <w:lang w:val="en-GB" w:eastAsia="ko-KR"/>
        </w:rPr>
        <w:t>below exit threshold(s)</w:t>
      </w:r>
      <w:r>
        <w:rPr>
          <w:rFonts w:hint="eastAsia"/>
          <w:b/>
          <w:bCs/>
          <w:i/>
          <w:iCs/>
          <w:szCs w:val="24"/>
        </w:rPr>
        <w:t xml:space="preserve"> should be included.</w:t>
      </w:r>
    </w:p>
    <w:p>
      <w:pPr>
        <w:spacing w:before="120" w:beforeLines="0" w:line="276" w:lineRule="auto"/>
        <w:rPr>
          <w:szCs w:val="24"/>
        </w:rPr>
      </w:pPr>
      <w:r>
        <w:rPr>
          <w:rFonts w:hint="eastAsia"/>
          <w:szCs w:val="24"/>
        </w:rPr>
        <w:t xml:space="preserve">Additionally, for the exit condition, if the </w:t>
      </w:r>
      <w:r>
        <w:rPr>
          <w:rFonts w:eastAsia="Batang"/>
          <w:szCs w:val="24"/>
          <w:lang w:val="en-GB" w:eastAsia="ko-KR"/>
        </w:rPr>
        <w:t xml:space="preserve">serving cell measurement performed by the LR is </w:t>
      </w:r>
      <w:r>
        <w:rPr>
          <w:rFonts w:hint="eastAsia"/>
          <w:szCs w:val="24"/>
        </w:rPr>
        <w:t xml:space="preserve">always </w:t>
      </w:r>
      <w:r>
        <w:rPr>
          <w:rFonts w:eastAsia="Batang"/>
          <w:szCs w:val="24"/>
          <w:lang w:val="en-GB" w:eastAsia="ko-KR"/>
        </w:rPr>
        <w:t>below exit threshold(s)</w:t>
      </w:r>
      <w:r>
        <w:rPr>
          <w:rFonts w:hint="eastAsia"/>
          <w:szCs w:val="24"/>
        </w:rPr>
        <w:t xml:space="preserve">, there should be a fallback mechanism when the UE does not receive LP-WUS and paging for a long time in case that the UE missed the LP-WUS or SI change notification.  </w:t>
      </w:r>
    </w:p>
    <w:p>
      <w:pPr>
        <w:numPr>
          <w:ilvl w:val="255"/>
          <w:numId w:val="0"/>
        </w:numPr>
        <w:spacing w:before="120" w:beforeLines="0" w:line="276" w:lineRule="auto"/>
        <w:rPr>
          <w:rFonts w:eastAsia="Batang"/>
          <w:b/>
          <w:bCs/>
          <w:i/>
          <w:iCs/>
          <w:szCs w:val="24"/>
          <w:lang w:val="en-GB" w:eastAsia="ko-KR"/>
        </w:rPr>
      </w:pPr>
      <w:r>
        <w:rPr>
          <w:rFonts w:hint="eastAsia" w:cs="Times"/>
          <w:b/>
          <w:bCs/>
          <w:i/>
          <w:iCs/>
        </w:rPr>
        <w:t>Proposal 2:</w:t>
      </w:r>
      <w:r>
        <w:rPr>
          <w:rFonts w:eastAsia="Batang"/>
          <w:b/>
          <w:bCs/>
          <w:i/>
          <w:iCs/>
          <w:szCs w:val="24"/>
          <w:lang w:val="en-GB" w:eastAsia="ko-KR"/>
        </w:rPr>
        <w:t xml:space="preserve"> UE monitors the legacy PO (and may monitor PEI) and may stop LP-WUS monitoring if</w:t>
      </w:r>
    </w:p>
    <w:p>
      <w:pPr>
        <w:numPr>
          <w:ilvl w:val="0"/>
          <w:numId w:val="9"/>
        </w:numPr>
        <w:spacing w:before="120"/>
        <w:rPr>
          <w:rFonts w:eastAsia="Batang"/>
          <w:b/>
          <w:bCs/>
          <w:i/>
          <w:iCs/>
          <w:szCs w:val="24"/>
          <w:lang w:val="en-GB" w:eastAsia="ko-KR"/>
        </w:rPr>
      </w:pPr>
      <w:r>
        <w:rPr>
          <w:rFonts w:eastAsia="Batang"/>
          <w:b/>
          <w:bCs/>
          <w:i/>
          <w:iCs/>
          <w:szCs w:val="24"/>
          <w:lang w:val="en-GB" w:eastAsia="ko-KR"/>
        </w:rPr>
        <w:t>the serving cell measurement performed by the LR is below exit threshold(s), if configured by the gNB</w:t>
      </w:r>
      <w:r>
        <w:rPr>
          <w:rFonts w:hint="eastAsia"/>
          <w:b/>
          <w:bCs/>
          <w:i/>
          <w:iCs/>
          <w:szCs w:val="24"/>
        </w:rPr>
        <w:t xml:space="preserve">, or </w:t>
      </w:r>
    </w:p>
    <w:p>
      <w:pPr>
        <w:numPr>
          <w:ilvl w:val="0"/>
          <w:numId w:val="9"/>
        </w:numPr>
        <w:spacing w:before="0" w:beforeLines="0" w:line="240" w:lineRule="auto"/>
        <w:rPr>
          <w:rFonts w:cs="Times"/>
          <w:i/>
          <w:iCs/>
        </w:rPr>
      </w:pPr>
      <w:r>
        <w:rPr>
          <w:rFonts w:hint="eastAsia"/>
          <w:b/>
          <w:bCs/>
          <w:i/>
          <w:iCs/>
          <w:szCs w:val="24"/>
        </w:rPr>
        <w:t>The UE has not received LP-WUS for a long time</w:t>
      </w:r>
    </w:p>
    <w:p>
      <w:pPr>
        <w:pStyle w:val="2"/>
        <w:tabs>
          <w:tab w:val="left" w:pos="612"/>
        </w:tabs>
        <w:spacing w:before="120"/>
        <w:rPr>
          <w:lang w:val="en-US"/>
        </w:rPr>
      </w:pPr>
      <w:r>
        <w:rPr>
          <w:rFonts w:hint="eastAsia"/>
          <w:lang w:val="en-US"/>
        </w:rPr>
        <w:t>RRM measurement</w:t>
      </w:r>
    </w:p>
    <w:p>
      <w:pPr>
        <w:pStyle w:val="3"/>
        <w:spacing w:before="120"/>
        <w:rPr>
          <w:lang w:val="en-US"/>
        </w:rPr>
      </w:pPr>
      <w:r>
        <w:rPr>
          <w:rFonts w:hint="eastAsia"/>
          <w:lang w:val="en-US"/>
        </w:rPr>
        <w:t>Measurement metrics</w:t>
      </w:r>
    </w:p>
    <w:p>
      <w:pPr>
        <w:spacing w:before="0" w:beforeLines="0" w:line="240" w:lineRule="auto"/>
        <w:rPr>
          <w:b/>
          <w:bCs/>
          <w:u w:val="single"/>
        </w:rPr>
      </w:pPr>
      <w:r>
        <w:rPr>
          <w:rFonts w:hint="eastAsia"/>
          <w:b/>
          <w:bCs/>
          <w:u w:val="single"/>
        </w:rPr>
        <w:t>OOK-based WUR</w:t>
      </w:r>
    </w:p>
    <w:p>
      <w:pPr>
        <w:spacing w:before="0" w:beforeLines="0" w:line="240" w:lineRule="auto"/>
      </w:pPr>
      <w:r>
        <w:rPr>
          <w:rFonts w:hint="eastAsia"/>
        </w:rPr>
        <w:t>In RAN1, according to the agreements, the measurement metrics, e.g., RSRP and RSRQ are focused. For RSRP, it is the linear average of received power of LP-SS in OOK ON symbols, which has the similar definition as SS-RSRP. From our perspective, how to determine the received power of LP-SS is up to implementation, similar as NR. However, the definition for OOK ON symbols should be further clarified.</w:t>
      </w:r>
    </w:p>
    <w:p>
      <w:pPr>
        <w:spacing w:before="0" w:beforeLines="0" w:line="240" w:lineRule="auto"/>
      </w:pPr>
      <w:r>
        <w:rPr>
          <w:rFonts w:hint="eastAsia"/>
        </w:rPr>
        <w:t>For example, for OOK, refer to 802.11, a MC-OOK symbol is either an MC-OOK On Symbol where the multicarrier signal is present or an MC-OOK Off Symbol where no signal is present.</w:t>
      </w:r>
    </w:p>
    <w:p>
      <w:pPr>
        <w:spacing w:before="0" w:beforeLines="0" w:line="240" w:lineRule="auto"/>
        <w:rPr>
          <w:b/>
          <w:bCs/>
          <w:i/>
          <w:iCs/>
        </w:rPr>
      </w:pPr>
      <w:r>
        <w:rPr>
          <w:rFonts w:hint="eastAsia"/>
          <w:b/>
          <w:bCs/>
          <w:i/>
          <w:iCs/>
        </w:rPr>
        <w:t>Proposal 3: Further clarify definition for OOK ON symbols or OOK OFF symbols.</w:t>
      </w:r>
    </w:p>
    <w:p>
      <w:pPr>
        <w:spacing w:before="0" w:beforeLines="0" w:line="240" w:lineRule="auto"/>
        <w:rPr>
          <w:b/>
          <w:bCs/>
        </w:rPr>
      </w:pPr>
    </w:p>
    <w:p>
      <w:pPr>
        <w:spacing w:before="0" w:beforeLines="0" w:line="240" w:lineRule="auto"/>
        <w:rPr>
          <w:b/>
          <w:bCs/>
          <w:u w:val="single"/>
        </w:rPr>
      </w:pPr>
      <w:r>
        <w:rPr>
          <w:rFonts w:hint="eastAsia"/>
          <w:b/>
          <w:bCs/>
          <w:u w:val="single"/>
        </w:rPr>
        <w:t>OFDM-based WUR</w:t>
      </w:r>
    </w:p>
    <w:p>
      <w:pPr>
        <w:spacing w:before="0" w:beforeLines="0" w:line="240" w:lineRule="auto"/>
      </w:pPr>
      <w:r>
        <w:rPr>
          <w:rFonts w:hint="eastAsia"/>
        </w:rPr>
        <w:t>According to the RAN4</w:t>
      </w:r>
      <w:r>
        <w:t>’</w:t>
      </w:r>
      <w:r>
        <w:rPr>
          <w:rFonts w:hint="eastAsia"/>
        </w:rPr>
        <w:t>s agreements in 110bis, RAN4 agreed that the WUR could perform serving cell measurement based on PSS/SSS, which should be based on OFDM-based receiver.</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0" w:after="180" w:line="240" w:lineRule="auto"/>
              <w:jc w:val="left"/>
              <w:rPr>
                <w:rFonts w:eastAsia="等线"/>
                <w:color w:val="000000"/>
                <w:sz w:val="21"/>
                <w:szCs w:val="21"/>
                <w:highlight w:val="green"/>
              </w:rPr>
            </w:pPr>
            <w:r>
              <w:rPr>
                <w:rFonts w:eastAsia="等线"/>
                <w:color w:val="000000"/>
                <w:sz w:val="21"/>
                <w:szCs w:val="21"/>
                <w:highlight w:val="green"/>
              </w:rPr>
              <w:t>Agreement:</w:t>
            </w:r>
          </w:p>
          <w:p>
            <w:pPr>
              <w:numPr>
                <w:ilvl w:val="1"/>
                <w:numId w:val="10"/>
              </w:numPr>
              <w:spacing w:before="120"/>
              <w:ind w:left="1440"/>
              <w:rPr>
                <w:rFonts w:eastAsia="等线"/>
                <w:color w:val="000000"/>
                <w:kern w:val="2"/>
                <w:sz w:val="21"/>
                <w:szCs w:val="21"/>
              </w:rPr>
            </w:pPr>
            <w:r>
              <w:rPr>
                <w:rFonts w:eastAsia="等线"/>
                <w:color w:val="000000"/>
                <w:kern w:val="2"/>
                <w:sz w:val="21"/>
                <w:szCs w:val="21"/>
              </w:rPr>
              <w:t>At Rel-19 LP-WUR WI, for LP-WUR measurement, RAN4 specifies measurement requirements for the following:</w:t>
            </w:r>
          </w:p>
          <w:p>
            <w:pPr>
              <w:numPr>
                <w:ilvl w:val="2"/>
                <w:numId w:val="10"/>
              </w:numPr>
              <w:spacing w:before="120"/>
              <w:rPr>
                <w:rFonts w:eastAsia="等线"/>
                <w:color w:val="000000"/>
                <w:kern w:val="2"/>
                <w:sz w:val="21"/>
                <w:szCs w:val="21"/>
              </w:rPr>
            </w:pPr>
            <w:r>
              <w:rPr>
                <w:rFonts w:eastAsia="等线"/>
                <w:color w:val="000000"/>
                <w:kern w:val="2"/>
                <w:sz w:val="21"/>
                <w:szCs w:val="21"/>
              </w:rPr>
              <w:t>Measurement requirements for LP-WUR serving cell measurement based on LP-SS at Idle/Inactive state</w:t>
            </w:r>
          </w:p>
          <w:p>
            <w:pPr>
              <w:numPr>
                <w:ilvl w:val="2"/>
                <w:numId w:val="10"/>
              </w:numPr>
              <w:spacing w:before="120"/>
              <w:rPr>
                <w:rFonts w:eastAsia="等线"/>
                <w:kern w:val="2"/>
                <w:sz w:val="21"/>
                <w:szCs w:val="21"/>
              </w:rPr>
            </w:pPr>
            <w:r>
              <w:rPr>
                <w:rFonts w:eastAsia="等线"/>
                <w:kern w:val="2"/>
                <w:sz w:val="21"/>
                <w:szCs w:val="21"/>
              </w:rPr>
              <w:t>Measurement requirements for LP-WUR serving cell measurement based on existing PSS/SSS at Idle/Inactive state</w:t>
            </w:r>
          </w:p>
          <w:p>
            <w:pPr>
              <w:numPr>
                <w:ilvl w:val="1"/>
                <w:numId w:val="10"/>
              </w:numPr>
              <w:spacing w:before="120"/>
              <w:ind w:left="1440"/>
            </w:pPr>
            <w:r>
              <w:rPr>
                <w:rFonts w:eastAsia="等线"/>
                <w:kern w:val="2"/>
                <w:sz w:val="21"/>
                <w:szCs w:val="21"/>
              </w:rPr>
              <w:t>Other related requirements are FFS</w:t>
            </w:r>
          </w:p>
        </w:tc>
      </w:tr>
    </w:tbl>
    <w:p>
      <w:pPr>
        <w:spacing w:before="0" w:beforeLines="0" w:line="240" w:lineRule="auto"/>
      </w:pPr>
    </w:p>
    <w:p>
      <w:pPr>
        <w:spacing w:before="0" w:beforeLines="0" w:line="240" w:lineRule="auto"/>
      </w:pPr>
      <w:r>
        <w:rPr>
          <w:rFonts w:hint="eastAsia"/>
        </w:rPr>
        <w:t xml:space="preserve">Moreover, in RAN1, </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0" w:after="0" w:line="240" w:lineRule="auto"/>
              <w:jc w:val="left"/>
              <w:rPr>
                <w:rFonts w:ascii="Times" w:hAnsi="Times" w:eastAsia="等线"/>
                <w:b/>
                <w:bCs/>
                <w:szCs w:val="24"/>
                <w:lang w:val="en-GB" w:bidi="ar"/>
              </w:rPr>
            </w:pPr>
            <w:r>
              <w:rPr>
                <w:rFonts w:ascii="Times" w:hAnsi="Times" w:eastAsia="等线"/>
                <w:b/>
                <w:bCs/>
                <w:szCs w:val="24"/>
                <w:highlight w:val="darkYellow"/>
                <w:lang w:val="en-GB" w:bidi="ar"/>
              </w:rPr>
              <w:t>Working Assumption</w:t>
            </w:r>
          </w:p>
          <w:p>
            <w:pPr>
              <w:snapToGrid/>
              <w:spacing w:before="0" w:beforeLines="0" w:after="0" w:line="240" w:lineRule="auto"/>
              <w:jc w:val="left"/>
              <w:rPr>
                <w:rFonts w:ascii="Times" w:hAnsi="Times" w:eastAsia="Batang"/>
                <w:szCs w:val="20"/>
                <w:lang w:val="en-GB" w:eastAsia="en-US"/>
              </w:rPr>
            </w:pPr>
            <w:r>
              <w:rPr>
                <w:rFonts w:ascii="Times" w:hAnsi="Times" w:eastAsia="Batang"/>
                <w:szCs w:val="20"/>
                <w:lang w:val="en-GB" w:eastAsia="en-US"/>
              </w:rPr>
              <w:t>From RAN1 perspective, for the RRM measurement metrics based on SSS for OFDM-based LP-WUR, use the same definition of SS-RSRP and SS-RSRQ for LP-SSS-RSRP and LP-SSS-RSRQ, respectively.</w:t>
            </w:r>
          </w:p>
          <w:p>
            <w:pPr>
              <w:numPr>
                <w:ilvl w:val="0"/>
                <w:numId w:val="8"/>
              </w:numPr>
              <w:spacing w:before="120"/>
              <w:rPr>
                <w:rFonts w:ascii="Times" w:hAnsi="Times" w:eastAsia="Batang"/>
                <w:szCs w:val="20"/>
                <w:lang w:val="en-GB"/>
              </w:rPr>
            </w:pPr>
            <w:r>
              <w:rPr>
                <w:rFonts w:hint="eastAsia" w:ascii="Times" w:hAnsi="Times" w:eastAsia="Batang"/>
                <w:szCs w:val="20"/>
                <w:lang w:val="en-GB" w:eastAsia="ko-KR"/>
              </w:rPr>
              <w:t>A</w:t>
            </w:r>
            <w:r>
              <w:rPr>
                <w:rFonts w:ascii="Times" w:hAnsi="Times" w:eastAsia="Batang"/>
                <w:szCs w:val="20"/>
                <w:lang w:val="en-GB" w:eastAsia="ko-KR"/>
              </w:rPr>
              <w:t xml:space="preserve">bove is applicable for both </w:t>
            </w:r>
            <w:r>
              <w:rPr>
                <w:rFonts w:ascii="Times" w:hAnsi="Times" w:eastAsia="Batang"/>
                <w:szCs w:val="20"/>
                <w:lang w:val="en-GB"/>
              </w:rPr>
              <w:t>time-domain processing or frequency-domain processing</w:t>
            </w:r>
          </w:p>
          <w:p>
            <w:pPr>
              <w:numPr>
                <w:ilvl w:val="0"/>
                <w:numId w:val="8"/>
              </w:numPr>
              <w:spacing w:before="120"/>
            </w:pPr>
            <w:r>
              <w:rPr>
                <w:rFonts w:hint="eastAsia" w:ascii="Times" w:hAnsi="Times" w:eastAsia="Batang"/>
                <w:szCs w:val="24"/>
                <w:lang w:val="en-GB"/>
              </w:rPr>
              <w:t>A</w:t>
            </w:r>
            <w:r>
              <w:rPr>
                <w:rFonts w:ascii="Times" w:hAnsi="Times" w:eastAsia="Batang"/>
                <w:szCs w:val="24"/>
                <w:lang w:val="en-GB"/>
              </w:rPr>
              <w:t>bove does not imply that RAN1 will introduce LP-SSS-RSRP and LP-SSS-RSRQ in the specifications</w:t>
            </w:r>
          </w:p>
        </w:tc>
      </w:tr>
    </w:tbl>
    <w:p>
      <w:pPr>
        <w:spacing w:before="0" w:beforeLines="0" w:line="240" w:lineRule="auto"/>
      </w:pPr>
    </w:p>
    <w:p>
      <w:pPr>
        <w:spacing w:before="0" w:beforeLines="0" w:line="240" w:lineRule="auto"/>
      </w:pPr>
      <w:r>
        <w:rPr>
          <w:rFonts w:hint="eastAsia"/>
        </w:rPr>
        <w:t>Obviously, if the FFT block is equipped and frequency-domain processing is assumed, the definition of RSRP and RSRQ could be reused. If if the FFT block is not equipped and time-domain processing is assumed, in our understanding, the legacy RSRP definition may require modification, since OFDM-based WUR is unaware of the resource element definition. For example, actually from the OFDM-WUR perspective, the RF bandwidth is assumed to be corresponding to the</w:t>
      </w:r>
      <w:r>
        <w:t xml:space="preserve"> resource elements</w:t>
      </w:r>
      <w:r>
        <w:rPr>
          <w:rFonts w:hint="eastAsia"/>
        </w:rPr>
        <w:t>, which is actually 11RB</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pacing w:before="0" w:beforeLines="0" w:line="240" w:lineRule="auto"/>
            </w:pPr>
            <w:r>
              <w:t>SS reference signal received power (SS-RSRP) is defined as the linear average over the power contributions (in [W]) of the resource elements that carry secondary synchronization signals.</w:t>
            </w:r>
          </w:p>
        </w:tc>
      </w:tr>
    </w:tbl>
    <w:p>
      <w:pPr>
        <w:spacing w:before="0" w:beforeLines="0" w:line="240" w:lineRule="auto"/>
      </w:pP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pacing w:before="120"/>
              <w:rPr>
                <w:b/>
                <w:bCs/>
              </w:rPr>
            </w:pPr>
            <w:r>
              <w:rPr>
                <w:b/>
                <w:bCs/>
                <w:highlight w:val="green"/>
              </w:rPr>
              <w:t>Agreement</w:t>
            </w:r>
          </w:p>
          <w:p>
            <w:pPr>
              <w:overflowPunct w:val="0"/>
              <w:autoSpaceDE w:val="0"/>
              <w:autoSpaceDN w:val="0"/>
              <w:adjustRightInd w:val="0"/>
              <w:spacing w:before="120" w:after="180"/>
              <w:ind w:right="200"/>
              <w:contextualSpacing/>
              <w:textAlignment w:val="baseline"/>
              <w:rPr>
                <w:rFonts w:eastAsiaTheme="minorEastAsia"/>
                <w:kern w:val="2"/>
                <w:szCs w:val="20"/>
              </w:rPr>
            </w:pPr>
            <w:r>
              <w:rPr>
                <w:rFonts w:eastAsiaTheme="minorEastAsia"/>
                <w:kern w:val="2"/>
                <w:szCs w:val="20"/>
              </w:rPr>
              <w:t xml:space="preserve">Update agreement in last meeting as below: </w:t>
            </w:r>
          </w:p>
          <w:p>
            <w:pPr>
              <w:spacing w:before="120" w:after="220"/>
              <w:rPr>
                <w:szCs w:val="20"/>
              </w:rPr>
            </w:pPr>
            <w:r>
              <w:rPr>
                <w:szCs w:val="20"/>
              </w:rPr>
              <w:t>From RAN1 perspective, support X PRBs for LP-WUS and LP-SS with SCS 30kHz (blanked guard RBs are not included) for a channel bandwidth equal or larger than 5MHz</w:t>
            </w:r>
          </w:p>
          <w:p>
            <w:pPr>
              <w:numPr>
                <w:ilvl w:val="0"/>
                <w:numId w:val="11"/>
              </w:numPr>
              <w:spacing w:before="120"/>
              <w:rPr>
                <w:rFonts w:eastAsia="微软雅黑"/>
              </w:rPr>
            </w:pPr>
            <w:r>
              <w:rPr>
                <w:rFonts w:eastAsia="微软雅黑"/>
                <w:highlight w:val="green"/>
              </w:rPr>
              <w:t xml:space="preserve">X </w:t>
            </w:r>
            <w:r>
              <w:rPr>
                <w:rFonts w:eastAsia="微软雅黑"/>
                <w:strike/>
                <w:highlight w:val="green"/>
              </w:rPr>
              <w:t>to be down-selected between</w:t>
            </w:r>
            <w:r>
              <w:rPr>
                <w:rFonts w:eastAsia="微软雅黑"/>
                <w:highlight w:val="green"/>
              </w:rPr>
              <w:t xml:space="preserve"> </w:t>
            </w:r>
            <w:r>
              <w:rPr>
                <w:rFonts w:eastAsia="微软雅黑"/>
                <w:color w:val="FF0000"/>
                <w:highlight w:val="green"/>
              </w:rPr>
              <w:t>= 11</w:t>
            </w:r>
            <w:r>
              <w:rPr>
                <w:rFonts w:eastAsia="微软雅黑"/>
                <w:strike/>
                <w:highlight w:val="green"/>
              </w:rPr>
              <w:t xml:space="preserve"> and 12</w:t>
            </w:r>
            <w:r>
              <w:rPr>
                <w:rFonts w:eastAsia="微软雅黑"/>
                <w:highlight w:val="green"/>
              </w:rPr>
              <w:t xml:space="preserve"> PRBs</w:t>
            </w:r>
            <w:r>
              <w:rPr>
                <w:rFonts w:eastAsia="微软雅黑"/>
              </w:rPr>
              <w:t xml:space="preserve">  </w:t>
            </w:r>
          </w:p>
          <w:p>
            <w:pPr>
              <w:numPr>
                <w:ilvl w:val="0"/>
                <w:numId w:val="11"/>
              </w:numPr>
              <w:spacing w:before="120"/>
              <w:rPr>
                <w:rFonts w:eastAsia="微软雅黑"/>
              </w:rPr>
            </w:pPr>
            <w:r>
              <w:rPr>
                <w:rFonts w:eastAsia="微软雅黑"/>
              </w:rPr>
              <w:t>FFS if other number of PRBs needed, for LP-SS and LP-WUS with a channel bandwidth equal or less than 5MHz</w:t>
            </w:r>
          </w:p>
          <w:p>
            <w:pPr>
              <w:spacing w:before="120"/>
            </w:pPr>
            <w:r>
              <w:rPr>
                <w:rFonts w:eastAsia="微软雅黑"/>
              </w:rPr>
              <w:t>FFS: Whether the above is applicable to FR2</w:t>
            </w:r>
          </w:p>
        </w:tc>
      </w:tr>
    </w:tbl>
    <w:p>
      <w:pPr>
        <w:spacing w:before="0" w:beforeLines="0" w:line="240" w:lineRule="auto"/>
      </w:pPr>
    </w:p>
    <w:p>
      <w:pPr>
        <w:spacing w:before="0" w:beforeLines="0" w:line="240" w:lineRule="auto"/>
      </w:pPr>
      <w:r>
        <w:rPr>
          <w:rFonts w:hint="eastAsia"/>
        </w:rPr>
        <w:t>Therefore, we think, the above is at least applicable for frequency domain processing. For time domain processing, actually the SSS only occupies 127subcarriers, not 11*12=132 subcarriers. If the legacy SS-RSRP definition is reused, how many resource elements that carry SSS should be confirmed</w:t>
      </w:r>
    </w:p>
    <w:p>
      <w:pPr>
        <w:spacing w:before="0" w:beforeLines="0" w:line="240" w:lineRule="auto"/>
        <w:rPr>
          <w:b/>
          <w:bCs/>
          <w:i/>
          <w:iCs/>
        </w:rPr>
      </w:pPr>
      <w:r>
        <w:rPr>
          <w:rFonts w:hint="eastAsia"/>
          <w:b/>
          <w:bCs/>
          <w:i/>
          <w:iCs/>
        </w:rPr>
        <w:t>Proposal 4: For OFDM-WUR without FFT block, clarify the SS reference signal received power is based on 11RBs or 127 subcarriers to calculate the RSRP.</w:t>
      </w:r>
    </w:p>
    <w:p>
      <w:pPr>
        <w:spacing w:before="0" w:beforeLines="0" w:line="240" w:lineRule="auto"/>
      </w:pPr>
    </w:p>
    <w:p>
      <w:pPr>
        <w:pStyle w:val="3"/>
        <w:spacing w:before="120"/>
        <w:rPr>
          <w:lang w:val="en-US"/>
        </w:rPr>
      </w:pPr>
      <w:r>
        <w:rPr>
          <w:rFonts w:hint="eastAsia"/>
          <w:lang w:val="en-US"/>
        </w:rPr>
        <w:t>Relaxed measurement condition</w:t>
      </w:r>
    </w:p>
    <w:p>
      <w:pPr>
        <w:spacing w:before="0" w:beforeLines="0" w:line="240" w:lineRule="auto"/>
      </w:pPr>
      <w:r>
        <w:rPr>
          <w:rFonts w:hint="eastAsia"/>
        </w:rPr>
        <w:t>This relaxed measurement condition is mainly decided by RAN2. In RAN1, we mainly discuss the relationship between relaxed measurement and LP-WUS monitoring. There are several cases to be considered.</w:t>
      </w:r>
    </w:p>
    <w:p>
      <w:pPr>
        <w:spacing w:before="0" w:beforeLines="0" w:line="240" w:lineRule="auto"/>
      </w:pPr>
      <w:r>
        <w:rPr>
          <w:rFonts w:hint="eastAsia"/>
        </w:rPr>
        <w:t>Case1: LP-WUS monitoring and serving cell measurement relaxation is decoupled.</w:t>
      </w:r>
    </w:p>
    <w:p>
      <w:pPr>
        <w:spacing w:before="0" w:beforeLines="0" w:line="240" w:lineRule="auto"/>
      </w:pPr>
      <w:r>
        <w:rPr>
          <w:rFonts w:hint="eastAsia"/>
        </w:rPr>
        <w:t>Case2: LP-WUS monitoring and serving cell measurement relaxation is coupled.</w:t>
      </w:r>
    </w:p>
    <w:p>
      <w:pPr>
        <w:spacing w:before="0" w:beforeLines="0" w:line="240" w:lineRule="auto"/>
      </w:pPr>
      <w:r>
        <w:rPr>
          <w:rFonts w:hint="eastAsia"/>
        </w:rPr>
        <w:t xml:space="preserve">For Case1, it means the UE may monitor LP-WUS but there is no serving cell measurement relaxation or RRM offloading to WUR. Or the UE may only perform relaxed serving cell measurement relaxation or RRM offloading to WUR, but the UE may not monitor LP-WUS. </w:t>
      </w:r>
    </w:p>
    <w:p>
      <w:pPr>
        <w:spacing w:before="0" w:beforeLines="0" w:line="240" w:lineRule="auto"/>
        <w:rPr>
          <w:szCs w:val="24"/>
        </w:rPr>
      </w:pPr>
      <w:r>
        <w:rPr>
          <w:rFonts w:hint="eastAsia"/>
        </w:rPr>
        <w:t xml:space="preserve">For example, </w:t>
      </w:r>
      <w:r>
        <w:rPr>
          <w:rFonts w:eastAsia="Batang"/>
          <w:szCs w:val="24"/>
          <w:lang w:val="en-GB" w:eastAsia="ko-KR"/>
        </w:rPr>
        <w:t>the serving cell measurement performed by the MR is above entry threshold</w:t>
      </w:r>
      <w:r>
        <w:rPr>
          <w:rFonts w:hint="eastAsia"/>
          <w:szCs w:val="24"/>
        </w:rPr>
        <w:t>, but the serving relaxation criteria is still not satisfied. In this case, the UE can monitor LP-WUS but does not perform LR measurement, or does not perform MR serving cell relaxation. There is no power saving gain actually.</w:t>
      </w:r>
    </w:p>
    <w:p>
      <w:pPr>
        <w:numPr>
          <w:ilvl w:val="255"/>
          <w:numId w:val="0"/>
        </w:numPr>
        <w:spacing w:before="0" w:beforeLines="0" w:line="240" w:lineRule="auto"/>
        <w:rPr>
          <w:szCs w:val="24"/>
        </w:rPr>
      </w:pPr>
      <w:r>
        <w:rPr>
          <w:rFonts w:hint="eastAsia"/>
          <w:szCs w:val="24"/>
        </w:rPr>
        <w:t>Another example, according to the agreement, t</w:t>
      </w:r>
      <w:r>
        <w:rPr>
          <w:rFonts w:eastAsia="Batang"/>
          <w:szCs w:val="24"/>
          <w:lang w:val="en-GB" w:eastAsia="ko-KR"/>
        </w:rPr>
        <w:t>he UE may</w:t>
      </w:r>
      <w:r>
        <w:rPr>
          <w:rFonts w:hint="eastAsia"/>
          <w:szCs w:val="24"/>
        </w:rPr>
        <w:t xml:space="preserve"> or may not</w:t>
      </w:r>
      <w:r>
        <w:rPr>
          <w:rFonts w:eastAsia="Batang"/>
          <w:szCs w:val="24"/>
          <w:lang w:val="en-GB" w:eastAsia="ko-KR"/>
        </w:rPr>
        <w:t xml:space="preserve"> start LP-WUS monitoring if</w:t>
      </w:r>
      <w:r>
        <w:rPr>
          <w:rFonts w:hint="eastAsia"/>
          <w:szCs w:val="24"/>
        </w:rPr>
        <w:t xml:space="preserve"> </w:t>
      </w:r>
      <w:r>
        <w:rPr>
          <w:rFonts w:eastAsia="Batang"/>
          <w:szCs w:val="24"/>
          <w:lang w:val="en-GB" w:eastAsia="ko-KR"/>
        </w:rPr>
        <w:t>the serving cell measurement performed by the MR is above entry threshold(s), if configured by the gNB</w:t>
      </w:r>
      <w:r>
        <w:rPr>
          <w:rFonts w:hint="eastAsia"/>
          <w:szCs w:val="24"/>
        </w:rPr>
        <w:t>. In the case that the UE may not monitor LP-WUS, and the LR perform the relaxed measurement, the LP-WUS monitoring and serving measurement relaxation is actually decoupled. In this case, the NW waste the overhead for transmitting the LP-WUS, but the UE does not receive that. Moreover, it is kind of out of scope, which actually skips the LP-WUS mechanism.</w:t>
      </w:r>
    </w:p>
    <w:p>
      <w:pPr>
        <w:numPr>
          <w:ilvl w:val="255"/>
          <w:numId w:val="0"/>
        </w:numPr>
        <w:spacing w:before="0" w:beforeLines="0" w:line="240" w:lineRule="auto"/>
        <w:rPr>
          <w:szCs w:val="24"/>
        </w:rPr>
      </w:pPr>
      <w:r>
        <w:rPr>
          <w:rFonts w:hint="eastAsia"/>
          <w:szCs w:val="24"/>
        </w:rPr>
        <w:t>Therefore, the working assumption only describe the entry condition for monitoring LP-WUS, and it is actually decoupled with serving cell relaxation.</w:t>
      </w:r>
    </w:p>
    <w:p>
      <w:pPr>
        <w:numPr>
          <w:ilvl w:val="255"/>
          <w:numId w:val="0"/>
        </w:numPr>
        <w:spacing w:before="0" w:beforeLines="0" w:line="240" w:lineRule="auto"/>
        <w:rPr>
          <w:szCs w:val="24"/>
        </w:rPr>
      </w:pPr>
      <w:r>
        <w:rPr>
          <w:rFonts w:hint="eastAsia"/>
          <w:szCs w:val="24"/>
        </w:rPr>
        <w:t>For Case2, it means the entry condition of monitoring LP-WUS and the conditions for serving cell relaxations should be satisfied at the same time. And also, the exit condition of monitoring LP-WUS and the conditions for fallback to legacy serving cell measurement are satisfied at the same time.</w:t>
      </w:r>
    </w:p>
    <w:p>
      <w:pPr>
        <w:numPr>
          <w:ilvl w:val="255"/>
          <w:numId w:val="0"/>
        </w:numPr>
        <w:spacing w:before="0" w:beforeLines="0" w:line="240" w:lineRule="auto"/>
        <w:rPr>
          <w:szCs w:val="24"/>
        </w:rPr>
      </w:pPr>
      <w:r>
        <w:rPr>
          <w:rFonts w:hint="eastAsia"/>
          <w:szCs w:val="24"/>
        </w:rPr>
        <w:t>For example, when the s</w:t>
      </w:r>
      <w:r>
        <w:rPr>
          <w:rFonts w:eastAsia="Batang"/>
          <w:szCs w:val="24"/>
          <w:lang w:val="en-GB" w:eastAsia="ko-KR"/>
        </w:rPr>
        <w:t>erving cell measurement performed by the MR is above entry threshold(s)</w:t>
      </w:r>
      <w:r>
        <w:rPr>
          <w:rFonts w:hint="eastAsia"/>
          <w:szCs w:val="24"/>
        </w:rPr>
        <w:t xml:space="preserve"> and the criteria for stationary UE is satisfied, the may UE monitor LP-WUS and perform serving cell measurement relaxation. </w:t>
      </w:r>
    </w:p>
    <w:p>
      <w:pPr>
        <w:numPr>
          <w:ilvl w:val="255"/>
          <w:numId w:val="0"/>
        </w:numPr>
        <w:spacing w:before="0" w:beforeLines="0" w:line="240" w:lineRule="auto"/>
        <w:rPr>
          <w:szCs w:val="24"/>
        </w:rPr>
      </w:pPr>
      <w:r>
        <w:rPr>
          <w:rFonts w:hint="eastAsia"/>
          <w:szCs w:val="24"/>
        </w:rPr>
        <w:t xml:space="preserve">Another example, when </w:t>
      </w:r>
      <w:r>
        <w:rPr>
          <w:rFonts w:eastAsia="Batang"/>
          <w:szCs w:val="24"/>
          <w:lang w:val="en-GB" w:eastAsia="ko-KR"/>
        </w:rPr>
        <w:t>the serving cell measurement performed by the LR is below exit threshold(s)</w:t>
      </w:r>
      <w:r>
        <w:rPr>
          <w:rFonts w:hint="eastAsia"/>
          <w:szCs w:val="24"/>
        </w:rPr>
        <w:t>, the UE fallback to legacy serving cell measurement and also monitor paging.</w:t>
      </w:r>
    </w:p>
    <w:p>
      <w:pPr>
        <w:spacing w:before="0" w:beforeLines="0" w:line="240" w:lineRule="auto"/>
      </w:pPr>
      <w:r>
        <w:rPr>
          <w:rFonts w:hint="eastAsia"/>
        </w:rPr>
        <w:t>From our understanding, if UE only monitor LP-WUS without serving cell measurement relaxation, there is no any power saving gain and latency reduction. At least this case should be precluded. If UE only performs serving cell measurement relaxation without monitoring LP-WUS, there is also no power saving gain due to the periodical paging monitoring. Therefore, it is proposed they are coupled.</w:t>
      </w:r>
    </w:p>
    <w:p>
      <w:pPr>
        <w:numPr>
          <w:ilvl w:val="255"/>
          <w:numId w:val="0"/>
        </w:numPr>
        <w:spacing w:before="0" w:beforeLines="0" w:line="240" w:lineRule="auto"/>
        <w:rPr>
          <w:b/>
          <w:bCs/>
          <w:i/>
          <w:iCs/>
          <w:szCs w:val="24"/>
        </w:rPr>
      </w:pPr>
      <w:r>
        <w:rPr>
          <w:rFonts w:hint="eastAsia"/>
          <w:b/>
          <w:bCs/>
          <w:i/>
          <w:iCs/>
          <w:szCs w:val="24"/>
        </w:rPr>
        <w:t xml:space="preserve">Observation 2: </w:t>
      </w:r>
    </w:p>
    <w:p>
      <w:pPr>
        <w:numPr>
          <w:ilvl w:val="0"/>
          <w:numId w:val="12"/>
        </w:numPr>
        <w:spacing w:before="0" w:beforeLines="0" w:line="240" w:lineRule="auto"/>
        <w:rPr>
          <w:b/>
          <w:bCs/>
          <w:i/>
          <w:iCs/>
          <w:szCs w:val="24"/>
        </w:rPr>
      </w:pPr>
      <w:r>
        <w:rPr>
          <w:rFonts w:hint="eastAsia"/>
          <w:b/>
          <w:bCs/>
          <w:i/>
          <w:iCs/>
          <w:szCs w:val="24"/>
        </w:rPr>
        <w:t>If UE only monitor LP-WUS but not perform LR measurement, there is no power saving gain</w:t>
      </w:r>
    </w:p>
    <w:p>
      <w:pPr>
        <w:numPr>
          <w:ilvl w:val="0"/>
          <w:numId w:val="12"/>
        </w:numPr>
        <w:spacing w:before="0" w:beforeLines="0" w:line="240" w:lineRule="auto"/>
        <w:rPr>
          <w:b/>
          <w:bCs/>
          <w:i/>
          <w:iCs/>
          <w:szCs w:val="24"/>
        </w:rPr>
      </w:pPr>
      <w:r>
        <w:rPr>
          <w:rFonts w:hint="eastAsia"/>
          <w:b/>
          <w:bCs/>
          <w:i/>
          <w:iCs/>
          <w:szCs w:val="24"/>
        </w:rPr>
        <w:t xml:space="preserve">If UE only perform LR measurement but not monitor LP-WUS, it would waste NW resources of LP-WUS, there is no much power saving gain due to periodical paging monitoring, and it is out of scope. </w:t>
      </w:r>
    </w:p>
    <w:p>
      <w:pPr>
        <w:spacing w:before="0" w:beforeLines="0" w:line="240" w:lineRule="auto"/>
        <w:rPr>
          <w:b/>
          <w:bCs/>
          <w:i/>
          <w:iCs/>
        </w:rPr>
      </w:pPr>
      <w:r>
        <w:rPr>
          <w:rFonts w:hint="eastAsia"/>
          <w:b/>
          <w:bCs/>
          <w:i/>
          <w:iCs/>
        </w:rPr>
        <w:t xml:space="preserve">Proposal 5: The entry/exit condition for LP-WUS monitoring and serving cell measurement relaxation should be satisfied at the same time. </w:t>
      </w:r>
    </w:p>
    <w:p>
      <w:pPr>
        <w:numPr>
          <w:ilvl w:val="0"/>
          <w:numId w:val="13"/>
        </w:numPr>
        <w:spacing w:before="0" w:beforeLines="0" w:line="240" w:lineRule="auto"/>
        <w:rPr>
          <w:b/>
          <w:bCs/>
          <w:i/>
          <w:iCs/>
        </w:rPr>
      </w:pPr>
      <w:r>
        <w:rPr>
          <w:rFonts w:hint="eastAsia"/>
          <w:b/>
          <w:bCs/>
          <w:i/>
          <w:iCs/>
        </w:rPr>
        <w:t>If UE performs relaxed measurement based on WUR, the UE also should monitor LP-WUS, vice versa.</w:t>
      </w:r>
    </w:p>
    <w:p>
      <w:pPr>
        <w:spacing w:before="0" w:beforeLines="0" w:line="240" w:lineRule="auto"/>
        <w:rPr>
          <w:b/>
          <w:bCs/>
          <w:i/>
          <w:iCs/>
        </w:rPr>
      </w:pPr>
    </w:p>
    <w:p>
      <w:pPr>
        <w:pStyle w:val="2"/>
        <w:spacing w:before="120"/>
        <w:rPr>
          <w:lang w:val="en-US"/>
        </w:rPr>
      </w:pPr>
      <w:bookmarkStart w:id="11" w:name="OLE_LINK4"/>
      <w:r>
        <w:rPr>
          <w:rFonts w:hint="eastAsia"/>
          <w:lang w:val="en-US"/>
        </w:rPr>
        <w:t>Subgroups method</w:t>
      </w:r>
    </w:p>
    <w:p>
      <w:pPr>
        <w:pStyle w:val="3"/>
        <w:spacing w:before="120" w:afterLines="50" w:line="276" w:lineRule="auto"/>
        <w:rPr>
          <w:rFonts w:eastAsia="宋体"/>
          <w:lang w:val="en-US"/>
        </w:rPr>
      </w:pPr>
      <w:r>
        <w:rPr>
          <w:rFonts w:hint="eastAsia" w:eastAsia="宋体"/>
          <w:lang w:val="en-US"/>
        </w:rPr>
        <w:t>Maximum number of subgroups</w:t>
      </w:r>
    </w:p>
    <w:p>
      <w:pPr>
        <w:spacing w:before="120"/>
      </w:pP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0" w:after="0" w:line="240" w:lineRule="auto"/>
              <w:jc w:val="left"/>
              <w:rPr>
                <w:rFonts w:ascii="Times" w:hAnsi="Times" w:eastAsia="Batang"/>
                <w:b/>
                <w:bCs/>
                <w:szCs w:val="24"/>
                <w:lang w:val="en-GB"/>
              </w:rPr>
            </w:pPr>
            <w:r>
              <w:rPr>
                <w:rFonts w:ascii="Times" w:hAnsi="Times" w:eastAsia="Batang"/>
                <w:b/>
                <w:bCs/>
                <w:szCs w:val="24"/>
                <w:highlight w:val="green"/>
                <w:lang w:val="en-GB"/>
              </w:rPr>
              <w:t>Agreement</w:t>
            </w:r>
          </w:p>
          <w:p>
            <w:pPr>
              <w:snapToGrid/>
              <w:spacing w:before="0" w:beforeLines="0" w:after="0" w:line="240" w:lineRule="auto"/>
              <w:jc w:val="left"/>
              <w:rPr>
                <w:rFonts w:ascii="Times" w:hAnsi="Times" w:eastAsia="Batang"/>
                <w:szCs w:val="20"/>
                <w:lang w:val="en-GB" w:eastAsia="en-US"/>
              </w:rPr>
            </w:pPr>
            <w:r>
              <w:rPr>
                <w:rFonts w:ascii="Times" w:hAnsi="Times" w:eastAsia="Batang"/>
                <w:szCs w:val="20"/>
                <w:lang w:val="en-GB" w:eastAsia="en-US"/>
              </w:rPr>
              <w:t>For idle/inactive mode, the maximum number of subgroups per PO is X, where 8 &lt;= X &lt;= 256.</w:t>
            </w:r>
          </w:p>
          <w:p>
            <w:pPr>
              <w:numPr>
                <w:ilvl w:val="0"/>
                <w:numId w:val="8"/>
              </w:numPr>
              <w:spacing w:before="120"/>
            </w:pPr>
            <w:r>
              <w:rPr>
                <w:rFonts w:ascii="Times" w:hAnsi="Times" w:eastAsia="Batang"/>
                <w:szCs w:val="20"/>
                <w:lang w:val="en-GB"/>
              </w:rPr>
              <w:t>FFS the exact value of X.</w:t>
            </w:r>
          </w:p>
        </w:tc>
      </w:tr>
    </w:tbl>
    <w:p>
      <w:pPr>
        <w:spacing w:before="120" w:afterLines="50" w:line="276" w:lineRule="auto"/>
      </w:pPr>
    </w:p>
    <w:p>
      <w:pPr>
        <w:spacing w:before="120" w:afterLines="50" w:line="276" w:lineRule="auto"/>
      </w:pPr>
      <w:r>
        <w:rPr>
          <w:rFonts w:hint="eastAsia"/>
        </w:rPr>
        <w:t xml:space="preserve">To find the maximum number of subgroups per PO, we need to evaluate the system overhead and PSG at least. </w:t>
      </w:r>
    </w:p>
    <w:p>
      <w:pPr>
        <w:spacing w:before="120" w:afterLines="50" w:line="276" w:lineRule="auto"/>
        <w:jc w:val="center"/>
      </w:pPr>
      <w:r>
        <w:rPr>
          <w:rFonts w:hint="eastAsia"/>
        </w:rPr>
        <w:t>Table 1. Assumptions to calculate the system overhead and PSG</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93"/>
        <w:gridCol w:w="4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93" w:type="dxa"/>
            <w:vAlign w:val="bottom"/>
          </w:tcPr>
          <w:p>
            <w:pPr>
              <w:spacing w:before="120"/>
              <w:jc w:val="left"/>
              <w:textAlignment w:val="bottom"/>
              <w:rPr>
                <w:color w:val="000000"/>
                <w:szCs w:val="20"/>
              </w:rPr>
            </w:pPr>
            <w:r>
              <w:rPr>
                <w:color w:val="000000"/>
                <w:szCs w:val="20"/>
                <w:lang w:bidi="ar"/>
              </w:rPr>
              <w:t>system bandwidth(M)</w:t>
            </w:r>
          </w:p>
        </w:tc>
        <w:tc>
          <w:tcPr>
            <w:tcW w:w="4593" w:type="dxa"/>
          </w:tcPr>
          <w:p>
            <w:pPr>
              <w:spacing w:before="120" w:afterLines="50" w:line="276" w:lineRule="auto"/>
              <w:rPr>
                <w:szCs w:val="20"/>
              </w:rPr>
            </w:pPr>
            <w:r>
              <w:rPr>
                <w:rFonts w:hint="eastAsia"/>
                <w:szCs w:val="20"/>
              </w:rPr>
              <w:t>20M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93" w:type="dxa"/>
            <w:vAlign w:val="bottom"/>
          </w:tcPr>
          <w:p>
            <w:pPr>
              <w:spacing w:before="120"/>
              <w:jc w:val="left"/>
              <w:textAlignment w:val="bottom"/>
              <w:rPr>
                <w:color w:val="000000"/>
                <w:szCs w:val="20"/>
              </w:rPr>
            </w:pPr>
            <w:r>
              <w:rPr>
                <w:color w:val="000000"/>
                <w:szCs w:val="20"/>
                <w:lang w:bidi="ar"/>
              </w:rPr>
              <w:t>numerlogy</w:t>
            </w:r>
          </w:p>
        </w:tc>
        <w:tc>
          <w:tcPr>
            <w:tcW w:w="4593" w:type="dxa"/>
          </w:tcPr>
          <w:p>
            <w:pPr>
              <w:spacing w:before="120" w:afterLines="50" w:line="276" w:lineRule="auto"/>
              <w:rPr>
                <w:szCs w:val="20"/>
              </w:rPr>
            </w:pPr>
            <w:r>
              <w:rPr>
                <w:rFonts w:hint="eastAsia"/>
                <w:szCs w:val="20"/>
              </w:rPr>
              <w:t>15KHz, u=0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93" w:type="dxa"/>
            <w:vAlign w:val="bottom"/>
          </w:tcPr>
          <w:p>
            <w:pPr>
              <w:spacing w:before="120"/>
              <w:jc w:val="left"/>
              <w:textAlignment w:val="bottom"/>
              <w:rPr>
                <w:color w:val="000000"/>
                <w:szCs w:val="20"/>
              </w:rPr>
            </w:pPr>
            <w:r>
              <w:rPr>
                <w:color w:val="000000"/>
                <w:szCs w:val="20"/>
                <w:lang w:bidi="ar"/>
              </w:rPr>
              <w:t>paging cycle</w:t>
            </w:r>
          </w:p>
        </w:tc>
        <w:tc>
          <w:tcPr>
            <w:tcW w:w="4593" w:type="dxa"/>
          </w:tcPr>
          <w:p>
            <w:pPr>
              <w:spacing w:before="120" w:afterLines="50" w:line="276" w:lineRule="auto"/>
              <w:rPr>
                <w:szCs w:val="20"/>
              </w:rPr>
            </w:pPr>
            <w:r>
              <w:rPr>
                <w:rFonts w:hint="eastAsia"/>
                <w:szCs w:val="20"/>
              </w:rPr>
              <w:t>1280ms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93" w:type="dxa"/>
            <w:vAlign w:val="bottom"/>
          </w:tcPr>
          <w:p>
            <w:pPr>
              <w:spacing w:before="120"/>
              <w:jc w:val="left"/>
              <w:textAlignment w:val="bottom"/>
              <w:rPr>
                <w:color w:val="000000"/>
                <w:szCs w:val="20"/>
              </w:rPr>
            </w:pPr>
            <w:r>
              <w:rPr>
                <w:color w:val="000000"/>
                <w:szCs w:val="20"/>
                <w:lang w:bidi="ar"/>
              </w:rPr>
              <w:t>PF per paging cycle</w:t>
            </w:r>
            <w:r>
              <w:rPr>
                <w:rFonts w:hint="eastAsia"/>
                <w:color w:val="000000"/>
                <w:szCs w:val="20"/>
                <w:lang w:bidi="ar"/>
              </w:rPr>
              <w:t>(F)</w:t>
            </w:r>
          </w:p>
        </w:tc>
        <w:tc>
          <w:tcPr>
            <w:tcW w:w="4593" w:type="dxa"/>
          </w:tcPr>
          <w:p>
            <w:pPr>
              <w:spacing w:before="120" w:afterLines="50" w:line="276" w:lineRule="auto"/>
              <w:rPr>
                <w:szCs w:val="20"/>
              </w:rPr>
            </w:pPr>
            <w:r>
              <w:rPr>
                <w:rFonts w:hint="eastAsia"/>
                <w:szCs w:val="20"/>
              </w:rPr>
              <w:t>F=4/16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93" w:type="dxa"/>
            <w:vAlign w:val="bottom"/>
          </w:tcPr>
          <w:p>
            <w:pPr>
              <w:spacing w:before="120"/>
              <w:jc w:val="left"/>
              <w:textAlignment w:val="bottom"/>
              <w:rPr>
                <w:color w:val="000000"/>
                <w:szCs w:val="20"/>
              </w:rPr>
            </w:pPr>
            <w:r>
              <w:rPr>
                <w:color w:val="000000"/>
                <w:szCs w:val="20"/>
                <w:lang w:bidi="ar"/>
              </w:rPr>
              <w:t>PO per PF</w:t>
            </w:r>
            <w:r>
              <w:rPr>
                <w:rFonts w:hint="eastAsia"/>
                <w:color w:val="000000"/>
                <w:szCs w:val="20"/>
                <w:lang w:bidi="ar"/>
              </w:rPr>
              <w:t>(O)</w:t>
            </w:r>
          </w:p>
        </w:tc>
        <w:tc>
          <w:tcPr>
            <w:tcW w:w="4593" w:type="dxa"/>
          </w:tcPr>
          <w:p>
            <w:pPr>
              <w:spacing w:before="120" w:afterLines="50" w:line="276" w:lineRule="auto"/>
              <w:rPr>
                <w:szCs w:val="20"/>
              </w:rPr>
            </w:pPr>
            <w:r>
              <w:rPr>
                <w:rFonts w:hint="eastAsia"/>
                <w:szCs w:val="20"/>
              </w:rPr>
              <w:t>O=1/4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93" w:type="dxa"/>
          </w:tcPr>
          <w:p>
            <w:pPr>
              <w:spacing w:before="120" w:afterLines="50" w:line="276" w:lineRule="auto"/>
              <w:rPr>
                <w:szCs w:val="20"/>
              </w:rPr>
            </w:pPr>
            <w:r>
              <w:rPr>
                <w:rFonts w:hint="eastAsia"/>
                <w:szCs w:val="20"/>
              </w:rPr>
              <w:t>Per UE paging rate(p)</w:t>
            </w:r>
          </w:p>
        </w:tc>
        <w:tc>
          <w:tcPr>
            <w:tcW w:w="4593" w:type="dxa"/>
          </w:tcPr>
          <w:p>
            <w:pPr>
              <w:spacing w:before="120" w:afterLines="50" w:line="276" w:lineRule="auto"/>
              <w:rPr>
                <w:szCs w:val="20"/>
              </w:rPr>
            </w:pPr>
            <w:r>
              <w:rPr>
                <w:rFonts w:hint="eastAsia"/>
                <w:szCs w:val="20"/>
              </w:rPr>
              <w:t>p=0.001/0.</w:t>
            </w:r>
            <w:r>
              <w:rPr>
                <w:rFonts w:hint="eastAsia"/>
                <w:color w:val="000000"/>
                <w:szCs w:val="20"/>
                <w:lang w:bidi="ar"/>
              </w:rPr>
              <w:t>000177778</w:t>
            </w:r>
            <w:r>
              <w:rPr>
                <w:rFonts w:hint="eastAsia"/>
                <w:szCs w:val="20"/>
              </w:rPr>
              <w:t>(2 hours per packet)</w:t>
            </w:r>
          </w:p>
          <w:p>
            <w:pPr>
              <w:spacing w:before="120" w:afterLines="50" w:line="276" w:lineRule="auto"/>
              <w:rPr>
                <w:szCs w:val="20"/>
              </w:rPr>
            </w:pPr>
            <w:r>
              <w:rPr>
                <w:rFonts w:hint="eastAsia"/>
                <w:szCs w:val="20"/>
              </w:rPr>
              <w:t>Note: the results for p 0.00017778  is attached  in the annex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93" w:type="dxa"/>
            <w:vAlign w:val="bottom"/>
          </w:tcPr>
          <w:p>
            <w:pPr>
              <w:spacing w:before="120"/>
              <w:jc w:val="left"/>
              <w:textAlignment w:val="bottom"/>
              <w:rPr>
                <w:color w:val="000000"/>
                <w:szCs w:val="20"/>
              </w:rPr>
            </w:pPr>
            <w:r>
              <w:rPr>
                <w:color w:val="000000"/>
                <w:szCs w:val="20"/>
                <w:lang w:bidi="ar"/>
              </w:rPr>
              <w:t>number of subgroups per PO</w:t>
            </w:r>
          </w:p>
        </w:tc>
        <w:tc>
          <w:tcPr>
            <w:tcW w:w="4593" w:type="dxa"/>
          </w:tcPr>
          <w:p>
            <w:pPr>
              <w:spacing w:before="120" w:afterLines="50" w:line="276" w:lineRule="auto"/>
              <w:rPr>
                <w:szCs w:val="20"/>
              </w:rPr>
            </w:pPr>
            <w:r>
              <w:rPr>
                <w:rFonts w:hint="eastAsia"/>
                <w:szCs w:val="20"/>
              </w:rPr>
              <w:t>256,8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93" w:type="dxa"/>
            <w:vAlign w:val="bottom"/>
          </w:tcPr>
          <w:p>
            <w:pPr>
              <w:spacing w:before="120"/>
              <w:jc w:val="left"/>
              <w:textAlignment w:val="bottom"/>
              <w:rPr>
                <w:color w:val="000000"/>
                <w:szCs w:val="20"/>
              </w:rPr>
            </w:pPr>
            <w:r>
              <w:rPr>
                <w:color w:val="000000"/>
                <w:szCs w:val="20"/>
                <w:lang w:bidi="ar"/>
              </w:rPr>
              <w:t xml:space="preserve">LP-WUS # of slots </w:t>
            </w:r>
          </w:p>
        </w:tc>
        <w:tc>
          <w:tcPr>
            <w:tcW w:w="4593" w:type="dxa"/>
          </w:tcPr>
          <w:p>
            <w:pPr>
              <w:spacing w:before="120" w:afterLines="50" w:line="276" w:lineRule="auto"/>
              <w:rPr>
                <w:szCs w:val="20"/>
              </w:rPr>
            </w:pPr>
            <w:r>
              <w:rPr>
                <w:rFonts w:hint="eastAsia"/>
                <w:szCs w:val="20"/>
              </w:rPr>
              <w:t>4 slots with 16bits based on 256 subgroup, wherein the LP-WUS can wake-up two subgroups</w:t>
            </w:r>
          </w:p>
          <w:p>
            <w:pPr>
              <w:spacing w:before="120" w:afterLines="50" w:line="276" w:lineRule="auto"/>
              <w:rPr>
                <w:szCs w:val="20"/>
              </w:rPr>
            </w:pPr>
            <w:r>
              <w:rPr>
                <w:rFonts w:hint="eastAsia"/>
                <w:szCs w:val="20"/>
              </w:rPr>
              <w:t>2 slots with 8 bits bitmap based on 8 subgroups, wherein the LP-WUS can wake-up 8 subgroups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93" w:type="dxa"/>
            <w:vAlign w:val="bottom"/>
          </w:tcPr>
          <w:p>
            <w:pPr>
              <w:spacing w:before="120"/>
              <w:jc w:val="left"/>
              <w:textAlignment w:val="bottom"/>
              <w:rPr>
                <w:color w:val="000000"/>
                <w:szCs w:val="20"/>
              </w:rPr>
            </w:pPr>
            <w:r>
              <w:rPr>
                <w:color w:val="000000"/>
                <w:szCs w:val="20"/>
                <w:lang w:bidi="ar"/>
              </w:rPr>
              <w:t>LP-WUS bandwidth (MHz)</w:t>
            </w:r>
          </w:p>
        </w:tc>
        <w:tc>
          <w:tcPr>
            <w:tcW w:w="4593" w:type="dxa"/>
          </w:tcPr>
          <w:p>
            <w:pPr>
              <w:spacing w:before="120" w:afterLines="50" w:line="276" w:lineRule="auto"/>
              <w:rPr>
                <w:szCs w:val="20"/>
              </w:rPr>
            </w:pPr>
            <w:r>
              <w:rPr>
                <w:rFonts w:hint="eastAsia"/>
                <w:szCs w:val="20"/>
              </w:rPr>
              <w:t>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93" w:type="dxa"/>
            <w:vAlign w:val="bottom"/>
          </w:tcPr>
          <w:p>
            <w:pPr>
              <w:spacing w:before="120"/>
              <w:jc w:val="left"/>
              <w:textAlignment w:val="bottom"/>
              <w:rPr>
                <w:color w:val="000000"/>
                <w:szCs w:val="20"/>
              </w:rPr>
            </w:pPr>
            <w:r>
              <w:rPr>
                <w:color w:val="000000"/>
                <w:szCs w:val="20"/>
                <w:lang w:bidi="ar"/>
              </w:rPr>
              <w:t>LP-WUS number of beams</w:t>
            </w:r>
          </w:p>
        </w:tc>
        <w:tc>
          <w:tcPr>
            <w:tcW w:w="4593" w:type="dxa"/>
          </w:tcPr>
          <w:p>
            <w:pPr>
              <w:spacing w:before="120" w:afterLines="50" w:line="276" w:lineRule="auto"/>
              <w:rPr>
                <w:szCs w:val="20"/>
              </w:rPr>
            </w:pPr>
            <w:r>
              <w:rPr>
                <w:rFonts w:hint="eastAsia"/>
                <w:szCs w:val="20"/>
              </w:rPr>
              <w:t>4</w:t>
            </w:r>
          </w:p>
        </w:tc>
      </w:tr>
    </w:tbl>
    <w:p>
      <w:pPr>
        <w:spacing w:before="120" w:afterLines="50" w:line="276" w:lineRule="auto"/>
      </w:pPr>
    </w:p>
    <w:p>
      <w:pPr>
        <w:spacing w:before="120" w:afterLines="50" w:line="276" w:lineRule="auto"/>
        <w:jc w:val="center"/>
      </w:pPr>
      <w:r>
        <w:rPr>
          <w:rFonts w:hint="eastAsia"/>
        </w:rPr>
        <w:t>Table 2. System overhead and PSG based on {</w:t>
      </w:r>
      <w:r>
        <w:rPr>
          <w:rFonts w:hint="eastAsia"/>
          <w:color w:val="000000"/>
          <w:szCs w:val="20"/>
          <w:lang w:bidi="ar"/>
        </w:rPr>
        <w:t>F=4, O=1, p=0.001}</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4"/>
        <w:gridCol w:w="2317"/>
        <w:gridCol w:w="1675"/>
        <w:gridCol w:w="1882"/>
        <w:gridCol w:w="1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4" w:type="dxa"/>
            <w:vAlign w:val="bottom"/>
          </w:tcPr>
          <w:p>
            <w:pPr>
              <w:spacing w:before="120"/>
              <w:jc w:val="left"/>
              <w:textAlignment w:val="bottom"/>
              <w:rPr>
                <w:color w:val="000000"/>
                <w:szCs w:val="20"/>
                <w:lang w:bidi="ar"/>
              </w:rPr>
            </w:pPr>
          </w:p>
        </w:tc>
        <w:tc>
          <w:tcPr>
            <w:tcW w:w="3992" w:type="dxa"/>
            <w:gridSpan w:val="2"/>
            <w:vAlign w:val="bottom"/>
          </w:tcPr>
          <w:p>
            <w:pPr>
              <w:spacing w:before="120"/>
              <w:jc w:val="center"/>
              <w:textAlignment w:val="bottom"/>
              <w:rPr>
                <w:color w:val="000000"/>
                <w:szCs w:val="20"/>
                <w:lang w:bidi="ar"/>
              </w:rPr>
            </w:pPr>
            <w:r>
              <w:rPr>
                <w:rFonts w:hint="eastAsia"/>
                <w:color w:val="000000"/>
                <w:szCs w:val="20"/>
                <w:lang w:bidi="ar"/>
              </w:rPr>
              <w:t>256 subgroups</w:t>
            </w:r>
          </w:p>
        </w:tc>
        <w:tc>
          <w:tcPr>
            <w:tcW w:w="3557" w:type="dxa"/>
            <w:gridSpan w:val="2"/>
            <w:vAlign w:val="bottom"/>
          </w:tcPr>
          <w:p>
            <w:pPr>
              <w:spacing w:before="120"/>
              <w:jc w:val="center"/>
              <w:textAlignment w:val="bottom"/>
              <w:rPr>
                <w:color w:val="000000"/>
                <w:szCs w:val="20"/>
                <w:lang w:bidi="ar"/>
              </w:rPr>
            </w:pPr>
            <w:r>
              <w:rPr>
                <w:rFonts w:hint="eastAsia"/>
                <w:color w:val="000000"/>
                <w:szCs w:val="20"/>
                <w:lang w:bidi="ar"/>
              </w:rPr>
              <w:t>8subgroups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4" w:type="dxa"/>
            <w:vAlign w:val="bottom"/>
          </w:tcPr>
          <w:p>
            <w:pPr>
              <w:spacing w:before="120"/>
              <w:jc w:val="left"/>
              <w:textAlignment w:val="bottom"/>
              <w:rPr>
                <w:szCs w:val="20"/>
              </w:rPr>
            </w:pPr>
            <w:r>
              <w:rPr>
                <w:color w:val="000000"/>
                <w:szCs w:val="20"/>
                <w:lang w:bidi="ar"/>
              </w:rPr>
              <w:t>number of UEs per cell</w:t>
            </w:r>
          </w:p>
        </w:tc>
        <w:tc>
          <w:tcPr>
            <w:tcW w:w="2317" w:type="dxa"/>
            <w:vAlign w:val="bottom"/>
          </w:tcPr>
          <w:p>
            <w:pPr>
              <w:spacing w:before="120"/>
              <w:jc w:val="left"/>
              <w:textAlignment w:val="bottom"/>
              <w:rPr>
                <w:szCs w:val="20"/>
              </w:rPr>
            </w:pPr>
            <w:r>
              <w:rPr>
                <w:color w:val="000000"/>
                <w:szCs w:val="20"/>
                <w:lang w:bidi="ar"/>
              </w:rPr>
              <w:t>system overhead(%)</w:t>
            </w:r>
            <w:r>
              <w:rPr>
                <w:rFonts w:hint="eastAsia"/>
                <w:color w:val="000000"/>
                <w:szCs w:val="20"/>
                <w:lang w:bidi="ar"/>
              </w:rPr>
              <w:t xml:space="preserve"> </w:t>
            </w:r>
          </w:p>
        </w:tc>
        <w:tc>
          <w:tcPr>
            <w:tcW w:w="1675" w:type="dxa"/>
            <w:vAlign w:val="bottom"/>
          </w:tcPr>
          <w:p>
            <w:pPr>
              <w:spacing w:before="120"/>
              <w:jc w:val="right"/>
              <w:textAlignment w:val="bottom"/>
              <w:rPr>
                <w:color w:val="000000"/>
                <w:szCs w:val="20"/>
                <w:lang w:bidi="ar"/>
              </w:rPr>
            </w:pPr>
            <w:r>
              <w:rPr>
                <w:rFonts w:hint="eastAsia"/>
                <w:color w:val="000000"/>
                <w:szCs w:val="20"/>
                <w:lang w:bidi="ar"/>
              </w:rPr>
              <w:t>PSG compared with legacy with PEI</w:t>
            </w:r>
          </w:p>
        </w:tc>
        <w:tc>
          <w:tcPr>
            <w:tcW w:w="1882" w:type="dxa"/>
            <w:vAlign w:val="bottom"/>
          </w:tcPr>
          <w:p>
            <w:pPr>
              <w:spacing w:before="120"/>
              <w:jc w:val="left"/>
              <w:textAlignment w:val="bottom"/>
              <w:rPr>
                <w:szCs w:val="20"/>
              </w:rPr>
            </w:pPr>
            <w:r>
              <w:rPr>
                <w:color w:val="000000"/>
                <w:szCs w:val="20"/>
                <w:lang w:bidi="ar"/>
              </w:rPr>
              <w:t>system overhead(%)</w:t>
            </w:r>
            <w:r>
              <w:rPr>
                <w:rFonts w:hint="eastAsia"/>
                <w:color w:val="000000"/>
                <w:szCs w:val="20"/>
                <w:lang w:bidi="ar"/>
              </w:rPr>
              <w:t xml:space="preserve"> </w:t>
            </w:r>
          </w:p>
        </w:tc>
        <w:tc>
          <w:tcPr>
            <w:tcW w:w="1675" w:type="dxa"/>
            <w:vAlign w:val="bottom"/>
          </w:tcPr>
          <w:p>
            <w:pPr>
              <w:spacing w:before="120"/>
              <w:jc w:val="left"/>
              <w:textAlignment w:val="bottom"/>
              <w:rPr>
                <w:szCs w:val="20"/>
              </w:rPr>
            </w:pPr>
            <w:r>
              <w:rPr>
                <w:rFonts w:hint="eastAsia"/>
                <w:color w:val="000000"/>
                <w:szCs w:val="20"/>
                <w:lang w:bidi="ar"/>
              </w:rPr>
              <w:t>PSG compared with legacy with PEI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34" w:type="dxa"/>
            <w:vAlign w:val="bottom"/>
          </w:tcPr>
          <w:p>
            <w:pPr>
              <w:spacing w:before="120"/>
              <w:jc w:val="right"/>
              <w:textAlignment w:val="bottom"/>
              <w:rPr>
                <w:szCs w:val="20"/>
              </w:rPr>
            </w:pPr>
            <w:r>
              <w:rPr>
                <w:color w:val="000000"/>
                <w:szCs w:val="20"/>
                <w:lang w:bidi="ar"/>
              </w:rPr>
              <w:t>300</w:t>
            </w:r>
          </w:p>
        </w:tc>
        <w:tc>
          <w:tcPr>
            <w:tcW w:w="2317" w:type="dxa"/>
            <w:vAlign w:val="bottom"/>
          </w:tcPr>
          <w:p>
            <w:pPr>
              <w:spacing w:before="120"/>
              <w:jc w:val="right"/>
              <w:textAlignment w:val="bottom"/>
              <w:rPr>
                <w:color w:val="000000"/>
                <w:szCs w:val="20"/>
                <w:lang w:bidi="ar"/>
              </w:rPr>
            </w:pPr>
            <w:r>
              <w:rPr>
                <w:color w:val="000000"/>
                <w:szCs w:val="20"/>
                <w:lang w:bidi="ar"/>
              </w:rPr>
              <w:t>0.04689158</w:t>
            </w:r>
          </w:p>
        </w:tc>
        <w:tc>
          <w:tcPr>
            <w:tcW w:w="1675" w:type="dxa"/>
            <w:vAlign w:val="bottom"/>
          </w:tcPr>
          <w:p>
            <w:pPr>
              <w:spacing w:before="120"/>
              <w:jc w:val="right"/>
              <w:textAlignment w:val="bottom"/>
              <w:rPr>
                <w:color w:val="000000"/>
                <w:szCs w:val="20"/>
                <w:lang w:bidi="ar"/>
              </w:rPr>
            </w:pPr>
            <w:r>
              <w:rPr>
                <w:color w:val="000000"/>
                <w:szCs w:val="20"/>
                <w:lang w:bidi="ar"/>
              </w:rPr>
              <w:t>0.879911455</w:t>
            </w:r>
          </w:p>
        </w:tc>
        <w:tc>
          <w:tcPr>
            <w:tcW w:w="1882" w:type="dxa"/>
            <w:vAlign w:val="bottom"/>
          </w:tcPr>
          <w:p>
            <w:pPr>
              <w:spacing w:before="120"/>
              <w:jc w:val="right"/>
              <w:textAlignment w:val="bottom"/>
              <w:rPr>
                <w:color w:val="000000"/>
                <w:szCs w:val="20"/>
                <w:lang w:bidi="ar"/>
              </w:rPr>
            </w:pPr>
            <w:r>
              <w:rPr>
                <w:color w:val="000000"/>
                <w:szCs w:val="20"/>
                <w:lang w:bidi="ar"/>
              </w:rPr>
              <w:t>0.005834899</w:t>
            </w:r>
          </w:p>
        </w:tc>
        <w:tc>
          <w:tcPr>
            <w:tcW w:w="1675" w:type="dxa"/>
            <w:vAlign w:val="bottom"/>
          </w:tcPr>
          <w:p>
            <w:pPr>
              <w:spacing w:before="120"/>
              <w:jc w:val="right"/>
              <w:textAlignment w:val="bottom"/>
              <w:rPr>
                <w:color w:val="000000"/>
                <w:szCs w:val="20"/>
                <w:lang w:bidi="ar"/>
              </w:rPr>
            </w:pPr>
            <w:r>
              <w:rPr>
                <w:color w:val="000000"/>
                <w:szCs w:val="20"/>
                <w:lang w:bidi="ar"/>
              </w:rPr>
              <w:t>0.798790544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4" w:type="dxa"/>
            <w:vAlign w:val="bottom"/>
          </w:tcPr>
          <w:p>
            <w:pPr>
              <w:spacing w:before="120"/>
              <w:jc w:val="right"/>
              <w:textAlignment w:val="bottom"/>
              <w:rPr>
                <w:szCs w:val="20"/>
              </w:rPr>
            </w:pPr>
            <w:r>
              <w:rPr>
                <w:color w:val="000000"/>
                <w:szCs w:val="20"/>
                <w:lang w:bidi="ar"/>
              </w:rPr>
              <w:t>1200</w:t>
            </w:r>
          </w:p>
        </w:tc>
        <w:tc>
          <w:tcPr>
            <w:tcW w:w="2317" w:type="dxa"/>
            <w:vAlign w:val="bottom"/>
          </w:tcPr>
          <w:p>
            <w:pPr>
              <w:spacing w:before="120"/>
              <w:jc w:val="right"/>
              <w:textAlignment w:val="bottom"/>
              <w:rPr>
                <w:color w:val="000000"/>
                <w:szCs w:val="20"/>
                <w:lang w:bidi="ar"/>
              </w:rPr>
            </w:pPr>
            <w:r>
              <w:rPr>
                <w:color w:val="000000"/>
                <w:szCs w:val="20"/>
                <w:lang w:bidi="ar"/>
              </w:rPr>
              <w:t>0.187483882</w:t>
            </w:r>
          </w:p>
        </w:tc>
        <w:tc>
          <w:tcPr>
            <w:tcW w:w="1675" w:type="dxa"/>
            <w:vAlign w:val="bottom"/>
          </w:tcPr>
          <w:p>
            <w:pPr>
              <w:spacing w:before="120"/>
              <w:jc w:val="right"/>
              <w:textAlignment w:val="bottom"/>
              <w:rPr>
                <w:color w:val="000000"/>
                <w:szCs w:val="20"/>
                <w:lang w:bidi="ar"/>
              </w:rPr>
            </w:pPr>
            <w:r>
              <w:rPr>
                <w:color w:val="000000"/>
                <w:szCs w:val="20"/>
                <w:lang w:bidi="ar"/>
              </w:rPr>
              <w:t>0.870575221</w:t>
            </w:r>
          </w:p>
        </w:tc>
        <w:tc>
          <w:tcPr>
            <w:tcW w:w="1882" w:type="dxa"/>
            <w:vAlign w:val="bottom"/>
          </w:tcPr>
          <w:p>
            <w:pPr>
              <w:spacing w:before="120"/>
              <w:jc w:val="right"/>
              <w:textAlignment w:val="bottom"/>
              <w:rPr>
                <w:color w:val="000000"/>
                <w:szCs w:val="20"/>
                <w:lang w:bidi="ar"/>
              </w:rPr>
            </w:pPr>
            <w:r>
              <w:rPr>
                <w:color w:val="000000"/>
                <w:szCs w:val="20"/>
                <w:lang w:bidi="ar"/>
              </w:rPr>
              <w:t>0.023014784</w:t>
            </w:r>
          </w:p>
        </w:tc>
        <w:tc>
          <w:tcPr>
            <w:tcW w:w="1675" w:type="dxa"/>
            <w:vAlign w:val="bottom"/>
          </w:tcPr>
          <w:p>
            <w:pPr>
              <w:spacing w:before="120"/>
              <w:jc w:val="right"/>
              <w:textAlignment w:val="bottom"/>
              <w:rPr>
                <w:color w:val="000000"/>
                <w:szCs w:val="20"/>
                <w:lang w:bidi="ar"/>
              </w:rPr>
            </w:pPr>
            <w:r>
              <w:rPr>
                <w:color w:val="000000"/>
                <w:szCs w:val="20"/>
                <w:lang w:bidi="ar"/>
              </w:rPr>
              <w:t>0.56</w:t>
            </w:r>
            <w:r>
              <w:rPr>
                <w:rFonts w:hint="eastAsia"/>
                <w:color w:val="000000"/>
                <w:szCs w:val="20"/>
                <w:lang w:bidi="ar"/>
              </w:rPr>
              <w:t>2535657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4" w:type="dxa"/>
            <w:vAlign w:val="bottom"/>
          </w:tcPr>
          <w:p>
            <w:pPr>
              <w:spacing w:before="120"/>
              <w:jc w:val="right"/>
              <w:textAlignment w:val="bottom"/>
              <w:rPr>
                <w:szCs w:val="20"/>
              </w:rPr>
            </w:pPr>
            <w:r>
              <w:rPr>
                <w:color w:val="000000"/>
                <w:szCs w:val="20"/>
                <w:lang w:bidi="ar"/>
              </w:rPr>
              <w:t>5000</w:t>
            </w:r>
          </w:p>
        </w:tc>
        <w:tc>
          <w:tcPr>
            <w:tcW w:w="2317" w:type="dxa"/>
            <w:vAlign w:val="bottom"/>
          </w:tcPr>
          <w:p>
            <w:pPr>
              <w:spacing w:before="120"/>
              <w:jc w:val="right"/>
              <w:textAlignment w:val="bottom"/>
              <w:rPr>
                <w:color w:val="000000"/>
                <w:szCs w:val="20"/>
                <w:lang w:bidi="ar"/>
              </w:rPr>
            </w:pPr>
            <w:r>
              <w:rPr>
                <w:color w:val="000000"/>
                <w:szCs w:val="20"/>
                <w:lang w:bidi="ar"/>
              </w:rPr>
              <w:t>0.779734733</w:t>
            </w:r>
          </w:p>
        </w:tc>
        <w:tc>
          <w:tcPr>
            <w:tcW w:w="1675" w:type="dxa"/>
            <w:vAlign w:val="bottom"/>
          </w:tcPr>
          <w:p>
            <w:pPr>
              <w:spacing w:before="120"/>
              <w:jc w:val="right"/>
              <w:textAlignment w:val="bottom"/>
              <w:rPr>
                <w:color w:val="000000"/>
                <w:szCs w:val="20"/>
                <w:lang w:bidi="ar"/>
              </w:rPr>
            </w:pPr>
            <w:r>
              <w:rPr>
                <w:color w:val="000000"/>
                <w:szCs w:val="20"/>
                <w:lang w:bidi="ar"/>
              </w:rPr>
              <w:t>0.843818985</w:t>
            </w:r>
          </w:p>
        </w:tc>
        <w:tc>
          <w:tcPr>
            <w:tcW w:w="1882" w:type="dxa"/>
            <w:vAlign w:val="bottom"/>
          </w:tcPr>
          <w:p>
            <w:pPr>
              <w:spacing w:before="120"/>
              <w:jc w:val="right"/>
              <w:textAlignment w:val="bottom"/>
              <w:rPr>
                <w:color w:val="000000"/>
                <w:szCs w:val="20"/>
                <w:lang w:bidi="ar"/>
              </w:rPr>
            </w:pPr>
            <w:r>
              <w:rPr>
                <w:color w:val="000000"/>
                <w:szCs w:val="20"/>
                <w:lang w:bidi="ar"/>
              </w:rPr>
              <w:t>0.090450962</w:t>
            </w:r>
          </w:p>
        </w:tc>
        <w:tc>
          <w:tcPr>
            <w:tcW w:w="1675" w:type="dxa"/>
            <w:vAlign w:val="bottom"/>
          </w:tcPr>
          <w:p>
            <w:pPr>
              <w:spacing w:before="120"/>
              <w:jc w:val="right"/>
              <w:textAlignment w:val="bottom"/>
              <w:rPr>
                <w:color w:val="000000"/>
                <w:szCs w:val="20"/>
                <w:lang w:bidi="ar"/>
              </w:rPr>
            </w:pPr>
            <w:r>
              <w:rPr>
                <w:color w:val="000000"/>
                <w:szCs w:val="20"/>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4" w:type="dxa"/>
            <w:vAlign w:val="bottom"/>
          </w:tcPr>
          <w:p>
            <w:pPr>
              <w:spacing w:before="120"/>
              <w:jc w:val="right"/>
              <w:textAlignment w:val="bottom"/>
              <w:rPr>
                <w:szCs w:val="20"/>
              </w:rPr>
            </w:pPr>
            <w:r>
              <w:rPr>
                <w:color w:val="000000"/>
                <w:szCs w:val="20"/>
                <w:lang w:bidi="ar"/>
              </w:rPr>
              <w:t>10000</w:t>
            </w:r>
          </w:p>
        </w:tc>
        <w:tc>
          <w:tcPr>
            <w:tcW w:w="2317" w:type="dxa"/>
            <w:vAlign w:val="bottom"/>
          </w:tcPr>
          <w:p>
            <w:pPr>
              <w:spacing w:before="120"/>
              <w:jc w:val="right"/>
              <w:textAlignment w:val="bottom"/>
              <w:rPr>
                <w:color w:val="000000"/>
                <w:szCs w:val="20"/>
                <w:lang w:bidi="ar"/>
              </w:rPr>
            </w:pPr>
            <w:r>
              <w:rPr>
                <w:color w:val="000000"/>
                <w:szCs w:val="20"/>
                <w:lang w:bidi="ar"/>
              </w:rPr>
              <w:t>1.555669552</w:t>
            </w:r>
          </w:p>
        </w:tc>
        <w:tc>
          <w:tcPr>
            <w:tcW w:w="1675" w:type="dxa"/>
            <w:vAlign w:val="bottom"/>
          </w:tcPr>
          <w:p>
            <w:pPr>
              <w:spacing w:before="120"/>
              <w:jc w:val="right"/>
              <w:textAlignment w:val="bottom"/>
              <w:rPr>
                <w:color w:val="000000"/>
                <w:szCs w:val="20"/>
                <w:lang w:bidi="ar"/>
              </w:rPr>
            </w:pPr>
            <w:r>
              <w:rPr>
                <w:color w:val="000000"/>
                <w:szCs w:val="20"/>
                <w:lang w:bidi="ar"/>
              </w:rPr>
              <w:t>0.798790544</w:t>
            </w:r>
          </w:p>
        </w:tc>
        <w:tc>
          <w:tcPr>
            <w:tcW w:w="1882" w:type="dxa"/>
            <w:vAlign w:val="bottom"/>
          </w:tcPr>
          <w:p>
            <w:pPr>
              <w:spacing w:before="120"/>
              <w:jc w:val="right"/>
              <w:textAlignment w:val="bottom"/>
              <w:rPr>
                <w:color w:val="000000"/>
                <w:szCs w:val="20"/>
                <w:lang w:bidi="ar"/>
              </w:rPr>
            </w:pPr>
            <w:r>
              <w:rPr>
                <w:color w:val="000000"/>
                <w:szCs w:val="20"/>
                <w:lang w:bidi="ar"/>
              </w:rPr>
              <w:t>0.167811721</w:t>
            </w:r>
          </w:p>
        </w:tc>
        <w:tc>
          <w:tcPr>
            <w:tcW w:w="1675" w:type="dxa"/>
            <w:vAlign w:val="bottom"/>
          </w:tcPr>
          <w:p>
            <w:pPr>
              <w:spacing w:before="120"/>
              <w:jc w:val="right"/>
              <w:textAlignment w:val="bottom"/>
              <w:rPr>
                <w:color w:val="000000"/>
                <w:szCs w:val="20"/>
                <w:lang w:bidi="ar"/>
              </w:rPr>
            </w:pPr>
            <w:r>
              <w:rPr>
                <w:color w:val="000000"/>
                <w:szCs w:val="20"/>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4" w:type="dxa"/>
            <w:vAlign w:val="bottom"/>
          </w:tcPr>
          <w:p>
            <w:pPr>
              <w:spacing w:before="120"/>
              <w:jc w:val="right"/>
              <w:textAlignment w:val="bottom"/>
              <w:rPr>
                <w:szCs w:val="20"/>
              </w:rPr>
            </w:pPr>
            <w:r>
              <w:rPr>
                <w:color w:val="000000"/>
                <w:szCs w:val="20"/>
                <w:lang w:bidi="ar"/>
              </w:rPr>
              <w:t>20000</w:t>
            </w:r>
          </w:p>
        </w:tc>
        <w:tc>
          <w:tcPr>
            <w:tcW w:w="2317" w:type="dxa"/>
            <w:vAlign w:val="bottom"/>
          </w:tcPr>
          <w:p>
            <w:pPr>
              <w:spacing w:before="120"/>
              <w:jc w:val="right"/>
              <w:textAlignment w:val="bottom"/>
              <w:rPr>
                <w:color w:val="000000"/>
                <w:szCs w:val="20"/>
                <w:lang w:bidi="ar"/>
              </w:rPr>
            </w:pPr>
            <w:r>
              <w:rPr>
                <w:color w:val="000000"/>
                <w:szCs w:val="20"/>
                <w:lang w:bidi="ar"/>
              </w:rPr>
              <w:t>3.096213431</w:t>
            </w:r>
          </w:p>
        </w:tc>
        <w:tc>
          <w:tcPr>
            <w:tcW w:w="1675" w:type="dxa"/>
            <w:vAlign w:val="bottom"/>
          </w:tcPr>
          <w:p>
            <w:pPr>
              <w:spacing w:before="120"/>
              <w:jc w:val="right"/>
              <w:textAlignment w:val="bottom"/>
              <w:rPr>
                <w:color w:val="000000"/>
                <w:szCs w:val="20"/>
                <w:lang w:bidi="ar"/>
              </w:rPr>
            </w:pPr>
            <w:r>
              <w:rPr>
                <w:color w:val="000000"/>
                <w:szCs w:val="20"/>
                <w:lang w:bidi="ar"/>
              </w:rPr>
              <w:t>0.711086838</w:t>
            </w:r>
          </w:p>
        </w:tc>
        <w:tc>
          <w:tcPr>
            <w:tcW w:w="1882" w:type="dxa"/>
            <w:vAlign w:val="bottom"/>
          </w:tcPr>
          <w:p>
            <w:pPr>
              <w:spacing w:before="120"/>
              <w:jc w:val="right"/>
              <w:textAlignment w:val="bottom"/>
              <w:rPr>
                <w:color w:val="000000"/>
                <w:szCs w:val="20"/>
                <w:lang w:bidi="ar"/>
              </w:rPr>
            </w:pPr>
            <w:r>
              <w:rPr>
                <w:color w:val="000000"/>
                <w:szCs w:val="20"/>
                <w:lang w:bidi="ar"/>
              </w:rPr>
              <w:t>0.290566204</w:t>
            </w:r>
          </w:p>
        </w:tc>
        <w:tc>
          <w:tcPr>
            <w:tcW w:w="1675" w:type="dxa"/>
            <w:vAlign w:val="bottom"/>
          </w:tcPr>
          <w:p>
            <w:pPr>
              <w:spacing w:before="120"/>
              <w:jc w:val="right"/>
              <w:textAlignment w:val="bottom"/>
              <w:rPr>
                <w:color w:val="000000"/>
                <w:szCs w:val="20"/>
                <w:lang w:bidi="ar"/>
              </w:rPr>
            </w:pPr>
            <w:r>
              <w:rPr>
                <w:color w:val="000000"/>
                <w:szCs w:val="20"/>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4" w:type="dxa"/>
            <w:vAlign w:val="bottom"/>
          </w:tcPr>
          <w:p>
            <w:pPr>
              <w:spacing w:before="120"/>
              <w:jc w:val="right"/>
              <w:textAlignment w:val="bottom"/>
              <w:rPr>
                <w:szCs w:val="20"/>
              </w:rPr>
            </w:pPr>
            <w:r>
              <w:rPr>
                <w:color w:val="000000"/>
                <w:szCs w:val="20"/>
                <w:lang w:bidi="ar"/>
              </w:rPr>
              <w:t>40000</w:t>
            </w:r>
          </w:p>
        </w:tc>
        <w:tc>
          <w:tcPr>
            <w:tcW w:w="2317" w:type="dxa"/>
            <w:vAlign w:val="bottom"/>
          </w:tcPr>
          <w:p>
            <w:pPr>
              <w:spacing w:before="120"/>
              <w:jc w:val="right"/>
              <w:textAlignment w:val="bottom"/>
              <w:rPr>
                <w:color w:val="000000"/>
                <w:szCs w:val="20"/>
                <w:lang w:bidi="ar"/>
              </w:rPr>
            </w:pPr>
            <w:r>
              <w:rPr>
                <w:color w:val="000000"/>
                <w:szCs w:val="20"/>
                <w:lang w:bidi="ar"/>
              </w:rPr>
              <w:t>6.132511002</w:t>
            </w:r>
          </w:p>
        </w:tc>
        <w:tc>
          <w:tcPr>
            <w:tcW w:w="1675" w:type="dxa"/>
            <w:vAlign w:val="bottom"/>
          </w:tcPr>
          <w:p>
            <w:pPr>
              <w:spacing w:before="120"/>
              <w:jc w:val="right"/>
              <w:textAlignment w:val="bottom"/>
              <w:rPr>
                <w:color w:val="000000"/>
                <w:szCs w:val="20"/>
                <w:lang w:bidi="ar"/>
              </w:rPr>
            </w:pPr>
            <w:r>
              <w:rPr>
                <w:color w:val="000000"/>
                <w:szCs w:val="20"/>
                <w:lang w:bidi="ar"/>
              </w:rPr>
              <w:t>0.542025862</w:t>
            </w:r>
          </w:p>
        </w:tc>
        <w:tc>
          <w:tcPr>
            <w:tcW w:w="1882" w:type="dxa"/>
            <w:vAlign w:val="bottom"/>
          </w:tcPr>
          <w:p>
            <w:pPr>
              <w:spacing w:before="120"/>
              <w:jc w:val="right"/>
              <w:textAlignment w:val="bottom"/>
              <w:rPr>
                <w:color w:val="000000"/>
                <w:szCs w:val="20"/>
                <w:lang w:bidi="ar"/>
              </w:rPr>
            </w:pPr>
            <w:r>
              <w:rPr>
                <w:color w:val="000000"/>
                <w:szCs w:val="20"/>
                <w:lang w:bidi="ar"/>
              </w:rPr>
              <w:t>0.446046458</w:t>
            </w:r>
          </w:p>
        </w:tc>
        <w:tc>
          <w:tcPr>
            <w:tcW w:w="1675" w:type="dxa"/>
            <w:vAlign w:val="bottom"/>
          </w:tcPr>
          <w:p>
            <w:pPr>
              <w:spacing w:before="120"/>
              <w:jc w:val="right"/>
              <w:textAlignment w:val="bottom"/>
              <w:rPr>
                <w:color w:val="000000"/>
                <w:szCs w:val="20"/>
                <w:lang w:bidi="ar"/>
              </w:rPr>
            </w:pPr>
            <w:r>
              <w:rPr>
                <w:color w:val="000000"/>
                <w:szCs w:val="20"/>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4" w:type="dxa"/>
            <w:vAlign w:val="bottom"/>
          </w:tcPr>
          <w:p>
            <w:pPr>
              <w:spacing w:before="120"/>
              <w:jc w:val="right"/>
              <w:textAlignment w:val="bottom"/>
              <w:rPr>
                <w:szCs w:val="20"/>
              </w:rPr>
            </w:pPr>
            <w:r>
              <w:rPr>
                <w:color w:val="000000"/>
                <w:szCs w:val="20"/>
                <w:lang w:bidi="ar"/>
              </w:rPr>
              <w:t>50000</w:t>
            </w:r>
          </w:p>
        </w:tc>
        <w:tc>
          <w:tcPr>
            <w:tcW w:w="2317" w:type="dxa"/>
            <w:vAlign w:val="bottom"/>
          </w:tcPr>
          <w:p>
            <w:pPr>
              <w:spacing w:before="120"/>
              <w:jc w:val="right"/>
              <w:textAlignment w:val="bottom"/>
              <w:rPr>
                <w:color w:val="000000"/>
                <w:szCs w:val="20"/>
                <w:lang w:bidi="ar"/>
              </w:rPr>
            </w:pPr>
            <w:r>
              <w:rPr>
                <w:color w:val="000000"/>
                <w:szCs w:val="20"/>
                <w:lang w:bidi="ar"/>
              </w:rPr>
              <w:t>7.62855455</w:t>
            </w:r>
          </w:p>
        </w:tc>
        <w:tc>
          <w:tcPr>
            <w:tcW w:w="1675" w:type="dxa"/>
            <w:vAlign w:val="bottom"/>
          </w:tcPr>
          <w:p>
            <w:pPr>
              <w:spacing w:before="120"/>
              <w:jc w:val="right"/>
              <w:textAlignment w:val="bottom"/>
              <w:rPr>
                <w:color w:val="000000"/>
                <w:szCs w:val="20"/>
                <w:lang w:bidi="ar"/>
              </w:rPr>
            </w:pPr>
            <w:r>
              <w:rPr>
                <w:color w:val="000000"/>
                <w:szCs w:val="20"/>
                <w:lang w:bidi="ar"/>
              </w:rPr>
              <w:t>0.468381565</w:t>
            </w:r>
          </w:p>
        </w:tc>
        <w:tc>
          <w:tcPr>
            <w:tcW w:w="1882" w:type="dxa"/>
            <w:vAlign w:val="bottom"/>
          </w:tcPr>
          <w:p>
            <w:pPr>
              <w:spacing w:before="120"/>
              <w:jc w:val="right"/>
              <w:textAlignment w:val="bottom"/>
              <w:rPr>
                <w:color w:val="000000"/>
                <w:szCs w:val="20"/>
                <w:lang w:bidi="ar"/>
              </w:rPr>
            </w:pPr>
            <w:r>
              <w:rPr>
                <w:color w:val="000000"/>
                <w:szCs w:val="20"/>
                <w:lang w:bidi="ar"/>
              </w:rPr>
              <w:t>0.494095261</w:t>
            </w:r>
          </w:p>
        </w:tc>
        <w:tc>
          <w:tcPr>
            <w:tcW w:w="1675" w:type="dxa"/>
            <w:vAlign w:val="bottom"/>
          </w:tcPr>
          <w:p>
            <w:pPr>
              <w:spacing w:before="120"/>
              <w:jc w:val="right"/>
              <w:textAlignment w:val="bottom"/>
              <w:rPr>
                <w:color w:val="000000"/>
                <w:szCs w:val="20"/>
                <w:lang w:bidi="ar"/>
              </w:rPr>
            </w:pPr>
            <w:r>
              <w:rPr>
                <w:color w:val="000000"/>
                <w:szCs w:val="20"/>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4" w:type="dxa"/>
            <w:vAlign w:val="bottom"/>
          </w:tcPr>
          <w:p>
            <w:pPr>
              <w:spacing w:before="120"/>
              <w:jc w:val="right"/>
              <w:textAlignment w:val="bottom"/>
              <w:rPr>
                <w:szCs w:val="20"/>
              </w:rPr>
            </w:pPr>
            <w:r>
              <w:rPr>
                <w:color w:val="000000"/>
                <w:szCs w:val="20"/>
                <w:lang w:bidi="ar"/>
              </w:rPr>
              <w:t>80000</w:t>
            </w:r>
          </w:p>
        </w:tc>
        <w:tc>
          <w:tcPr>
            <w:tcW w:w="2317" w:type="dxa"/>
            <w:vAlign w:val="bottom"/>
          </w:tcPr>
          <w:p>
            <w:pPr>
              <w:spacing w:before="120"/>
              <w:jc w:val="right"/>
              <w:textAlignment w:val="bottom"/>
              <w:rPr>
                <w:color w:val="000000"/>
                <w:szCs w:val="20"/>
                <w:lang w:bidi="ar"/>
              </w:rPr>
            </w:pPr>
            <w:r>
              <w:rPr>
                <w:color w:val="000000"/>
                <w:szCs w:val="20"/>
                <w:lang w:bidi="ar"/>
              </w:rPr>
              <w:t>12.02997393</w:t>
            </w:r>
          </w:p>
        </w:tc>
        <w:tc>
          <w:tcPr>
            <w:tcW w:w="1675" w:type="dxa"/>
            <w:vAlign w:val="bottom"/>
          </w:tcPr>
          <w:p>
            <w:pPr>
              <w:spacing w:before="120"/>
              <w:jc w:val="right"/>
              <w:textAlignment w:val="bottom"/>
              <w:rPr>
                <w:color w:val="000000"/>
                <w:szCs w:val="20"/>
                <w:lang w:bidi="ar"/>
              </w:rPr>
            </w:pPr>
            <w:r>
              <w:rPr>
                <w:color w:val="000000"/>
                <w:szCs w:val="20"/>
                <w:lang w:bidi="ar"/>
              </w:rPr>
              <w:t>0.233438486</w:t>
            </w:r>
          </w:p>
        </w:tc>
        <w:tc>
          <w:tcPr>
            <w:tcW w:w="1882" w:type="dxa"/>
            <w:vAlign w:val="bottom"/>
          </w:tcPr>
          <w:p>
            <w:pPr>
              <w:spacing w:before="120"/>
              <w:jc w:val="right"/>
              <w:textAlignment w:val="bottom"/>
              <w:rPr>
                <w:color w:val="000000"/>
                <w:szCs w:val="20"/>
                <w:lang w:bidi="ar"/>
              </w:rPr>
            </w:pPr>
            <w:r>
              <w:rPr>
                <w:color w:val="000000"/>
                <w:szCs w:val="20"/>
                <w:lang w:bidi="ar"/>
              </w:rPr>
              <w:t>0.573761007</w:t>
            </w:r>
          </w:p>
        </w:tc>
        <w:tc>
          <w:tcPr>
            <w:tcW w:w="1675" w:type="dxa"/>
            <w:vAlign w:val="bottom"/>
          </w:tcPr>
          <w:p>
            <w:pPr>
              <w:spacing w:before="120"/>
              <w:jc w:val="right"/>
              <w:textAlignment w:val="bottom"/>
              <w:rPr>
                <w:color w:val="000000"/>
                <w:szCs w:val="20"/>
                <w:lang w:bidi="ar"/>
              </w:rPr>
            </w:pPr>
            <w:r>
              <w:rPr>
                <w:color w:val="000000"/>
                <w:szCs w:val="20"/>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4" w:type="dxa"/>
            <w:vAlign w:val="bottom"/>
          </w:tcPr>
          <w:p>
            <w:pPr>
              <w:spacing w:before="120"/>
              <w:jc w:val="right"/>
              <w:textAlignment w:val="bottom"/>
              <w:rPr>
                <w:color w:val="000000"/>
                <w:szCs w:val="20"/>
                <w:lang w:bidi="ar"/>
              </w:rPr>
            </w:pPr>
            <w:r>
              <w:rPr>
                <w:rFonts w:hint="eastAsia"/>
                <w:color w:val="000000"/>
                <w:szCs w:val="20"/>
                <w:lang w:bidi="ar"/>
              </w:rPr>
              <w:t>100000</w:t>
            </w:r>
          </w:p>
        </w:tc>
        <w:tc>
          <w:tcPr>
            <w:tcW w:w="2317" w:type="dxa"/>
            <w:vAlign w:val="bottom"/>
          </w:tcPr>
          <w:p>
            <w:pPr>
              <w:spacing w:before="120"/>
              <w:jc w:val="right"/>
              <w:textAlignment w:val="bottom"/>
              <w:rPr>
                <w:color w:val="000000"/>
                <w:szCs w:val="20"/>
                <w:lang w:bidi="ar"/>
              </w:rPr>
            </w:pPr>
            <w:r>
              <w:rPr>
                <w:color w:val="000000"/>
                <w:szCs w:val="20"/>
                <w:lang w:bidi="ar"/>
              </w:rPr>
              <w:t>14.89339132</w:t>
            </w:r>
          </w:p>
        </w:tc>
        <w:tc>
          <w:tcPr>
            <w:tcW w:w="1675" w:type="dxa"/>
            <w:vAlign w:val="bottom"/>
          </w:tcPr>
          <w:p>
            <w:pPr>
              <w:spacing w:before="120"/>
              <w:jc w:val="right"/>
              <w:textAlignment w:val="bottom"/>
              <w:rPr>
                <w:color w:val="000000"/>
                <w:szCs w:val="20"/>
                <w:lang w:bidi="ar"/>
              </w:rPr>
            </w:pPr>
            <w:r>
              <w:rPr>
                <w:color w:val="000000"/>
                <w:szCs w:val="20"/>
                <w:lang w:bidi="ar"/>
              </w:rPr>
              <w:t>0.092515593</w:t>
            </w:r>
          </w:p>
        </w:tc>
        <w:tc>
          <w:tcPr>
            <w:tcW w:w="1882" w:type="dxa"/>
            <w:vAlign w:val="bottom"/>
          </w:tcPr>
          <w:p>
            <w:pPr>
              <w:spacing w:before="120"/>
              <w:jc w:val="right"/>
              <w:textAlignment w:val="bottom"/>
              <w:rPr>
                <w:color w:val="000000"/>
                <w:szCs w:val="20"/>
                <w:lang w:bidi="ar"/>
              </w:rPr>
            </w:pPr>
            <w:r>
              <w:rPr>
                <w:color w:val="000000"/>
                <w:szCs w:val="20"/>
                <w:lang w:bidi="ar"/>
              </w:rPr>
              <w:t>0.597582319</w:t>
            </w:r>
          </w:p>
        </w:tc>
        <w:tc>
          <w:tcPr>
            <w:tcW w:w="1675" w:type="dxa"/>
            <w:vAlign w:val="bottom"/>
          </w:tcPr>
          <w:p>
            <w:pPr>
              <w:spacing w:before="120"/>
              <w:jc w:val="right"/>
              <w:textAlignment w:val="bottom"/>
              <w:rPr>
                <w:color w:val="000000"/>
                <w:szCs w:val="20"/>
                <w:lang w:bidi="ar"/>
              </w:rPr>
            </w:pPr>
            <w:r>
              <w:rPr>
                <w:color w:val="000000"/>
                <w:szCs w:val="20"/>
                <w:lang w:bidi="ar"/>
              </w:rPr>
              <w:t>0</w:t>
            </w:r>
          </w:p>
        </w:tc>
      </w:tr>
    </w:tbl>
    <w:p>
      <w:pPr>
        <w:spacing w:before="120" w:afterLines="50" w:line="276" w:lineRule="auto"/>
      </w:pPr>
    </w:p>
    <w:p>
      <w:pPr>
        <w:spacing w:before="120" w:afterLines="50" w:line="276" w:lineRule="auto"/>
        <w:rPr>
          <w:color w:val="000000"/>
          <w:szCs w:val="20"/>
          <w:lang w:bidi="ar"/>
        </w:rPr>
      </w:pPr>
      <w:r>
        <w:rPr>
          <w:rFonts w:hint="eastAsia"/>
        </w:rPr>
        <w:t xml:space="preserve">If PO and PF carry more subgroupping information, e.g., </w:t>
      </w:r>
      <w:r>
        <w:rPr>
          <w:color w:val="000000"/>
          <w:szCs w:val="20"/>
          <w:lang w:bidi="ar"/>
        </w:rPr>
        <w:t>PF per paging cycle</w:t>
      </w:r>
      <w:r>
        <w:rPr>
          <w:rFonts w:hint="eastAsia"/>
          <w:color w:val="000000"/>
          <w:szCs w:val="20"/>
          <w:lang w:bidi="ar"/>
        </w:rPr>
        <w:t xml:space="preserve">=16 and </w:t>
      </w:r>
      <w:r>
        <w:rPr>
          <w:color w:val="000000"/>
          <w:szCs w:val="20"/>
          <w:lang w:bidi="ar"/>
        </w:rPr>
        <w:t>PO per PF</w:t>
      </w:r>
      <w:r>
        <w:rPr>
          <w:rFonts w:hint="eastAsia"/>
          <w:color w:val="000000"/>
          <w:szCs w:val="20"/>
          <w:lang w:bidi="ar"/>
        </w:rPr>
        <w:t>=4, the system overhead and PSG are shown as follows:</w:t>
      </w:r>
    </w:p>
    <w:p>
      <w:pPr>
        <w:spacing w:before="120" w:afterLines="50" w:line="276" w:lineRule="auto"/>
        <w:jc w:val="center"/>
      </w:pPr>
      <w:r>
        <w:rPr>
          <w:rFonts w:hint="eastAsia"/>
        </w:rPr>
        <w:t>Table 3. System overhead and PSG based on {</w:t>
      </w:r>
      <w:r>
        <w:rPr>
          <w:rFonts w:hint="eastAsia"/>
          <w:color w:val="000000"/>
          <w:szCs w:val="20"/>
          <w:lang w:bidi="ar"/>
        </w:rPr>
        <w:t>F=16, O=4, p=0.001}</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4"/>
        <w:gridCol w:w="2317"/>
        <w:gridCol w:w="1675"/>
        <w:gridCol w:w="1882"/>
        <w:gridCol w:w="1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4" w:type="dxa"/>
            <w:vAlign w:val="bottom"/>
          </w:tcPr>
          <w:p>
            <w:pPr>
              <w:spacing w:before="120"/>
              <w:jc w:val="left"/>
              <w:textAlignment w:val="bottom"/>
              <w:rPr>
                <w:color w:val="000000"/>
                <w:szCs w:val="20"/>
                <w:lang w:bidi="ar"/>
              </w:rPr>
            </w:pPr>
          </w:p>
        </w:tc>
        <w:tc>
          <w:tcPr>
            <w:tcW w:w="3992" w:type="dxa"/>
            <w:gridSpan w:val="2"/>
            <w:vAlign w:val="bottom"/>
          </w:tcPr>
          <w:p>
            <w:pPr>
              <w:spacing w:before="120"/>
              <w:jc w:val="center"/>
              <w:textAlignment w:val="bottom"/>
              <w:rPr>
                <w:color w:val="000000"/>
                <w:szCs w:val="20"/>
                <w:lang w:bidi="ar"/>
              </w:rPr>
            </w:pPr>
            <w:r>
              <w:rPr>
                <w:rFonts w:hint="eastAsia"/>
                <w:color w:val="000000"/>
                <w:szCs w:val="20"/>
                <w:lang w:bidi="ar"/>
              </w:rPr>
              <w:t>256 subgroups</w:t>
            </w:r>
          </w:p>
        </w:tc>
        <w:tc>
          <w:tcPr>
            <w:tcW w:w="3557" w:type="dxa"/>
            <w:gridSpan w:val="2"/>
            <w:vAlign w:val="bottom"/>
          </w:tcPr>
          <w:p>
            <w:pPr>
              <w:spacing w:before="120"/>
              <w:jc w:val="center"/>
              <w:textAlignment w:val="bottom"/>
              <w:rPr>
                <w:color w:val="000000"/>
                <w:szCs w:val="20"/>
                <w:lang w:bidi="ar"/>
              </w:rPr>
            </w:pPr>
            <w:r>
              <w:rPr>
                <w:rFonts w:hint="eastAsia"/>
                <w:color w:val="000000"/>
                <w:szCs w:val="20"/>
                <w:lang w:bidi="ar"/>
              </w:rPr>
              <w:t>8subgroups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4" w:type="dxa"/>
            <w:vAlign w:val="bottom"/>
          </w:tcPr>
          <w:p>
            <w:pPr>
              <w:spacing w:before="120"/>
              <w:jc w:val="left"/>
              <w:textAlignment w:val="bottom"/>
              <w:rPr>
                <w:szCs w:val="20"/>
              </w:rPr>
            </w:pPr>
            <w:r>
              <w:rPr>
                <w:color w:val="000000"/>
                <w:szCs w:val="20"/>
                <w:lang w:bidi="ar"/>
              </w:rPr>
              <w:t>number of UEs per cell</w:t>
            </w:r>
          </w:p>
        </w:tc>
        <w:tc>
          <w:tcPr>
            <w:tcW w:w="2317" w:type="dxa"/>
            <w:vAlign w:val="bottom"/>
          </w:tcPr>
          <w:p>
            <w:pPr>
              <w:spacing w:before="120"/>
              <w:jc w:val="left"/>
              <w:textAlignment w:val="bottom"/>
              <w:rPr>
                <w:szCs w:val="20"/>
              </w:rPr>
            </w:pPr>
            <w:r>
              <w:rPr>
                <w:color w:val="000000"/>
                <w:szCs w:val="20"/>
                <w:lang w:bidi="ar"/>
              </w:rPr>
              <w:t>system overhead(%)</w:t>
            </w:r>
            <w:r>
              <w:rPr>
                <w:rFonts w:hint="eastAsia"/>
                <w:color w:val="000000"/>
                <w:szCs w:val="20"/>
                <w:lang w:bidi="ar"/>
              </w:rPr>
              <w:t xml:space="preserve"> </w:t>
            </w:r>
          </w:p>
        </w:tc>
        <w:tc>
          <w:tcPr>
            <w:tcW w:w="1675" w:type="dxa"/>
            <w:vAlign w:val="bottom"/>
          </w:tcPr>
          <w:p>
            <w:pPr>
              <w:spacing w:before="120"/>
              <w:jc w:val="right"/>
              <w:textAlignment w:val="bottom"/>
              <w:rPr>
                <w:color w:val="000000"/>
                <w:szCs w:val="20"/>
                <w:lang w:bidi="ar"/>
              </w:rPr>
            </w:pPr>
            <w:r>
              <w:rPr>
                <w:rFonts w:hint="eastAsia"/>
                <w:color w:val="000000"/>
                <w:szCs w:val="20"/>
                <w:lang w:bidi="ar"/>
              </w:rPr>
              <w:t>PSG compared with legacy with PEI</w:t>
            </w:r>
          </w:p>
        </w:tc>
        <w:tc>
          <w:tcPr>
            <w:tcW w:w="1882" w:type="dxa"/>
            <w:vAlign w:val="bottom"/>
          </w:tcPr>
          <w:p>
            <w:pPr>
              <w:spacing w:before="120"/>
              <w:jc w:val="left"/>
              <w:textAlignment w:val="bottom"/>
              <w:rPr>
                <w:szCs w:val="20"/>
              </w:rPr>
            </w:pPr>
            <w:r>
              <w:rPr>
                <w:color w:val="000000"/>
                <w:szCs w:val="20"/>
                <w:lang w:bidi="ar"/>
              </w:rPr>
              <w:t>system overhead(%)</w:t>
            </w:r>
            <w:r>
              <w:rPr>
                <w:rFonts w:hint="eastAsia"/>
                <w:color w:val="000000"/>
                <w:szCs w:val="20"/>
                <w:lang w:bidi="ar"/>
              </w:rPr>
              <w:t xml:space="preserve"> </w:t>
            </w:r>
          </w:p>
        </w:tc>
        <w:tc>
          <w:tcPr>
            <w:tcW w:w="1675" w:type="dxa"/>
            <w:vAlign w:val="bottom"/>
          </w:tcPr>
          <w:p>
            <w:pPr>
              <w:spacing w:before="120"/>
              <w:jc w:val="left"/>
              <w:textAlignment w:val="bottom"/>
              <w:rPr>
                <w:szCs w:val="20"/>
              </w:rPr>
            </w:pPr>
            <w:r>
              <w:rPr>
                <w:rFonts w:hint="eastAsia"/>
                <w:color w:val="000000"/>
                <w:szCs w:val="20"/>
                <w:lang w:bidi="ar"/>
              </w:rPr>
              <w:t>PSG compared with legacy with PEI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4" w:type="dxa"/>
            <w:vAlign w:val="bottom"/>
          </w:tcPr>
          <w:p>
            <w:pPr>
              <w:spacing w:before="120"/>
              <w:jc w:val="right"/>
              <w:textAlignment w:val="bottom"/>
              <w:rPr>
                <w:szCs w:val="20"/>
              </w:rPr>
            </w:pPr>
            <w:r>
              <w:rPr>
                <w:color w:val="000000"/>
                <w:szCs w:val="20"/>
                <w:lang w:bidi="ar"/>
              </w:rPr>
              <w:t>300</w:t>
            </w:r>
          </w:p>
        </w:tc>
        <w:tc>
          <w:tcPr>
            <w:tcW w:w="2317" w:type="dxa"/>
            <w:vAlign w:val="bottom"/>
          </w:tcPr>
          <w:p>
            <w:pPr>
              <w:spacing w:before="120"/>
              <w:jc w:val="right"/>
              <w:textAlignment w:val="bottom"/>
              <w:rPr>
                <w:color w:val="000000"/>
                <w:szCs w:val="20"/>
                <w:lang w:bidi="ar"/>
              </w:rPr>
            </w:pPr>
            <w:r>
              <w:rPr>
                <w:color w:val="000000"/>
                <w:szCs w:val="20"/>
                <w:lang w:bidi="ar"/>
              </w:rPr>
              <w:t>0.046898024</w:t>
            </w:r>
          </w:p>
        </w:tc>
        <w:tc>
          <w:tcPr>
            <w:tcW w:w="1675" w:type="dxa"/>
            <w:vAlign w:val="bottom"/>
          </w:tcPr>
          <w:p>
            <w:pPr>
              <w:spacing w:before="120"/>
              <w:jc w:val="right"/>
              <w:textAlignment w:val="bottom"/>
              <w:rPr>
                <w:color w:val="000000"/>
                <w:szCs w:val="20"/>
                <w:lang w:bidi="ar"/>
              </w:rPr>
            </w:pPr>
            <w:r>
              <w:rPr>
                <w:color w:val="000000"/>
                <w:szCs w:val="20"/>
                <w:lang w:bidi="ar"/>
              </w:rPr>
              <w:t>0.879911455</w:t>
            </w:r>
          </w:p>
        </w:tc>
        <w:tc>
          <w:tcPr>
            <w:tcW w:w="1882" w:type="dxa"/>
            <w:vAlign w:val="bottom"/>
          </w:tcPr>
          <w:p>
            <w:pPr>
              <w:spacing w:before="120"/>
              <w:jc w:val="right"/>
              <w:textAlignment w:val="bottom"/>
              <w:rPr>
                <w:color w:val="000000"/>
                <w:szCs w:val="20"/>
                <w:lang w:bidi="ar"/>
              </w:rPr>
            </w:pPr>
            <w:r>
              <w:rPr>
                <w:color w:val="000000"/>
                <w:szCs w:val="20"/>
                <w:lang w:bidi="ar"/>
              </w:rPr>
              <w:t>0.005860589</w:t>
            </w:r>
          </w:p>
        </w:tc>
        <w:tc>
          <w:tcPr>
            <w:tcW w:w="1675" w:type="dxa"/>
            <w:vAlign w:val="bottom"/>
          </w:tcPr>
          <w:p>
            <w:pPr>
              <w:spacing w:before="120"/>
              <w:jc w:val="right"/>
              <w:textAlignment w:val="bottom"/>
              <w:rPr>
                <w:color w:val="000000"/>
                <w:szCs w:val="20"/>
                <w:lang w:bidi="ar"/>
              </w:rPr>
            </w:pPr>
            <w:r>
              <w:rPr>
                <w:color w:val="000000"/>
                <w:szCs w:val="20"/>
                <w:lang w:bidi="ar"/>
              </w:rPr>
              <w:t>0.879911455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4" w:type="dxa"/>
            <w:vAlign w:val="bottom"/>
          </w:tcPr>
          <w:p>
            <w:pPr>
              <w:spacing w:before="120"/>
              <w:jc w:val="right"/>
              <w:textAlignment w:val="bottom"/>
              <w:rPr>
                <w:szCs w:val="20"/>
              </w:rPr>
            </w:pPr>
            <w:r>
              <w:rPr>
                <w:color w:val="000000"/>
                <w:szCs w:val="20"/>
                <w:lang w:bidi="ar"/>
              </w:rPr>
              <w:t>1200</w:t>
            </w:r>
          </w:p>
        </w:tc>
        <w:tc>
          <w:tcPr>
            <w:tcW w:w="2317" w:type="dxa"/>
            <w:vAlign w:val="bottom"/>
          </w:tcPr>
          <w:p>
            <w:pPr>
              <w:spacing w:before="120"/>
              <w:jc w:val="right"/>
              <w:textAlignment w:val="bottom"/>
              <w:rPr>
                <w:color w:val="000000"/>
                <w:szCs w:val="20"/>
                <w:lang w:bidi="ar"/>
              </w:rPr>
            </w:pPr>
            <w:r>
              <w:rPr>
                <w:color w:val="000000"/>
                <w:szCs w:val="20"/>
                <w:lang w:bidi="ar"/>
              </w:rPr>
              <w:t>0.187586939</w:t>
            </w:r>
          </w:p>
        </w:tc>
        <w:tc>
          <w:tcPr>
            <w:tcW w:w="1675" w:type="dxa"/>
            <w:vAlign w:val="bottom"/>
          </w:tcPr>
          <w:p>
            <w:pPr>
              <w:spacing w:before="120"/>
              <w:jc w:val="right"/>
              <w:textAlignment w:val="bottom"/>
              <w:rPr>
                <w:color w:val="000000"/>
                <w:szCs w:val="20"/>
                <w:lang w:bidi="ar"/>
              </w:rPr>
            </w:pPr>
            <w:r>
              <w:rPr>
                <w:color w:val="000000"/>
                <w:szCs w:val="20"/>
                <w:lang w:bidi="ar"/>
              </w:rPr>
              <w:t>0.879911455</w:t>
            </w:r>
          </w:p>
        </w:tc>
        <w:tc>
          <w:tcPr>
            <w:tcW w:w="1882" w:type="dxa"/>
            <w:vAlign w:val="bottom"/>
          </w:tcPr>
          <w:p>
            <w:pPr>
              <w:spacing w:before="120"/>
              <w:jc w:val="right"/>
              <w:textAlignment w:val="bottom"/>
              <w:rPr>
                <w:color w:val="000000"/>
                <w:szCs w:val="20"/>
                <w:lang w:bidi="ar"/>
              </w:rPr>
            </w:pPr>
            <w:r>
              <w:rPr>
                <w:color w:val="000000"/>
                <w:szCs w:val="20"/>
                <w:lang w:bidi="ar"/>
              </w:rPr>
              <w:t>0.023421755</w:t>
            </w:r>
          </w:p>
        </w:tc>
        <w:tc>
          <w:tcPr>
            <w:tcW w:w="1675" w:type="dxa"/>
            <w:vAlign w:val="bottom"/>
          </w:tcPr>
          <w:p>
            <w:pPr>
              <w:spacing w:before="120"/>
              <w:jc w:val="right"/>
              <w:textAlignment w:val="bottom"/>
              <w:rPr>
                <w:color w:val="000000"/>
                <w:szCs w:val="20"/>
                <w:lang w:bidi="ar"/>
              </w:rPr>
            </w:pPr>
            <w:r>
              <w:rPr>
                <w:color w:val="000000"/>
                <w:szCs w:val="20"/>
                <w:lang w:bidi="ar"/>
              </w:rPr>
              <w:t>0.861878453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4" w:type="dxa"/>
            <w:vAlign w:val="bottom"/>
          </w:tcPr>
          <w:p>
            <w:pPr>
              <w:spacing w:before="120"/>
              <w:jc w:val="right"/>
              <w:textAlignment w:val="bottom"/>
              <w:rPr>
                <w:szCs w:val="20"/>
              </w:rPr>
            </w:pPr>
            <w:r>
              <w:rPr>
                <w:color w:val="000000"/>
                <w:szCs w:val="20"/>
                <w:lang w:bidi="ar"/>
              </w:rPr>
              <w:t>5000</w:t>
            </w:r>
          </w:p>
        </w:tc>
        <w:tc>
          <w:tcPr>
            <w:tcW w:w="2317" w:type="dxa"/>
            <w:vAlign w:val="bottom"/>
          </w:tcPr>
          <w:p>
            <w:pPr>
              <w:spacing w:before="120"/>
              <w:jc w:val="right"/>
              <w:textAlignment w:val="bottom"/>
              <w:rPr>
                <w:color w:val="000000"/>
                <w:szCs w:val="20"/>
                <w:lang w:bidi="ar"/>
              </w:rPr>
            </w:pPr>
            <w:r>
              <w:rPr>
                <w:color w:val="000000"/>
                <w:szCs w:val="20"/>
                <w:lang w:bidi="ar"/>
              </w:rPr>
              <w:t>0.781521569</w:t>
            </w:r>
          </w:p>
        </w:tc>
        <w:tc>
          <w:tcPr>
            <w:tcW w:w="1675" w:type="dxa"/>
            <w:vAlign w:val="bottom"/>
          </w:tcPr>
          <w:p>
            <w:pPr>
              <w:spacing w:before="120"/>
              <w:jc w:val="right"/>
              <w:textAlignment w:val="bottom"/>
              <w:rPr>
                <w:color w:val="000000"/>
                <w:szCs w:val="20"/>
                <w:lang w:bidi="ar"/>
              </w:rPr>
            </w:pPr>
            <w:r>
              <w:rPr>
                <w:color w:val="000000"/>
                <w:szCs w:val="20"/>
                <w:lang w:bidi="ar"/>
              </w:rPr>
              <w:t>0.879911455</w:t>
            </w:r>
          </w:p>
        </w:tc>
        <w:tc>
          <w:tcPr>
            <w:tcW w:w="1882" w:type="dxa"/>
            <w:vAlign w:val="bottom"/>
          </w:tcPr>
          <w:p>
            <w:pPr>
              <w:spacing w:before="120"/>
              <w:jc w:val="right"/>
              <w:textAlignment w:val="bottom"/>
              <w:rPr>
                <w:color w:val="000000"/>
                <w:szCs w:val="20"/>
                <w:lang w:bidi="ar"/>
              </w:rPr>
            </w:pPr>
            <w:r>
              <w:rPr>
                <w:color w:val="000000"/>
                <w:szCs w:val="20"/>
                <w:lang w:bidi="ar"/>
              </w:rPr>
              <w:t>0.097229347</w:t>
            </w:r>
          </w:p>
        </w:tc>
        <w:tc>
          <w:tcPr>
            <w:tcW w:w="1675" w:type="dxa"/>
            <w:vAlign w:val="bottom"/>
          </w:tcPr>
          <w:p>
            <w:pPr>
              <w:spacing w:before="120"/>
              <w:jc w:val="right"/>
              <w:textAlignment w:val="bottom"/>
              <w:rPr>
                <w:color w:val="000000"/>
                <w:szCs w:val="20"/>
                <w:lang w:bidi="ar"/>
              </w:rPr>
            </w:pPr>
            <w:r>
              <w:rPr>
                <w:color w:val="000000"/>
                <w:szCs w:val="20"/>
                <w:lang w:bidi="ar"/>
              </w:rPr>
              <w:t>0.798790544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4" w:type="dxa"/>
            <w:vAlign w:val="bottom"/>
          </w:tcPr>
          <w:p>
            <w:pPr>
              <w:spacing w:before="120"/>
              <w:jc w:val="right"/>
              <w:textAlignment w:val="bottom"/>
              <w:rPr>
                <w:szCs w:val="20"/>
              </w:rPr>
            </w:pPr>
            <w:r>
              <w:rPr>
                <w:color w:val="000000"/>
                <w:szCs w:val="20"/>
                <w:lang w:bidi="ar"/>
              </w:rPr>
              <w:t>10000</w:t>
            </w:r>
          </w:p>
        </w:tc>
        <w:tc>
          <w:tcPr>
            <w:tcW w:w="2317" w:type="dxa"/>
            <w:vAlign w:val="bottom"/>
          </w:tcPr>
          <w:p>
            <w:pPr>
              <w:spacing w:before="120"/>
              <w:jc w:val="right"/>
              <w:textAlignment w:val="bottom"/>
              <w:rPr>
                <w:color w:val="000000"/>
                <w:szCs w:val="20"/>
                <w:lang w:bidi="ar"/>
              </w:rPr>
            </w:pPr>
            <w:r>
              <w:rPr>
                <w:color w:val="000000"/>
                <w:szCs w:val="20"/>
                <w:lang w:bidi="ar"/>
              </w:rPr>
              <w:t>1.562804554</w:t>
            </w:r>
          </w:p>
        </w:tc>
        <w:tc>
          <w:tcPr>
            <w:tcW w:w="1675" w:type="dxa"/>
            <w:vAlign w:val="bottom"/>
          </w:tcPr>
          <w:p>
            <w:pPr>
              <w:spacing w:before="120"/>
              <w:jc w:val="right"/>
              <w:textAlignment w:val="bottom"/>
              <w:rPr>
                <w:color w:val="000000"/>
                <w:szCs w:val="20"/>
                <w:lang w:bidi="ar"/>
              </w:rPr>
            </w:pPr>
            <w:r>
              <w:rPr>
                <w:color w:val="000000"/>
                <w:szCs w:val="20"/>
                <w:lang w:bidi="ar"/>
              </w:rPr>
              <w:t>0.879911455</w:t>
            </w:r>
          </w:p>
        </w:tc>
        <w:tc>
          <w:tcPr>
            <w:tcW w:w="1882" w:type="dxa"/>
            <w:vAlign w:val="bottom"/>
          </w:tcPr>
          <w:p>
            <w:pPr>
              <w:spacing w:before="120"/>
              <w:jc w:val="right"/>
              <w:textAlignment w:val="bottom"/>
              <w:rPr>
                <w:color w:val="000000"/>
                <w:szCs w:val="20"/>
                <w:lang w:bidi="ar"/>
              </w:rPr>
            </w:pPr>
            <w:r>
              <w:rPr>
                <w:color w:val="000000"/>
                <w:szCs w:val="20"/>
                <w:lang w:bidi="ar"/>
              </w:rPr>
              <w:t>0.193513339</w:t>
            </w:r>
          </w:p>
        </w:tc>
        <w:tc>
          <w:tcPr>
            <w:tcW w:w="1675" w:type="dxa"/>
            <w:vAlign w:val="bottom"/>
          </w:tcPr>
          <w:p>
            <w:pPr>
              <w:spacing w:before="120"/>
              <w:jc w:val="right"/>
              <w:textAlignment w:val="bottom"/>
              <w:rPr>
                <w:color w:val="000000"/>
                <w:szCs w:val="20"/>
                <w:lang w:bidi="ar"/>
              </w:rPr>
            </w:pPr>
            <w:r>
              <w:rPr>
                <w:color w:val="000000"/>
                <w:szCs w:val="20"/>
                <w:lang w:bidi="ar"/>
              </w:rPr>
              <w:t>0.711086838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4" w:type="dxa"/>
            <w:vAlign w:val="bottom"/>
          </w:tcPr>
          <w:p>
            <w:pPr>
              <w:spacing w:before="120"/>
              <w:jc w:val="right"/>
              <w:textAlignment w:val="bottom"/>
              <w:rPr>
                <w:szCs w:val="20"/>
              </w:rPr>
            </w:pPr>
            <w:r>
              <w:rPr>
                <w:color w:val="000000"/>
                <w:szCs w:val="20"/>
                <w:lang w:bidi="ar"/>
              </w:rPr>
              <w:t>20000</w:t>
            </w:r>
          </w:p>
        </w:tc>
        <w:tc>
          <w:tcPr>
            <w:tcW w:w="2317" w:type="dxa"/>
            <w:vAlign w:val="bottom"/>
          </w:tcPr>
          <w:p>
            <w:pPr>
              <w:spacing w:before="120"/>
              <w:jc w:val="right"/>
              <w:textAlignment w:val="bottom"/>
              <w:rPr>
                <w:color w:val="000000"/>
                <w:szCs w:val="20"/>
                <w:lang w:bidi="ar"/>
              </w:rPr>
            </w:pPr>
            <w:r>
              <w:rPr>
                <w:color w:val="000000"/>
                <w:szCs w:val="20"/>
                <w:lang w:bidi="ar"/>
              </w:rPr>
              <w:t>3.124655062</w:t>
            </w:r>
          </w:p>
        </w:tc>
        <w:tc>
          <w:tcPr>
            <w:tcW w:w="1675" w:type="dxa"/>
            <w:vAlign w:val="bottom"/>
          </w:tcPr>
          <w:p>
            <w:pPr>
              <w:spacing w:before="120"/>
              <w:jc w:val="right"/>
              <w:textAlignment w:val="bottom"/>
              <w:rPr>
                <w:color w:val="000000"/>
                <w:szCs w:val="20"/>
                <w:lang w:bidi="ar"/>
              </w:rPr>
            </w:pPr>
            <w:r>
              <w:rPr>
                <w:color w:val="000000"/>
                <w:szCs w:val="20"/>
                <w:lang w:bidi="ar"/>
              </w:rPr>
              <w:t>0.870646766</w:t>
            </w:r>
          </w:p>
        </w:tc>
        <w:tc>
          <w:tcPr>
            <w:tcW w:w="1882" w:type="dxa"/>
            <w:vAlign w:val="bottom"/>
          </w:tcPr>
          <w:p>
            <w:pPr>
              <w:spacing w:before="120"/>
              <w:jc w:val="right"/>
              <w:textAlignment w:val="bottom"/>
              <w:rPr>
                <w:color w:val="000000"/>
                <w:szCs w:val="20"/>
                <w:lang w:bidi="ar"/>
              </w:rPr>
            </w:pPr>
            <w:r>
              <w:rPr>
                <w:color w:val="000000"/>
                <w:szCs w:val="20"/>
                <w:lang w:bidi="ar"/>
              </w:rPr>
              <w:t>0.383281938</w:t>
            </w:r>
          </w:p>
        </w:tc>
        <w:tc>
          <w:tcPr>
            <w:tcW w:w="1675" w:type="dxa"/>
            <w:vAlign w:val="bottom"/>
          </w:tcPr>
          <w:p>
            <w:pPr>
              <w:spacing w:before="120"/>
              <w:jc w:val="right"/>
              <w:textAlignment w:val="bottom"/>
              <w:rPr>
                <w:color w:val="000000"/>
                <w:szCs w:val="20"/>
                <w:lang w:bidi="ar"/>
              </w:rPr>
            </w:pPr>
            <w:r>
              <w:rPr>
                <w:color w:val="000000"/>
                <w:szCs w:val="20"/>
                <w:lang w:bidi="ar"/>
              </w:rPr>
              <w:t>0.542025862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4" w:type="dxa"/>
            <w:vAlign w:val="bottom"/>
          </w:tcPr>
          <w:p>
            <w:pPr>
              <w:spacing w:before="120"/>
              <w:jc w:val="right"/>
              <w:textAlignment w:val="bottom"/>
              <w:rPr>
                <w:szCs w:val="20"/>
              </w:rPr>
            </w:pPr>
            <w:r>
              <w:rPr>
                <w:color w:val="000000"/>
                <w:szCs w:val="20"/>
                <w:lang w:bidi="ar"/>
              </w:rPr>
              <w:t>40000</w:t>
            </w:r>
          </w:p>
        </w:tc>
        <w:tc>
          <w:tcPr>
            <w:tcW w:w="2317" w:type="dxa"/>
            <w:vAlign w:val="bottom"/>
          </w:tcPr>
          <w:p>
            <w:pPr>
              <w:spacing w:before="120"/>
              <w:jc w:val="right"/>
              <w:textAlignment w:val="bottom"/>
              <w:rPr>
                <w:color w:val="000000"/>
                <w:szCs w:val="20"/>
                <w:lang w:bidi="ar"/>
              </w:rPr>
            </w:pPr>
            <w:r>
              <w:rPr>
                <w:color w:val="000000"/>
                <w:szCs w:val="20"/>
                <w:lang w:bidi="ar"/>
              </w:rPr>
              <w:t>6.245496268</w:t>
            </w:r>
          </w:p>
        </w:tc>
        <w:tc>
          <w:tcPr>
            <w:tcW w:w="1675" w:type="dxa"/>
            <w:vAlign w:val="bottom"/>
          </w:tcPr>
          <w:p>
            <w:pPr>
              <w:spacing w:before="120"/>
              <w:jc w:val="right"/>
              <w:textAlignment w:val="bottom"/>
              <w:rPr>
                <w:color w:val="000000"/>
                <w:szCs w:val="20"/>
                <w:lang w:bidi="ar"/>
              </w:rPr>
            </w:pPr>
            <w:r>
              <w:rPr>
                <w:color w:val="000000"/>
                <w:szCs w:val="20"/>
                <w:lang w:bidi="ar"/>
              </w:rPr>
              <w:t>0.861878453</w:t>
            </w:r>
          </w:p>
        </w:tc>
        <w:tc>
          <w:tcPr>
            <w:tcW w:w="1882" w:type="dxa"/>
            <w:vAlign w:val="bottom"/>
          </w:tcPr>
          <w:p>
            <w:pPr>
              <w:spacing w:before="120"/>
              <w:jc w:val="right"/>
              <w:textAlignment w:val="bottom"/>
              <w:rPr>
                <w:color w:val="000000"/>
                <w:szCs w:val="20"/>
                <w:lang w:bidi="ar"/>
              </w:rPr>
            </w:pPr>
            <w:r>
              <w:rPr>
                <w:color w:val="000000"/>
                <w:szCs w:val="20"/>
                <w:lang w:bidi="ar"/>
              </w:rPr>
              <w:t>0.751873371</w:t>
            </w:r>
          </w:p>
        </w:tc>
        <w:tc>
          <w:tcPr>
            <w:tcW w:w="1675" w:type="dxa"/>
            <w:vAlign w:val="bottom"/>
          </w:tcPr>
          <w:p>
            <w:pPr>
              <w:spacing w:before="120"/>
              <w:jc w:val="right"/>
              <w:textAlignment w:val="bottom"/>
              <w:rPr>
                <w:color w:val="000000"/>
                <w:szCs w:val="20"/>
                <w:lang w:bidi="ar"/>
              </w:rPr>
            </w:pPr>
            <w:r>
              <w:rPr>
                <w:color w:val="000000"/>
                <w:szCs w:val="20"/>
                <w:lang w:bidi="ar"/>
              </w:rPr>
              <w:t>0.468381565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4" w:type="dxa"/>
            <w:vAlign w:val="bottom"/>
          </w:tcPr>
          <w:p>
            <w:pPr>
              <w:spacing w:before="120"/>
              <w:jc w:val="right"/>
              <w:textAlignment w:val="bottom"/>
              <w:rPr>
                <w:szCs w:val="20"/>
              </w:rPr>
            </w:pPr>
            <w:r>
              <w:rPr>
                <w:color w:val="000000"/>
                <w:szCs w:val="20"/>
                <w:lang w:bidi="ar"/>
              </w:rPr>
              <w:t>50000</w:t>
            </w:r>
          </w:p>
        </w:tc>
        <w:tc>
          <w:tcPr>
            <w:tcW w:w="2317" w:type="dxa"/>
            <w:vAlign w:val="bottom"/>
          </w:tcPr>
          <w:p>
            <w:pPr>
              <w:spacing w:before="120"/>
              <w:jc w:val="right"/>
              <w:textAlignment w:val="bottom"/>
              <w:rPr>
                <w:color w:val="000000"/>
                <w:szCs w:val="20"/>
                <w:lang w:bidi="ar"/>
              </w:rPr>
            </w:pPr>
            <w:r>
              <w:rPr>
                <w:color w:val="000000"/>
                <w:szCs w:val="20"/>
                <w:lang w:bidi="ar"/>
              </w:rPr>
              <w:t>7.804488131</w:t>
            </w:r>
          </w:p>
        </w:tc>
        <w:tc>
          <w:tcPr>
            <w:tcW w:w="1675" w:type="dxa"/>
            <w:vAlign w:val="bottom"/>
          </w:tcPr>
          <w:p>
            <w:pPr>
              <w:spacing w:before="120"/>
              <w:jc w:val="right"/>
              <w:textAlignment w:val="bottom"/>
              <w:rPr>
                <w:color w:val="000000"/>
                <w:szCs w:val="20"/>
                <w:lang w:bidi="ar"/>
              </w:rPr>
            </w:pPr>
            <w:r>
              <w:rPr>
                <w:color w:val="000000"/>
                <w:szCs w:val="20"/>
                <w:lang w:bidi="ar"/>
              </w:rPr>
              <w:t>0.852567642</w:t>
            </w:r>
          </w:p>
        </w:tc>
        <w:tc>
          <w:tcPr>
            <w:tcW w:w="1882" w:type="dxa"/>
            <w:vAlign w:val="bottom"/>
          </w:tcPr>
          <w:p>
            <w:pPr>
              <w:spacing w:before="120"/>
              <w:jc w:val="right"/>
              <w:textAlignment w:val="bottom"/>
              <w:rPr>
                <w:color w:val="000000"/>
                <w:szCs w:val="20"/>
                <w:lang w:bidi="ar"/>
              </w:rPr>
            </w:pPr>
            <w:r>
              <w:rPr>
                <w:color w:val="000000"/>
                <w:szCs w:val="20"/>
                <w:lang w:bidi="ar"/>
              </w:rPr>
              <w:t>0.930836958</w:t>
            </w:r>
          </w:p>
        </w:tc>
        <w:tc>
          <w:tcPr>
            <w:tcW w:w="1675" w:type="dxa"/>
            <w:vAlign w:val="bottom"/>
          </w:tcPr>
          <w:p>
            <w:pPr>
              <w:spacing w:before="120"/>
              <w:jc w:val="center"/>
              <w:textAlignment w:val="bottom"/>
              <w:rPr>
                <w:color w:val="000000"/>
                <w:szCs w:val="20"/>
                <w:lang w:bidi="ar"/>
              </w:rPr>
            </w:pPr>
            <w:r>
              <w:rPr>
                <w:rFonts w:hint="eastAsia"/>
                <w:color w:val="000000"/>
                <w:szCs w:val="20"/>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4" w:type="dxa"/>
            <w:vAlign w:val="bottom"/>
          </w:tcPr>
          <w:p>
            <w:pPr>
              <w:spacing w:before="120"/>
              <w:jc w:val="right"/>
              <w:textAlignment w:val="bottom"/>
              <w:rPr>
                <w:szCs w:val="20"/>
              </w:rPr>
            </w:pPr>
            <w:r>
              <w:rPr>
                <w:color w:val="000000"/>
                <w:szCs w:val="20"/>
                <w:lang w:bidi="ar"/>
              </w:rPr>
              <w:t>80000</w:t>
            </w:r>
          </w:p>
        </w:tc>
        <w:tc>
          <w:tcPr>
            <w:tcW w:w="2317" w:type="dxa"/>
            <w:vAlign w:val="bottom"/>
          </w:tcPr>
          <w:p>
            <w:pPr>
              <w:spacing w:before="120"/>
              <w:jc w:val="right"/>
              <w:textAlignment w:val="bottom"/>
              <w:rPr>
                <w:color w:val="000000"/>
                <w:szCs w:val="20"/>
                <w:lang w:bidi="ar"/>
              </w:rPr>
            </w:pPr>
            <w:r>
              <w:rPr>
                <w:color w:val="000000"/>
                <w:szCs w:val="20"/>
                <w:lang w:bidi="ar"/>
              </w:rPr>
              <w:t>12.47575573</w:t>
            </w:r>
          </w:p>
        </w:tc>
        <w:tc>
          <w:tcPr>
            <w:tcW w:w="1675" w:type="dxa"/>
            <w:vAlign w:val="bottom"/>
          </w:tcPr>
          <w:p>
            <w:pPr>
              <w:spacing w:before="120"/>
              <w:jc w:val="right"/>
              <w:textAlignment w:val="bottom"/>
              <w:rPr>
                <w:color w:val="000000"/>
                <w:szCs w:val="20"/>
                <w:lang w:bidi="ar"/>
              </w:rPr>
            </w:pPr>
            <w:r>
              <w:rPr>
                <w:color w:val="000000"/>
                <w:szCs w:val="20"/>
                <w:lang w:bidi="ar"/>
              </w:rPr>
              <w:t>0.843818985</w:t>
            </w:r>
          </w:p>
        </w:tc>
        <w:tc>
          <w:tcPr>
            <w:tcW w:w="1882" w:type="dxa"/>
            <w:vAlign w:val="bottom"/>
          </w:tcPr>
          <w:p>
            <w:pPr>
              <w:spacing w:before="120"/>
              <w:jc w:val="right"/>
              <w:textAlignment w:val="bottom"/>
              <w:rPr>
                <w:color w:val="000000"/>
                <w:szCs w:val="20"/>
                <w:lang w:bidi="ar"/>
              </w:rPr>
            </w:pPr>
            <w:r>
              <w:rPr>
                <w:color w:val="000000"/>
                <w:szCs w:val="20"/>
                <w:lang w:bidi="ar"/>
              </w:rPr>
              <w:t>1.447215385</w:t>
            </w:r>
          </w:p>
        </w:tc>
        <w:tc>
          <w:tcPr>
            <w:tcW w:w="1675" w:type="dxa"/>
            <w:vAlign w:val="bottom"/>
          </w:tcPr>
          <w:p>
            <w:pPr>
              <w:spacing w:before="120"/>
              <w:jc w:val="center"/>
              <w:textAlignment w:val="bottom"/>
              <w:rPr>
                <w:color w:val="000000"/>
                <w:szCs w:val="20"/>
                <w:lang w:bidi="ar"/>
              </w:rPr>
            </w:pPr>
            <w:r>
              <w:rPr>
                <w:color w:val="000000"/>
                <w:szCs w:val="20"/>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4" w:type="dxa"/>
            <w:vAlign w:val="bottom"/>
          </w:tcPr>
          <w:p>
            <w:pPr>
              <w:spacing w:before="120"/>
              <w:jc w:val="right"/>
              <w:textAlignment w:val="bottom"/>
              <w:rPr>
                <w:color w:val="000000"/>
                <w:szCs w:val="20"/>
                <w:lang w:bidi="ar"/>
              </w:rPr>
            </w:pPr>
            <w:r>
              <w:rPr>
                <w:rFonts w:hint="eastAsia"/>
                <w:color w:val="000000"/>
                <w:szCs w:val="20"/>
                <w:lang w:bidi="ar"/>
              </w:rPr>
              <w:t>100000</w:t>
            </w:r>
          </w:p>
        </w:tc>
        <w:tc>
          <w:tcPr>
            <w:tcW w:w="2317" w:type="dxa"/>
            <w:vAlign w:val="bottom"/>
          </w:tcPr>
          <w:p>
            <w:pPr>
              <w:spacing w:before="120"/>
              <w:jc w:val="right"/>
              <w:textAlignment w:val="bottom"/>
              <w:rPr>
                <w:color w:val="000000"/>
                <w:szCs w:val="20"/>
                <w:lang w:bidi="ar"/>
              </w:rPr>
            </w:pPr>
            <w:r>
              <w:rPr>
                <w:color w:val="000000"/>
                <w:szCs w:val="20"/>
                <w:lang w:bidi="ar"/>
              </w:rPr>
              <w:t>15.58518328</w:t>
            </w:r>
          </w:p>
        </w:tc>
        <w:tc>
          <w:tcPr>
            <w:tcW w:w="1675" w:type="dxa"/>
            <w:vAlign w:val="bottom"/>
          </w:tcPr>
          <w:p>
            <w:pPr>
              <w:spacing w:before="120"/>
              <w:jc w:val="right"/>
              <w:textAlignment w:val="bottom"/>
              <w:rPr>
                <w:color w:val="000000"/>
                <w:szCs w:val="20"/>
                <w:lang w:bidi="ar"/>
              </w:rPr>
            </w:pPr>
            <w:r>
              <w:rPr>
                <w:color w:val="000000"/>
                <w:szCs w:val="20"/>
                <w:lang w:bidi="ar"/>
              </w:rPr>
              <w:t>0.825895317</w:t>
            </w:r>
          </w:p>
        </w:tc>
        <w:tc>
          <w:tcPr>
            <w:tcW w:w="1882" w:type="dxa"/>
            <w:vAlign w:val="bottom"/>
          </w:tcPr>
          <w:p>
            <w:pPr>
              <w:spacing w:before="120"/>
              <w:jc w:val="right"/>
              <w:textAlignment w:val="bottom"/>
              <w:rPr>
                <w:color w:val="000000"/>
                <w:szCs w:val="20"/>
                <w:lang w:bidi="ar"/>
              </w:rPr>
            </w:pPr>
            <w:r>
              <w:rPr>
                <w:color w:val="000000"/>
                <w:szCs w:val="20"/>
                <w:lang w:bidi="ar"/>
              </w:rPr>
              <w:t>1.775028171</w:t>
            </w:r>
          </w:p>
        </w:tc>
        <w:tc>
          <w:tcPr>
            <w:tcW w:w="1675" w:type="dxa"/>
            <w:vAlign w:val="bottom"/>
          </w:tcPr>
          <w:p>
            <w:pPr>
              <w:spacing w:before="120"/>
              <w:jc w:val="center"/>
              <w:textAlignment w:val="bottom"/>
              <w:rPr>
                <w:color w:val="000000"/>
                <w:szCs w:val="20"/>
                <w:lang w:bidi="ar"/>
              </w:rPr>
            </w:pPr>
            <w:r>
              <w:rPr>
                <w:color w:val="000000"/>
                <w:szCs w:val="20"/>
                <w:lang w:bidi="ar"/>
              </w:rPr>
              <w:t>0</w:t>
            </w:r>
          </w:p>
        </w:tc>
      </w:tr>
    </w:tbl>
    <w:p>
      <w:pPr>
        <w:spacing w:before="120" w:afterLines="50" w:line="276" w:lineRule="auto"/>
        <w:rPr>
          <w:color w:val="000000"/>
          <w:szCs w:val="20"/>
          <w:lang w:bidi="ar"/>
        </w:rPr>
      </w:pPr>
    </w:p>
    <w:p>
      <w:pPr>
        <w:spacing w:before="120" w:afterLines="50" w:line="276" w:lineRule="auto"/>
      </w:pPr>
      <w:r>
        <w:rPr>
          <w:rFonts w:hint="eastAsia"/>
        </w:rPr>
        <w:t>To achieve msg3 coverage, if LP-WUS occupies 4 slots, the yellow highlighted data are applicable. That is to say, with 1 slot LP-WUS, the system overhead would be 0.778% for 256 subgroups per PO, and with 4 slots LP-WUS, the system overhead would be 0.778%*4=3.112% around 3%. Similar, for 8 and 16 subgroups, the supported number of UEs in a cell could be up to 10000 considering the system overhead around 3%.</w:t>
      </w:r>
    </w:p>
    <w:p>
      <w:pPr>
        <w:spacing w:before="120" w:afterLines="50" w:line="276" w:lineRule="auto"/>
      </w:pPr>
    </w:p>
    <w:p>
      <w:pPr>
        <w:spacing w:before="120" w:afterLines="50" w:line="276" w:lineRule="auto"/>
        <w:rPr>
          <w:b/>
          <w:bCs/>
          <w:i/>
          <w:iCs/>
        </w:rPr>
      </w:pPr>
      <w:r>
        <w:rPr>
          <w:rFonts w:hint="eastAsia"/>
          <w:b/>
          <w:bCs/>
          <w:i/>
          <w:iCs/>
        </w:rPr>
        <w:t>Observation 3: For a spare PO configuration scenario, 8 subgroups via LP-WUS can not provide PSG. For a dense PO configuration scenario, 8 subgroup via LP-WUS can provide PSG and less overhead.</w:t>
      </w:r>
    </w:p>
    <w:p>
      <w:pPr>
        <w:spacing w:before="120" w:afterLines="50" w:line="276" w:lineRule="auto"/>
        <w:rPr>
          <w:b/>
          <w:bCs/>
          <w:i/>
          <w:iCs/>
        </w:rPr>
      </w:pPr>
      <w:r>
        <w:rPr>
          <w:rFonts w:hint="eastAsia"/>
          <w:b/>
          <w:bCs/>
          <w:i/>
          <w:iCs/>
        </w:rPr>
        <w:t>Observation 4: 256 subgroups via LP-WUS can provide obvious PSG. The supported UEs number in a cell can be up to 20000 with around 3% system overhead.</w:t>
      </w:r>
    </w:p>
    <w:p>
      <w:pPr>
        <w:spacing w:before="120" w:afterLines="50" w:line="276" w:lineRule="auto"/>
        <w:rPr>
          <w:b/>
          <w:bCs/>
        </w:rPr>
      </w:pPr>
    </w:p>
    <w:p>
      <w:pPr>
        <w:spacing w:before="120" w:afterLines="50" w:line="276" w:lineRule="auto"/>
      </w:pPr>
      <w:r>
        <w:rPr>
          <w:rFonts w:hint="eastAsia"/>
        </w:rPr>
        <w:t>To achieve PSG, if the UE requires the gNB to configure dense PO, which would impact the legacy UE power consumption due to the dense PO monitoring. Therefore, with a spare PO configuration, we think 256subgroups per PO should be supported.</w:t>
      </w:r>
    </w:p>
    <w:p>
      <w:pPr>
        <w:spacing w:before="120" w:afterLines="50" w:line="276" w:lineRule="auto"/>
        <w:rPr>
          <w:b/>
          <w:bCs/>
          <w:i/>
          <w:iCs/>
        </w:rPr>
      </w:pPr>
      <w:r>
        <w:rPr>
          <w:rFonts w:hint="eastAsia"/>
          <w:b/>
          <w:bCs/>
          <w:i/>
          <w:iCs/>
        </w:rPr>
        <w:t>Proposal 6: Support maximum number of subgroups per PO via LP-WUS up to 256</w:t>
      </w:r>
    </w:p>
    <w:p>
      <w:pPr>
        <w:spacing w:before="120" w:afterLines="50" w:line="276" w:lineRule="auto"/>
        <w:rPr>
          <w:b/>
          <w:bCs/>
          <w:i/>
          <w:iCs/>
        </w:rPr>
      </w:pPr>
    </w:p>
    <w:p>
      <w:pPr>
        <w:pStyle w:val="3"/>
        <w:spacing w:before="120" w:afterLines="50" w:line="276" w:lineRule="auto"/>
        <w:rPr>
          <w:szCs w:val="20"/>
          <w:lang w:val="en-US"/>
        </w:rPr>
      </w:pPr>
      <w:bookmarkStart w:id="12" w:name="OLE_LINK150"/>
      <w:r>
        <w:rPr>
          <w:rFonts w:hint="eastAsia"/>
          <w:lang w:val="en-US"/>
        </w:rPr>
        <w:t>Subgrouping method</w:t>
      </w:r>
    </w:p>
    <w:p>
      <w:pPr>
        <w:spacing w:before="120" w:afterLines="50" w:line="276" w:lineRule="auto"/>
        <w:rPr>
          <w:szCs w:val="20"/>
        </w:rPr>
      </w:pPr>
      <w:r>
        <w:rPr>
          <w:rFonts w:hint="eastAsia"/>
          <w:szCs w:val="20"/>
        </w:rPr>
        <w:t>One issue for indicating subgroups by LP-WUS is whether the grouping should be based on PO or not. Two options are on the table for down selection.</w:t>
      </w:r>
    </w:p>
    <w:p>
      <w:pPr>
        <w:spacing w:before="120" w:afterLines="50" w:line="276" w:lineRule="auto"/>
        <w:rPr>
          <w:szCs w:val="20"/>
        </w:rPr>
      </w:pPr>
      <w:r>
        <w:rPr>
          <w:rFonts w:hint="eastAsia"/>
          <w:szCs w:val="20"/>
        </w:rPr>
        <w:t>Option1: LP-WUS indicates further subgroups based on associated PO.</w:t>
      </w:r>
    </w:p>
    <w:p>
      <w:pPr>
        <w:spacing w:before="120" w:afterLines="50" w:line="276" w:lineRule="auto"/>
        <w:rPr>
          <w:szCs w:val="20"/>
        </w:rPr>
      </w:pPr>
      <w:r>
        <w:rPr>
          <w:rFonts w:hint="eastAsia"/>
          <w:szCs w:val="20"/>
        </w:rPr>
        <w:t>Option2: LP-WUS indicates subgroups independent from PO location.</w:t>
      </w:r>
    </w:p>
    <w:p>
      <w:pPr>
        <w:spacing w:before="120" w:afterLines="50" w:line="276" w:lineRule="auto"/>
        <w:rPr>
          <w:szCs w:val="20"/>
        </w:rPr>
      </w:pPr>
      <w:r>
        <w:rPr>
          <w:rFonts w:hint="eastAsia"/>
          <w:szCs w:val="20"/>
        </w:rPr>
        <w:t>Assuming LO location imply the same subgroup information as PO location, if the LO has the same periodicity as I-DRX</w:t>
      </w:r>
    </w:p>
    <w:p>
      <w:pPr>
        <w:spacing w:before="120" w:afterLines="50" w:line="276" w:lineRule="auto"/>
        <w:jc w:val="center"/>
      </w:pPr>
      <w:r>
        <w:drawing>
          <wp:inline distT="0" distB="0" distL="114300" distR="114300">
            <wp:extent cx="5581650" cy="1282065"/>
            <wp:effectExtent l="0" t="0" r="0" b="13335"/>
            <wp:docPr id="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
                    <pic:cNvPicPr>
                      <a:picLocks noChangeAspect="1"/>
                    </pic:cNvPicPr>
                  </pic:nvPicPr>
                  <pic:blipFill>
                    <a:blip r:embed="rId13"/>
                    <a:stretch>
                      <a:fillRect/>
                    </a:stretch>
                  </pic:blipFill>
                  <pic:spPr>
                    <a:xfrm>
                      <a:off x="0" y="0"/>
                      <a:ext cx="5581650" cy="1282065"/>
                    </a:xfrm>
                    <a:prstGeom prst="rect">
                      <a:avLst/>
                    </a:prstGeom>
                    <a:noFill/>
                    <a:ln>
                      <a:noFill/>
                    </a:ln>
                  </pic:spPr>
                </pic:pic>
              </a:graphicData>
            </a:graphic>
          </wp:inline>
        </w:drawing>
      </w:r>
    </w:p>
    <w:p>
      <w:pPr>
        <w:spacing w:before="120" w:afterLines="50" w:line="276" w:lineRule="auto"/>
        <w:jc w:val="center"/>
      </w:pPr>
      <w:r>
        <w:rPr>
          <w:rFonts w:hint="eastAsia"/>
        </w:rPr>
        <w:t>Figure 2. Different offset definition for option1 and option2</w:t>
      </w:r>
    </w:p>
    <w:p>
      <w:pPr>
        <w:spacing w:before="120" w:afterLines="50" w:line="276" w:lineRule="auto"/>
        <w:rPr>
          <w:szCs w:val="20"/>
        </w:rPr>
      </w:pPr>
      <w:r>
        <w:rPr>
          <w:rFonts w:hint="eastAsia"/>
          <w:szCs w:val="20"/>
        </w:rPr>
        <w:t xml:space="preserve">In the figure, offset1 is based on option1 and offset 2 is based on option2. In this case, how to configure the offset is up to the NW, and there is no essential difference for option1 and option2 observed. Based on option1, it would be beneficial for RAN2 to design the subgroup method. </w:t>
      </w:r>
    </w:p>
    <w:p>
      <w:pPr>
        <w:spacing w:before="120" w:afterLines="50" w:line="276" w:lineRule="auto"/>
        <w:rPr>
          <w:b/>
          <w:bCs/>
          <w:i/>
          <w:iCs/>
          <w:szCs w:val="20"/>
        </w:rPr>
      </w:pPr>
      <w:r>
        <w:rPr>
          <w:rFonts w:hint="eastAsia"/>
          <w:b/>
          <w:bCs/>
          <w:i/>
          <w:iCs/>
          <w:szCs w:val="20"/>
        </w:rPr>
        <w:t>Proposal 7: LP-WUS indicates subgroups based on associated PO.</w:t>
      </w:r>
    </w:p>
    <w:p>
      <w:pPr>
        <w:numPr>
          <w:ilvl w:val="0"/>
          <w:numId w:val="14"/>
        </w:numPr>
        <w:spacing w:before="120" w:afterLines="50" w:line="276" w:lineRule="auto"/>
        <w:rPr>
          <w:b/>
          <w:bCs/>
          <w:i/>
          <w:iCs/>
          <w:szCs w:val="20"/>
        </w:rPr>
      </w:pPr>
      <w:r>
        <w:rPr>
          <w:rFonts w:hint="eastAsia"/>
          <w:b/>
          <w:bCs/>
          <w:i/>
          <w:iCs/>
          <w:szCs w:val="20"/>
        </w:rPr>
        <w:t>Further discuss whether/how LP-WUS indicates subgroups independent from PO</w:t>
      </w:r>
    </w:p>
    <w:p>
      <w:pPr>
        <w:spacing w:before="120" w:afterLines="50" w:line="276" w:lineRule="auto"/>
      </w:pPr>
    </w:p>
    <w:p>
      <w:pPr>
        <w:spacing w:before="120" w:afterLines="50" w:line="276" w:lineRule="auto"/>
      </w:pPr>
      <w:r>
        <w:rPr>
          <w:rFonts w:hint="eastAsia"/>
        </w:rPr>
        <w:t>The payload size is related to the number of subgroups the LP-WUS can support. If X=8 or 16, the LP-WUS can carry 16bits as bitmap to indicate all the subgroups per PO. Therefore, we only need to consider X&gt;16 and how the LP-WUS indicates the subgroups.</w:t>
      </w:r>
    </w:p>
    <w:p>
      <w:pPr>
        <w:spacing w:before="120" w:afterLines="50" w:line="276" w:lineRule="auto"/>
      </w:pPr>
      <w:r>
        <w:rPr>
          <w:rFonts w:hint="eastAsia"/>
        </w:rPr>
        <w:t>Assuming that there are 8~256subgroups for one PO in the network, the probability for wake-up one subgroup and more subgroups is shown as follows:</w:t>
      </w:r>
    </w:p>
    <w:p>
      <w:pPr>
        <w:spacing w:before="120" w:afterLines="50" w:line="276" w:lineRule="auto"/>
        <w:jc w:val="center"/>
      </w:pPr>
    </w:p>
    <w:p>
      <w:pPr>
        <w:spacing w:before="120" w:afterLines="50" w:line="276" w:lineRule="auto"/>
        <w:jc w:val="center"/>
      </w:pPr>
      <w:r>
        <w:rPr>
          <w:rFonts w:hint="eastAsia"/>
        </w:rPr>
        <w:t>Table 4. Probability for multi-subgroups wake-up per PO</w:t>
      </w:r>
    </w:p>
    <w:tbl>
      <w:tblPr>
        <w:tblStyle w:val="31"/>
        <w:tblW w:w="85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9"/>
        <w:gridCol w:w="7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09" w:type="dxa"/>
          </w:tcPr>
          <w:p>
            <w:pPr>
              <w:spacing w:before="120" w:after="0"/>
              <w:ind w:left="851" w:hanging="284"/>
              <w:rPr>
                <w:rFonts w:eastAsia="等线"/>
                <w:sz w:val="18"/>
                <w:szCs w:val="18"/>
                <w:lang w:val="en-GB" w:eastAsia="en-US"/>
              </w:rPr>
            </w:pPr>
          </w:p>
        </w:tc>
        <w:tc>
          <w:tcPr>
            <w:tcW w:w="7488" w:type="dxa"/>
          </w:tcPr>
          <w:p>
            <w:pPr>
              <w:keepNext/>
              <w:keepLines/>
              <w:spacing w:before="120" w:after="0"/>
              <w:rPr>
                <w:rFonts w:eastAsia="等线"/>
                <w:sz w:val="18"/>
                <w:szCs w:val="18"/>
              </w:rPr>
            </w:pPr>
            <w:r>
              <w:rPr>
                <w:rFonts w:hint="eastAsia" w:eastAsia="等线"/>
                <w:sz w:val="18"/>
                <w:szCs w:val="18"/>
              </w:rPr>
              <w:t>Assumptions:</w:t>
            </w:r>
          </w:p>
          <w:p>
            <w:pPr>
              <w:keepNext/>
              <w:keepLines/>
              <w:spacing w:before="120" w:after="0"/>
            </w:pPr>
            <w:r>
              <w:rPr>
                <w:rFonts w:hint="eastAsia" w:eastAsia="等线"/>
                <w:sz w:val="18"/>
                <w:szCs w:val="18"/>
              </w:rPr>
              <w:t>Number of subgroups: 8,16, 32, 64, 128,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6" w:hRule="atLeast"/>
          <w:jc w:val="center"/>
        </w:trPr>
        <w:tc>
          <w:tcPr>
            <w:tcW w:w="1109" w:type="dxa"/>
          </w:tcPr>
          <w:p>
            <w:pPr>
              <w:keepNext/>
              <w:keepLines/>
              <w:spacing w:before="120" w:after="0"/>
              <w:rPr>
                <w:rFonts w:eastAsia="等线"/>
                <w:sz w:val="18"/>
                <w:szCs w:val="18"/>
              </w:rPr>
            </w:pPr>
            <w:r>
              <w:rPr>
                <w:rFonts w:hint="eastAsia" w:eastAsia="等线"/>
                <w:sz w:val="18"/>
                <w:szCs w:val="18"/>
              </w:rPr>
              <w:t>Per subgroup effective paging rate=3%</w:t>
            </w:r>
          </w:p>
          <w:p>
            <w:pPr>
              <w:pStyle w:val="18"/>
              <w:spacing w:before="120"/>
            </w:pPr>
          </w:p>
        </w:tc>
        <w:tc>
          <w:tcPr>
            <w:tcW w:w="7488" w:type="dxa"/>
          </w:tcPr>
          <w:p>
            <w:pPr>
              <w:pStyle w:val="18"/>
              <w:spacing w:before="120"/>
              <w:rPr>
                <w:rFonts w:eastAsia="等线"/>
                <w:sz w:val="18"/>
                <w:szCs w:val="18"/>
              </w:rPr>
            </w:pPr>
          </w:p>
          <w:p>
            <w:pPr>
              <w:pStyle w:val="18"/>
              <w:spacing w:before="120"/>
            </w:pPr>
            <w:r>
              <w:drawing>
                <wp:inline distT="0" distB="0" distL="114300" distR="114300">
                  <wp:extent cx="4388485" cy="2583180"/>
                  <wp:effectExtent l="4445" t="5080" r="7620" b="21590"/>
                  <wp:docPr id="1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6" w:hRule="atLeast"/>
          <w:jc w:val="center"/>
        </w:trPr>
        <w:tc>
          <w:tcPr>
            <w:tcW w:w="1109" w:type="dxa"/>
          </w:tcPr>
          <w:p>
            <w:pPr>
              <w:keepNext/>
              <w:keepLines/>
              <w:spacing w:before="120" w:after="0"/>
              <w:rPr>
                <w:rFonts w:eastAsia="等线"/>
                <w:sz w:val="18"/>
                <w:szCs w:val="18"/>
              </w:rPr>
            </w:pPr>
            <w:r>
              <w:rPr>
                <w:rFonts w:hint="eastAsia" w:eastAsia="等线"/>
                <w:sz w:val="18"/>
                <w:szCs w:val="18"/>
              </w:rPr>
              <w:t>Per subgroup effective paging rate=1%</w:t>
            </w:r>
          </w:p>
          <w:p>
            <w:pPr>
              <w:pStyle w:val="18"/>
              <w:spacing w:before="120"/>
            </w:pPr>
          </w:p>
        </w:tc>
        <w:tc>
          <w:tcPr>
            <w:tcW w:w="7488" w:type="dxa"/>
          </w:tcPr>
          <w:p>
            <w:pPr>
              <w:pStyle w:val="18"/>
              <w:spacing w:before="120"/>
            </w:pPr>
            <w:r>
              <w:drawing>
                <wp:inline distT="0" distB="0" distL="114300" distR="114300">
                  <wp:extent cx="4430395" cy="3065145"/>
                  <wp:effectExtent l="4445" t="4445" r="22860" b="16510"/>
                  <wp:docPr id="9"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pPr>
        <w:spacing w:before="120" w:afterLines="50" w:line="276" w:lineRule="auto"/>
      </w:pPr>
    </w:p>
    <w:p>
      <w:pPr>
        <w:spacing w:before="120" w:afterLines="50" w:line="276" w:lineRule="auto"/>
        <w:rPr>
          <w:b/>
          <w:bCs/>
          <w:i/>
          <w:iCs/>
        </w:rPr>
      </w:pPr>
      <w:r>
        <w:rPr>
          <w:rFonts w:hint="eastAsia"/>
          <w:b/>
          <w:bCs/>
          <w:i/>
          <w:iCs/>
        </w:rPr>
        <w:t>Observation 5: With the number of subgroups increasing, one subgroup wake-up in a time duration becomes a minor case.</w:t>
      </w:r>
    </w:p>
    <w:p>
      <w:pPr>
        <w:spacing w:before="120" w:line="240" w:lineRule="auto"/>
      </w:pPr>
      <w:r>
        <w:rPr>
          <w:rFonts w:hint="eastAsia"/>
        </w:rPr>
        <w:t>Additionally, as mentioned in [3], carrying more information bits by LP-WUS could help improve the NW spectrum efficiency and NW resources. Therefore, it is more preferred to support multiple subgroups wake-up in LP-WUS.</w:t>
      </w:r>
    </w:p>
    <w:p>
      <w:pPr>
        <w:spacing w:before="120" w:afterLines="50" w:line="276" w:lineRule="auto"/>
        <w:rPr>
          <w:b/>
          <w:bCs/>
          <w:i/>
          <w:iCs/>
        </w:rPr>
      </w:pPr>
      <w:r>
        <w:rPr>
          <w:rFonts w:hint="eastAsia"/>
          <w:b/>
          <w:bCs/>
          <w:i/>
          <w:iCs/>
        </w:rPr>
        <w:t xml:space="preserve">Proposal 8: Support </w:t>
      </w:r>
      <w:r>
        <w:rPr>
          <w:b/>
          <w:bCs/>
          <w:i/>
          <w:iCs/>
        </w:rPr>
        <w:t>multiple</w:t>
      </w:r>
      <w:r>
        <w:rPr>
          <w:rFonts w:hint="eastAsia"/>
          <w:b/>
          <w:bCs/>
          <w:i/>
          <w:iCs/>
        </w:rPr>
        <w:t xml:space="preserve"> subgroups as much as possible by LP-WUS in idle/inactive state.</w:t>
      </w:r>
    </w:p>
    <w:p>
      <w:pPr>
        <w:spacing w:before="120" w:afterLines="50" w:line="276" w:lineRule="auto"/>
        <w:rPr>
          <w:b/>
          <w:bCs/>
          <w:i/>
          <w:iCs/>
          <w:szCs w:val="20"/>
        </w:rPr>
      </w:pPr>
    </w:p>
    <w:bookmarkEnd w:id="11"/>
    <w:bookmarkEnd w:id="12"/>
    <w:p>
      <w:pPr>
        <w:pStyle w:val="2"/>
        <w:spacing w:before="120"/>
        <w:rPr>
          <w:lang w:val="en-US"/>
        </w:rPr>
      </w:pPr>
      <w:r>
        <w:rPr>
          <w:rFonts w:hint="eastAsia"/>
          <w:lang w:val="en-US"/>
        </w:rPr>
        <w:t>LP-WUS monitoring schemes</w:t>
      </w:r>
    </w:p>
    <w:p>
      <w:pPr>
        <w:spacing w:before="120" w:beforeLines="0" w:line="276" w:lineRule="auto"/>
      </w:pPr>
      <w:r>
        <w:rPr>
          <w:rFonts w:hint="eastAsia"/>
        </w:rPr>
        <w:t>Generally, the LP-WUS monitoring design should be applicable with maximum flexibility. For example, at least, it is not preferred to have different design or bring new behaviors for I-DRX, eDRX. Also, for FDD and TDD, it also preferred to have a unified design.</w:t>
      </w:r>
    </w:p>
    <w:p>
      <w:pPr>
        <w:numPr>
          <w:ilvl w:val="255"/>
          <w:numId w:val="0"/>
        </w:numPr>
        <w:spacing w:before="120" w:beforeLines="0" w:line="276" w:lineRule="auto"/>
        <w:rPr>
          <w:b/>
          <w:bCs/>
          <w:i/>
          <w:iCs/>
        </w:rPr>
      </w:pPr>
      <w:r>
        <w:rPr>
          <w:rFonts w:hint="eastAsia"/>
          <w:b/>
          <w:bCs/>
          <w:i/>
          <w:iCs/>
        </w:rPr>
        <w:t>Proposal 9: Unified LP-WUS monitoring scheme is pursued, considering</w:t>
      </w:r>
    </w:p>
    <w:p>
      <w:pPr>
        <w:numPr>
          <w:ilvl w:val="0"/>
          <w:numId w:val="15"/>
        </w:numPr>
        <w:spacing w:before="120" w:beforeLines="0" w:line="276" w:lineRule="auto"/>
        <w:rPr>
          <w:b/>
          <w:bCs/>
          <w:i/>
          <w:iCs/>
        </w:rPr>
      </w:pPr>
      <w:r>
        <w:rPr>
          <w:rFonts w:hint="eastAsia"/>
          <w:b/>
          <w:bCs/>
          <w:i/>
          <w:iCs/>
        </w:rPr>
        <w:t>I-DRX, eDRX</w:t>
      </w:r>
    </w:p>
    <w:p>
      <w:pPr>
        <w:numPr>
          <w:ilvl w:val="0"/>
          <w:numId w:val="15"/>
        </w:numPr>
        <w:spacing w:before="120" w:beforeLines="0" w:line="276" w:lineRule="auto"/>
        <w:rPr>
          <w:b/>
          <w:bCs/>
          <w:i/>
          <w:iCs/>
        </w:rPr>
      </w:pPr>
      <w:r>
        <w:rPr>
          <w:rFonts w:hint="eastAsia"/>
          <w:b/>
          <w:bCs/>
          <w:i/>
          <w:iCs/>
        </w:rPr>
        <w:t>FDD, TDD</w:t>
      </w:r>
    </w:p>
    <w:p>
      <w:pPr>
        <w:numPr>
          <w:ilvl w:val="255"/>
          <w:numId w:val="0"/>
        </w:numPr>
        <w:spacing w:before="120" w:beforeLines="0" w:line="276" w:lineRule="auto"/>
        <w:rPr>
          <w:b/>
          <w:bCs/>
          <w:i/>
          <w:iCs/>
        </w:rPr>
      </w:pPr>
    </w:p>
    <w:p>
      <w:pPr>
        <w:pStyle w:val="3"/>
        <w:spacing w:before="120"/>
        <w:rPr>
          <w:lang w:val="en-US"/>
        </w:rPr>
      </w:pPr>
      <w:r>
        <w:rPr>
          <w:rFonts w:hint="eastAsia"/>
          <w:lang w:val="en-US"/>
        </w:rPr>
        <w:t>LR monitoring</w:t>
      </w:r>
    </w:p>
    <w:p>
      <w:pPr>
        <w:spacing w:before="120"/>
      </w:pPr>
      <w:r>
        <w:rPr>
          <w:rFonts w:hint="eastAsia"/>
        </w:rPr>
        <w:t xml:space="preserve">To achieve msg3 coverage, the LP-WUS requires repetition. With multiple beams, the LP-WUS may be transmitted multiple times. </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0" w:after="0" w:line="240" w:lineRule="auto"/>
              <w:jc w:val="left"/>
              <w:rPr>
                <w:rFonts w:ascii="Times" w:hAnsi="Times" w:eastAsia="等线"/>
                <w:b/>
                <w:bCs/>
                <w:szCs w:val="24"/>
                <w:highlight w:val="green"/>
                <w:lang w:bidi="ar"/>
              </w:rPr>
            </w:pPr>
            <w:r>
              <w:rPr>
                <w:rFonts w:ascii="Times" w:hAnsi="Times" w:eastAsia="等线"/>
                <w:b/>
                <w:bCs/>
                <w:szCs w:val="24"/>
                <w:highlight w:val="green"/>
                <w:lang w:bidi="ar"/>
              </w:rPr>
              <w:t>Agreement</w:t>
            </w:r>
          </w:p>
          <w:p>
            <w:pPr>
              <w:snapToGrid/>
              <w:spacing w:before="0" w:beforeLines="0" w:after="0" w:line="240" w:lineRule="auto"/>
              <w:jc w:val="left"/>
              <w:rPr>
                <w:rFonts w:ascii="Times" w:hAnsi="Times" w:eastAsia="Batang"/>
                <w:szCs w:val="20"/>
                <w:lang w:val="en-GB" w:eastAsia="en-US"/>
              </w:rPr>
            </w:pPr>
            <w:r>
              <w:rPr>
                <w:rFonts w:ascii="Times" w:hAnsi="Times" w:eastAsia="Batang"/>
                <w:szCs w:val="20"/>
                <w:lang w:val="en-GB" w:eastAsia="en-US"/>
              </w:rPr>
              <w:t>Each LO consists of N * K LP-WUS MOs, where N is the number of beams corresponding to LP-WUS, and K is the number of LP-WUS MOs for each beam.</w:t>
            </w:r>
          </w:p>
          <w:p>
            <w:pPr>
              <w:numPr>
                <w:ilvl w:val="0"/>
                <w:numId w:val="16"/>
              </w:numPr>
              <w:snapToGrid/>
              <w:spacing w:before="0" w:beforeLines="0" w:after="0"/>
              <w:jc w:val="left"/>
              <w:rPr>
                <w:rFonts w:eastAsia="Batang"/>
                <w:szCs w:val="24"/>
                <w:lang w:val="en-GB" w:eastAsia="en-US"/>
              </w:rPr>
            </w:pPr>
            <w:r>
              <w:rPr>
                <w:rFonts w:eastAsia="Batang"/>
                <w:szCs w:val="24"/>
                <w:lang w:val="en-GB" w:eastAsia="en-US"/>
              </w:rPr>
              <w:t xml:space="preserve">Option 1: K = 1 </w:t>
            </w:r>
          </w:p>
          <w:p>
            <w:pPr>
              <w:numPr>
                <w:ilvl w:val="0"/>
                <w:numId w:val="16"/>
              </w:numPr>
              <w:snapToGrid/>
              <w:spacing w:before="0" w:beforeLines="0" w:after="0"/>
              <w:jc w:val="left"/>
              <w:rPr>
                <w:rFonts w:eastAsia="Batang"/>
                <w:szCs w:val="24"/>
                <w:lang w:val="en-GB" w:eastAsia="en-US"/>
              </w:rPr>
            </w:pPr>
            <w:r>
              <w:rPr>
                <w:rFonts w:eastAsia="Batang"/>
                <w:szCs w:val="24"/>
                <w:lang w:val="en-GB" w:eastAsia="en-US"/>
              </w:rPr>
              <w:t>Option 2: K can be larger than or equal to 1</w:t>
            </w:r>
          </w:p>
          <w:p>
            <w:pPr>
              <w:numPr>
                <w:ilvl w:val="1"/>
                <w:numId w:val="16"/>
              </w:numPr>
              <w:snapToGrid/>
              <w:spacing w:before="0" w:beforeLines="0" w:after="0"/>
              <w:jc w:val="left"/>
              <w:rPr>
                <w:rFonts w:eastAsia="Batang"/>
                <w:szCs w:val="24"/>
                <w:lang w:val="en-GB" w:eastAsia="en-US"/>
              </w:rPr>
            </w:pPr>
            <w:r>
              <w:rPr>
                <w:rFonts w:eastAsia="Batang"/>
                <w:szCs w:val="24"/>
                <w:lang w:val="en-GB" w:eastAsia="en-US"/>
              </w:rPr>
              <w:t>FFS if more than 1 LP-WUS is transmitted from the same beam, whether the information in these multiple LP-WUS is always the same or can be different</w:t>
            </w:r>
          </w:p>
          <w:p>
            <w:pPr>
              <w:spacing w:before="120"/>
            </w:pPr>
          </w:p>
        </w:tc>
      </w:tr>
    </w:tbl>
    <w:p>
      <w:pPr>
        <w:spacing w:before="120"/>
      </w:pPr>
      <w:r>
        <w:rPr>
          <w:rFonts w:hint="eastAsia"/>
        </w:rPr>
        <w:t>Issue 1: MO is defined based on one slot or not</w:t>
      </w:r>
    </w:p>
    <w:p>
      <w:pPr>
        <w:spacing w:before="120"/>
      </w:pPr>
      <w:r>
        <w:rPr>
          <w:rFonts w:hint="eastAsia"/>
        </w:rPr>
        <w:t>This depends on the LP-WUS coverage evaluation. If one LP-WUS occupies multiple slots, e.g., small M value, which has better performance than multiple repetitions, then it is possible that the MO could be defined based on one or more slots.</w:t>
      </w:r>
    </w:p>
    <w:p>
      <w:pPr>
        <w:spacing w:before="120"/>
      </w:pPr>
      <w:r>
        <w:rPr>
          <w:rFonts w:hint="eastAsia"/>
        </w:rPr>
        <w:t>Issue 2: for the same beam, whether the information across different MOs should be the same</w:t>
      </w:r>
    </w:p>
    <w:p>
      <w:pPr>
        <w:spacing w:before="120"/>
      </w:pPr>
      <w:r>
        <w:rPr>
          <w:rFonts w:hint="eastAsia"/>
        </w:rPr>
        <w:t>For the same beam, if LP-WUS on different MOs carries different information, for example, LP-WUS carries MSB bits of grouping information in first MO and LP-WUS carries LSB bits of grouping information in second MO, in this case, the UE is not required to monitor the second MO if the MSB bits is not matched.</w:t>
      </w:r>
    </w:p>
    <w:p>
      <w:pPr>
        <w:spacing w:before="120"/>
      </w:pPr>
      <w:r>
        <w:rPr>
          <w:rFonts w:hint="eastAsia"/>
        </w:rPr>
        <w:t xml:space="preserve">However, if LP-WUS can carry all the information in one MO, then there is no strong need to split the transmitted information in two LP-WUS. Currently, the maximum number of subgroups could be 256, indicating one subgroups only requires 8bits. Therefore, if multiple subgroup indication is needed, multiple LP-WUS or larger payload size could be considered. </w:t>
      </w:r>
    </w:p>
    <w:p>
      <w:pPr>
        <w:spacing w:before="120"/>
      </w:pPr>
      <w:r>
        <w:rPr>
          <w:rFonts w:hint="eastAsia"/>
        </w:rPr>
        <w:t xml:space="preserve">Generally, if the maximum number of subgroups is larger than the LP-WUS payload size, potentially, it would be needed to define multiple MOs for LP-WUS transmission with the same beam information. If the maximum number of subgroups is not larger than the LP-WUS payload size, e.g., bitmap in LP-WUS can be used to indicate all the subgroups. In this case, to avoid some DL slots are occupied by other signals, more MOs can provide some scheduling flexibility with cost of some WUR monitoring power consumption  </w:t>
      </w:r>
    </w:p>
    <w:p>
      <w:pPr>
        <w:spacing w:before="120"/>
      </w:pPr>
      <w:r>
        <w:drawing>
          <wp:inline distT="0" distB="0" distL="114300" distR="114300">
            <wp:extent cx="5689600" cy="1442720"/>
            <wp:effectExtent l="0" t="0" r="6350" b="508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6"/>
                    <a:stretch>
                      <a:fillRect/>
                    </a:stretch>
                  </pic:blipFill>
                  <pic:spPr>
                    <a:xfrm>
                      <a:off x="0" y="0"/>
                      <a:ext cx="5689600" cy="1442720"/>
                    </a:xfrm>
                    <a:prstGeom prst="rect">
                      <a:avLst/>
                    </a:prstGeom>
                    <a:noFill/>
                    <a:ln>
                      <a:noFill/>
                    </a:ln>
                  </pic:spPr>
                </pic:pic>
              </a:graphicData>
            </a:graphic>
          </wp:inline>
        </w:drawing>
      </w:r>
    </w:p>
    <w:p>
      <w:pPr>
        <w:spacing w:before="120"/>
        <w:jc w:val="center"/>
      </w:pPr>
      <w:r>
        <w:rPr>
          <w:rFonts w:hint="eastAsia"/>
        </w:rPr>
        <w:t>Figure 3. LO, MO, repetition and beams relationship</w:t>
      </w:r>
    </w:p>
    <w:p>
      <w:pPr>
        <w:spacing w:before="120"/>
      </w:pPr>
      <w:r>
        <w:rPr>
          <w:rFonts w:hint="eastAsia"/>
        </w:rPr>
        <w:t xml:space="preserve">As shown in the figure, LP-WUS could be repeated with the same information and same beam. Also with the same beam, different LP-WUS indicating for different subgroups can be considered, or with the same beam, multiple MOs are defined for NW scheduling flexibility and the gNB can choose the MO to transmit the LP-WUS. </w:t>
      </w:r>
    </w:p>
    <w:p>
      <w:pPr>
        <w:spacing w:before="120"/>
      </w:pPr>
      <w:r>
        <w:rPr>
          <w:rFonts w:hint="eastAsia"/>
        </w:rPr>
        <w:t>Moreover, to achieve target coverage, we think repetition is required, therefore, only option1 K=1 is not enough. Therefore, the following proposal is made.</w:t>
      </w:r>
    </w:p>
    <w:p>
      <w:pPr>
        <w:spacing w:before="120"/>
        <w:rPr>
          <w:rFonts w:ascii="Times" w:hAnsi="Times"/>
          <w:b/>
          <w:bCs/>
          <w:i/>
          <w:iCs/>
          <w:szCs w:val="20"/>
        </w:rPr>
      </w:pPr>
      <w:r>
        <w:rPr>
          <w:rFonts w:hint="eastAsia"/>
          <w:b/>
          <w:bCs/>
          <w:i/>
          <w:iCs/>
        </w:rPr>
        <w:t xml:space="preserve">Proposal 10: </w:t>
      </w:r>
      <w:r>
        <w:rPr>
          <w:rFonts w:ascii="Times" w:hAnsi="Times" w:eastAsia="Batang"/>
          <w:b/>
          <w:bCs/>
          <w:i/>
          <w:iCs/>
          <w:szCs w:val="20"/>
          <w:lang w:val="en-GB" w:eastAsia="en-US"/>
        </w:rPr>
        <w:t>Each LO consists of N * K LP-WUS MOs,</w:t>
      </w:r>
      <w:r>
        <w:rPr>
          <w:rFonts w:hint="eastAsia" w:ascii="Times" w:hAnsi="Times"/>
          <w:b/>
          <w:bCs/>
          <w:i/>
          <w:iCs/>
          <w:szCs w:val="20"/>
        </w:rPr>
        <w:t xml:space="preserve"> option 2 is adopted with K&gt;1</w:t>
      </w:r>
    </w:p>
    <w:p>
      <w:pPr>
        <w:numPr>
          <w:ilvl w:val="0"/>
          <w:numId w:val="17"/>
        </w:numPr>
        <w:spacing w:before="120"/>
        <w:rPr>
          <w:rFonts w:ascii="Times" w:hAnsi="Times"/>
          <w:b/>
          <w:bCs/>
          <w:i/>
          <w:iCs/>
          <w:szCs w:val="20"/>
        </w:rPr>
      </w:pPr>
      <w:r>
        <w:rPr>
          <w:rFonts w:hint="eastAsia" w:ascii="Times" w:hAnsi="Times"/>
          <w:b/>
          <w:bCs/>
          <w:i/>
          <w:iCs/>
          <w:szCs w:val="20"/>
        </w:rPr>
        <w:t>K could be larger than repetition number</w:t>
      </w:r>
    </w:p>
    <w:p>
      <w:pPr>
        <w:spacing w:before="120"/>
      </w:pPr>
      <w:r>
        <w:rPr>
          <w:rFonts w:hint="eastAsia"/>
        </w:rPr>
        <w:t xml:space="preserve"> </w:t>
      </w:r>
    </w:p>
    <w:p>
      <w:pPr>
        <w:spacing w:before="120"/>
      </w:pPr>
      <w:r>
        <w:rPr>
          <w:rFonts w:hint="eastAsia"/>
        </w:rPr>
        <w:t>Issue3: the beam index and repetition determination</w:t>
      </w:r>
    </w:p>
    <w:p>
      <w:pPr>
        <w:spacing w:before="120"/>
      </w:pPr>
      <w:r>
        <w:rPr>
          <w:rFonts w:hint="eastAsia"/>
        </w:rPr>
        <w:t>There are mainly two methods for the beam index and repetition determination.</w:t>
      </w:r>
    </w:p>
    <w:p>
      <w:pPr>
        <w:spacing w:before="120"/>
      </w:pPr>
      <w:r>
        <w:rPr>
          <w:rFonts w:hint="eastAsia"/>
        </w:rPr>
        <w:t>Option1:beam index increase first and then repetition</w:t>
      </w:r>
    </w:p>
    <w:p>
      <w:pPr>
        <w:spacing w:before="120"/>
      </w:pPr>
      <w:r>
        <w:rPr>
          <w:rFonts w:hint="eastAsia"/>
        </w:rPr>
        <w:t>Option2:repetition first and then beam index increase</w:t>
      </w:r>
    </w:p>
    <w:p>
      <w:pPr>
        <w:spacing w:before="120"/>
      </w:pPr>
      <w:r>
        <w:drawing>
          <wp:inline distT="0" distB="0" distL="114300" distR="114300">
            <wp:extent cx="4750435" cy="2175510"/>
            <wp:effectExtent l="0" t="0" r="12065" b="1524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7"/>
                    <a:stretch>
                      <a:fillRect/>
                    </a:stretch>
                  </pic:blipFill>
                  <pic:spPr>
                    <a:xfrm>
                      <a:off x="0" y="0"/>
                      <a:ext cx="4750435" cy="2175510"/>
                    </a:xfrm>
                    <a:prstGeom prst="rect">
                      <a:avLst/>
                    </a:prstGeom>
                    <a:noFill/>
                    <a:ln>
                      <a:noFill/>
                    </a:ln>
                  </pic:spPr>
                </pic:pic>
              </a:graphicData>
            </a:graphic>
          </wp:inline>
        </w:drawing>
      </w:r>
    </w:p>
    <w:p>
      <w:pPr>
        <w:spacing w:before="120"/>
        <w:jc w:val="center"/>
      </w:pPr>
      <w:r>
        <w:rPr>
          <w:rFonts w:hint="eastAsia"/>
        </w:rPr>
        <w:t>Figure 4. beam sweeping and repetition</w:t>
      </w:r>
    </w:p>
    <w:p>
      <w:pPr>
        <w:spacing w:before="120"/>
      </w:pPr>
      <w:r>
        <w:rPr>
          <w:rFonts w:hint="eastAsia"/>
        </w:rPr>
        <w:t>For option2, it is more appropriate for WUR to detect the LP-WUS. And if failed, discard the memory and then start the next detection with another beam. For option1, it requires the WUR to restore all the data for different beams until the transmission ends, which is not friendly to the WUS receiver.</w:t>
      </w:r>
    </w:p>
    <w:p>
      <w:pPr>
        <w:numPr>
          <w:ilvl w:val="255"/>
          <w:numId w:val="0"/>
        </w:numPr>
        <w:spacing w:before="120" w:beforeLines="0" w:line="276" w:lineRule="auto"/>
        <w:rPr>
          <w:b/>
          <w:bCs/>
          <w:i/>
          <w:iCs/>
        </w:rPr>
      </w:pPr>
      <w:r>
        <w:rPr>
          <w:rFonts w:hint="eastAsia"/>
          <w:b/>
          <w:bCs/>
          <w:i/>
          <w:iCs/>
        </w:rPr>
        <w:t>Proposal 11: Consider option 2 to determine the beam index and repetition.</w:t>
      </w:r>
    </w:p>
    <w:p>
      <w:pPr>
        <w:pStyle w:val="3"/>
        <w:spacing w:before="120"/>
        <w:rPr>
          <w:lang w:val="en-US"/>
        </w:rPr>
      </w:pPr>
      <w:r>
        <w:rPr>
          <w:rFonts w:hint="eastAsia"/>
          <w:lang w:val="en-US"/>
        </w:rPr>
        <w:t>Interaction with I-DRX</w:t>
      </w:r>
    </w:p>
    <w:p>
      <w:pPr>
        <w:pStyle w:val="4"/>
        <w:spacing w:before="120"/>
        <w:rPr>
          <w:lang w:val="en-US"/>
        </w:rPr>
      </w:pPr>
      <w:r>
        <w:rPr>
          <w:rFonts w:hint="eastAsia"/>
          <w:lang w:val="en-US"/>
        </w:rPr>
        <w:t>Periodicity of LO</w:t>
      </w:r>
    </w:p>
    <w:p>
      <w:pPr>
        <w:spacing w:before="120" w:beforeLines="0" w:line="276" w:lineRule="auto"/>
        <w:jc w:val="center"/>
      </w:pPr>
      <w:r>
        <w:drawing>
          <wp:inline distT="0" distB="0" distL="114300" distR="114300">
            <wp:extent cx="5684520" cy="2074545"/>
            <wp:effectExtent l="0" t="0" r="11430" b="190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8"/>
                    <a:stretch>
                      <a:fillRect/>
                    </a:stretch>
                  </pic:blipFill>
                  <pic:spPr>
                    <a:xfrm>
                      <a:off x="0" y="0"/>
                      <a:ext cx="5684520" cy="2074545"/>
                    </a:xfrm>
                    <a:prstGeom prst="rect">
                      <a:avLst/>
                    </a:prstGeom>
                    <a:noFill/>
                    <a:ln>
                      <a:noFill/>
                    </a:ln>
                  </pic:spPr>
                </pic:pic>
              </a:graphicData>
            </a:graphic>
          </wp:inline>
        </w:drawing>
      </w:r>
    </w:p>
    <w:p>
      <w:pPr>
        <w:spacing w:before="120" w:beforeLines="0" w:line="276" w:lineRule="auto"/>
        <w:jc w:val="center"/>
        <w:rPr>
          <w:highlight w:val="yellow"/>
        </w:rPr>
      </w:pPr>
      <w:r>
        <w:rPr>
          <w:rFonts w:hint="eastAsia"/>
        </w:rPr>
        <w:t>Figure 5. Duty cycle LP-WUS monitoring with I-DRX</w:t>
      </w:r>
    </w:p>
    <w:p>
      <w:pPr>
        <w:spacing w:before="120" w:beforeLines="0" w:line="276" w:lineRule="auto"/>
      </w:pPr>
      <w:r>
        <w:rPr>
          <w:rFonts w:hint="eastAsia"/>
        </w:rPr>
        <w:t>For duty cycle LP-WUS in IDLE/INACTIVE mode, periodicity of LP-WUS Occasion</w:t>
      </w:r>
      <w:r>
        <w:t xml:space="preserve"> </w:t>
      </w:r>
      <w:r>
        <w:rPr>
          <w:rFonts w:hint="eastAsia"/>
        </w:rPr>
        <w:t xml:space="preserve">(LO) can be configured to the same value of DRX cycle. </w:t>
      </w:r>
      <w:bookmarkStart w:id="13" w:name="OLE_LINK10"/>
      <w:r>
        <w:rPr>
          <w:rFonts w:hint="eastAsia"/>
        </w:rPr>
        <w:t>The location of LO can be determined by an offset before the starting of DRX cycle</w:t>
      </w:r>
      <w:bookmarkEnd w:id="13"/>
      <w:r>
        <w:rPr>
          <w:rFonts w:hint="eastAsia"/>
        </w:rPr>
        <w:t xml:space="preserve"> as shown in Figure 3. The value of offset should take ramp up time of UE from LR to MR into consideration. </w:t>
      </w:r>
    </w:p>
    <w:p>
      <w:pPr>
        <w:spacing w:before="120" w:beforeLines="0" w:line="276" w:lineRule="auto"/>
      </w:pPr>
      <w:bookmarkStart w:id="14" w:name="OLE_LINK11"/>
      <w:r>
        <w:rPr>
          <w:rFonts w:hint="eastAsia"/>
        </w:rPr>
        <w:t xml:space="preserve">The number of LOs before DRX cycle may be larger than 1 for more transmission occasions. </w:t>
      </w:r>
      <w:bookmarkEnd w:id="14"/>
      <w:r>
        <w:rPr>
          <w:rFonts w:hint="eastAsia"/>
        </w:rPr>
        <w:t xml:space="preserve">In this case, the periodicity for LP-WUS could be smaller than I-DRX, which is shown in </w:t>
      </w:r>
      <w:r>
        <w:t>F</w:t>
      </w:r>
      <w:r>
        <w:rPr>
          <w:rFonts w:hint="eastAsia"/>
        </w:rPr>
        <w:t>igure 3.With this LP-WUS configuration, the UE with a large minimum time gap is more likely to monitor LP-WUS at the earlier occasion, and UE with a small minimum time gap could monitor the earlier LP-WUS occasion and the later occasion.</w:t>
      </w:r>
    </w:p>
    <w:p>
      <w:pPr>
        <w:spacing w:before="120" w:beforeLines="0" w:line="276" w:lineRule="auto"/>
      </w:pPr>
      <w:r>
        <w:rPr>
          <w:rFonts w:hint="eastAsia"/>
        </w:rPr>
        <w:t>Additionally, if eDRX is considered, the LP-WUS could be allocated before PTW instead of I-DRX, in this case, the periodicity also could be larger than I-DRX. If one LO maps to multiple POs, the LO periodicity also should be larger. Moreover, if the effective paging rate in the NW is low, and the target devices are IoT devices which are not so sensitive to the latency, then larger LO periodicity is still possible</w:t>
      </w:r>
    </w:p>
    <w:p>
      <w:pPr>
        <w:spacing w:before="120" w:beforeLines="0" w:line="276" w:lineRule="auto"/>
      </w:pPr>
      <w:r>
        <w:rPr>
          <w:rFonts w:hint="eastAsia"/>
        </w:rPr>
        <w:t>Therefore, only support the LO periodicity same as PO is too early. It would be more beneficial for the NW to choose different periodicity for different situations.</w:t>
      </w:r>
    </w:p>
    <w:p>
      <w:pPr>
        <w:spacing w:before="120" w:beforeLines="0" w:line="276" w:lineRule="auto"/>
        <w:rPr>
          <w:b/>
          <w:bCs/>
          <w:i/>
          <w:iCs/>
        </w:rPr>
      </w:pPr>
      <w:r>
        <w:rPr>
          <w:rFonts w:hint="eastAsia"/>
          <w:b/>
          <w:bCs/>
          <w:i/>
          <w:iCs/>
        </w:rPr>
        <w:t>Proposal 12: For duty cycle LP-WUS in IDLE/INACTIVE mode, NW can configure different LO periodicity according to different situation.</w:t>
      </w:r>
    </w:p>
    <w:p>
      <w:pPr>
        <w:spacing w:before="120" w:beforeLines="0" w:line="276" w:lineRule="auto"/>
        <w:rPr>
          <w:b/>
          <w:bCs/>
          <w:i/>
          <w:iCs/>
        </w:rPr>
      </w:pPr>
    </w:p>
    <w:p>
      <w:pPr>
        <w:pStyle w:val="4"/>
        <w:spacing w:before="120"/>
        <w:rPr>
          <w:lang w:val="en-US"/>
        </w:rPr>
      </w:pPr>
      <w:r>
        <w:rPr>
          <w:rFonts w:hint="eastAsia"/>
          <w:lang w:val="en-US"/>
        </w:rPr>
        <w:t>LP-WUS mapping to PO</w:t>
      </w:r>
    </w:p>
    <w:p>
      <w:pPr>
        <w:spacing w:before="120" w:beforeLines="0" w:line="276" w:lineRule="auto"/>
        <w:jc w:val="center"/>
      </w:pPr>
      <w:r>
        <w:drawing>
          <wp:inline distT="0" distB="0" distL="114300" distR="114300">
            <wp:extent cx="4465320" cy="1064895"/>
            <wp:effectExtent l="0" t="0" r="11430" b="190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9"/>
                    <a:stretch>
                      <a:fillRect/>
                    </a:stretch>
                  </pic:blipFill>
                  <pic:spPr>
                    <a:xfrm>
                      <a:off x="0" y="0"/>
                      <a:ext cx="4465320" cy="1064895"/>
                    </a:xfrm>
                    <a:prstGeom prst="rect">
                      <a:avLst/>
                    </a:prstGeom>
                    <a:noFill/>
                    <a:ln>
                      <a:noFill/>
                    </a:ln>
                  </pic:spPr>
                </pic:pic>
              </a:graphicData>
            </a:graphic>
          </wp:inline>
        </w:drawing>
      </w:r>
    </w:p>
    <w:p>
      <w:pPr>
        <w:spacing w:before="120" w:beforeLines="0" w:line="276" w:lineRule="auto"/>
        <w:jc w:val="center"/>
      </w:pPr>
      <w:r>
        <w:rPr>
          <w:rFonts w:hint="eastAsia"/>
        </w:rPr>
        <w:t>Figure 6. Relationship between LP-WUS and PO</w:t>
      </w:r>
    </w:p>
    <w:p>
      <w:pPr>
        <w:spacing w:before="120" w:beforeLines="0" w:line="276" w:lineRule="auto"/>
      </w:pPr>
      <w:bookmarkStart w:id="15" w:name="OLE_LINK27"/>
      <w:r>
        <w:rPr>
          <w:rFonts w:hint="eastAsia"/>
        </w:rPr>
        <w:t>In general, a LP-WUS occasion</w:t>
      </w:r>
      <w:r>
        <w:t xml:space="preserve"> </w:t>
      </w:r>
      <w:r>
        <w:rPr>
          <w:rFonts w:hint="eastAsia"/>
        </w:rPr>
        <w:t xml:space="preserve">(LO) can be </w:t>
      </w:r>
      <w:r>
        <w:t xml:space="preserve">mapped </w:t>
      </w:r>
      <w:r>
        <w:rPr>
          <w:rFonts w:hint="eastAsia"/>
        </w:rPr>
        <w:t xml:space="preserve">to </w:t>
      </w:r>
      <w:bookmarkStart w:id="16" w:name="OLE_LINK18"/>
      <w:r>
        <w:rPr>
          <w:rFonts w:hint="eastAsia"/>
        </w:rPr>
        <w:t>one or multiple POs</w:t>
      </w:r>
      <w:bookmarkEnd w:id="16"/>
      <w:r>
        <w:rPr>
          <w:rFonts w:hint="eastAsia"/>
        </w:rPr>
        <w:t xml:space="preserve"> or </w:t>
      </w:r>
      <w:bookmarkStart w:id="17" w:name="OLE_LINK26"/>
      <w:r>
        <w:rPr>
          <w:rFonts w:hint="eastAsia"/>
        </w:rPr>
        <w:t>all POs within an I- DRX cycle</w:t>
      </w:r>
      <w:bookmarkEnd w:id="15"/>
      <w:r>
        <w:rPr>
          <w:rFonts w:hint="eastAsia"/>
        </w:rPr>
        <w:t>.</w:t>
      </w:r>
      <w:bookmarkEnd w:id="17"/>
      <w:r>
        <w:rPr>
          <w:rFonts w:hint="eastAsia"/>
        </w:rPr>
        <w:t xml:space="preserve"> </w:t>
      </w:r>
    </w:p>
    <w:p>
      <w:pPr>
        <w:spacing w:before="120" w:beforeLines="0" w:line="276" w:lineRule="auto"/>
      </w:pPr>
      <w:bookmarkStart w:id="18" w:name="OLE_LINK24"/>
      <w:r>
        <w:rPr>
          <w:rFonts w:hint="eastAsia"/>
        </w:rPr>
        <w:t xml:space="preserve">When a LO is mapped to one or multiple POs, </w:t>
      </w:r>
      <w:bookmarkStart w:id="19" w:name="OLE_LINK17"/>
      <w:r>
        <w:rPr>
          <w:rFonts w:hint="eastAsia"/>
        </w:rPr>
        <w:t>the PO location can carry part of UE-ID information, which could help offload the overhead from LP-WUS. If the LO is not mapped to the POs, RAN2 would be required to defined a similar mapping relationship as paging occasion, e.g., how group ID is mapped to LP-WUS occasion. Currently, we can consider to support mapping to PO firstly and further discuss whether No mapping to PO could be supported.</w:t>
      </w:r>
    </w:p>
    <w:p>
      <w:pPr>
        <w:spacing w:before="120" w:beforeLines="0" w:line="276" w:lineRule="auto"/>
        <w:rPr>
          <w:b/>
          <w:bCs/>
          <w:i/>
          <w:iCs/>
        </w:rPr>
      </w:pPr>
      <w:r>
        <w:rPr>
          <w:rFonts w:hint="eastAsia"/>
        </w:rPr>
        <w:t xml:space="preserve">Compared with mapping to one PO, the benefits of mapping to multiple PO are to help gNB to save resources for LOs when needed. For example, for eDRX case, there are several I-DRX cycles or POs in the PTW, whether LP-WUS could be mapped to all the POs in the PTW could be further discussed. </w:t>
      </w:r>
      <w:bookmarkEnd w:id="18"/>
      <w:bookmarkEnd w:id="19"/>
      <w:r>
        <w:br w:type="textWrapping"/>
      </w:r>
      <w:r>
        <w:rPr>
          <w:b/>
          <w:bCs/>
          <w:i/>
          <w:iCs/>
        </w:rPr>
        <w:t xml:space="preserve">Proposal </w:t>
      </w:r>
      <w:r>
        <w:rPr>
          <w:rFonts w:hint="eastAsia"/>
          <w:b/>
          <w:bCs/>
          <w:i/>
          <w:iCs/>
        </w:rPr>
        <w:t>13</w:t>
      </w:r>
      <w:r>
        <w:rPr>
          <w:b/>
          <w:bCs/>
          <w:i/>
          <w:iCs/>
        </w:rPr>
        <w:t xml:space="preserve">: For LP-WUS in IDLE/INACTIVE mode, </w:t>
      </w:r>
      <w:r>
        <w:rPr>
          <w:rFonts w:hint="eastAsia"/>
          <w:b/>
          <w:bCs/>
          <w:i/>
          <w:iCs/>
        </w:rPr>
        <w:t>a LP-WUS occasion</w:t>
      </w:r>
      <w:r>
        <w:rPr>
          <w:b/>
          <w:bCs/>
          <w:i/>
          <w:iCs/>
        </w:rPr>
        <w:t xml:space="preserve"> </w:t>
      </w:r>
      <w:r>
        <w:rPr>
          <w:rFonts w:hint="eastAsia"/>
          <w:b/>
          <w:bCs/>
          <w:i/>
          <w:iCs/>
        </w:rPr>
        <w:t>(LO) can be mapped one or multiple POs.</w:t>
      </w:r>
    </w:p>
    <w:p>
      <w:pPr>
        <w:pStyle w:val="3"/>
        <w:spacing w:before="120"/>
        <w:rPr>
          <w:lang w:val="en-US"/>
        </w:rPr>
      </w:pPr>
      <w:r>
        <w:rPr>
          <w:rFonts w:hint="eastAsia"/>
          <w:lang w:val="en-US"/>
        </w:rPr>
        <w:t>Interaction with eDRX</w:t>
      </w:r>
    </w:p>
    <w:p>
      <w:pPr>
        <w:spacing w:before="120"/>
      </w:pPr>
      <w:r>
        <w:rPr>
          <w:rFonts w:hint="eastAsia"/>
        </w:rPr>
        <w:t xml:space="preserve">According to the TR, IoT use cases and wearable cases are the target use cases. For these IoT uses cases, the eDRX is an important feature for UE power saving. </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0" w:after="180" w:line="240" w:lineRule="auto"/>
              <w:jc w:val="left"/>
              <w:rPr>
                <w:rFonts w:eastAsia="等线"/>
                <w:lang w:val="en-GB"/>
              </w:rPr>
            </w:pPr>
            <w:r>
              <w:rPr>
                <w:rFonts w:eastAsia="等线"/>
                <w:lang w:val="en-GB"/>
              </w:rPr>
              <w:t>The following characteristics for target use cases are considered in the study item:</w:t>
            </w:r>
          </w:p>
          <w:p>
            <w:pPr>
              <w:spacing w:before="120" w:after="180"/>
              <w:ind w:left="568" w:hanging="284"/>
              <w:rPr>
                <w:rFonts w:eastAsia="等线"/>
                <w:lang w:val="en-GB" w:eastAsia="en-US"/>
              </w:rPr>
            </w:pPr>
            <w:r>
              <w:rPr>
                <w:rFonts w:eastAsia="等线"/>
                <w:lang w:val="en-GB" w:eastAsia="en-US"/>
              </w:rPr>
              <w:t>-</w:t>
            </w:r>
            <w:r>
              <w:rPr>
                <w:rFonts w:eastAsia="等线"/>
                <w:lang w:val="en-GB" w:eastAsia="en-US"/>
              </w:rPr>
              <w:tab/>
            </w:r>
            <w:r>
              <w:rPr>
                <w:rFonts w:eastAsia="等线"/>
                <w:lang w:val="en-GB" w:eastAsia="en-US"/>
              </w:rPr>
              <w:t>IoT cases including e.g., industrial wireless sensors, controllers, actuators and etc, including the following characteristics,</w:t>
            </w:r>
          </w:p>
          <w:p>
            <w:pPr>
              <w:spacing w:before="120" w:after="180"/>
              <w:ind w:left="851" w:hanging="284"/>
              <w:rPr>
                <w:rFonts w:eastAsia="等线"/>
                <w:lang w:val="en-GB" w:eastAsia="en-US"/>
              </w:rPr>
            </w:pPr>
            <w:r>
              <w:rPr>
                <w:rFonts w:eastAsia="等线"/>
                <w:lang w:val="en-GB" w:eastAsia="en-US"/>
              </w:rPr>
              <w:t>-</w:t>
            </w:r>
            <w:r>
              <w:rPr>
                <w:rFonts w:eastAsia="等线"/>
                <w:lang w:val="en-GB" w:eastAsia="en-US"/>
              </w:rPr>
              <w:tab/>
            </w:r>
            <w:r>
              <w:rPr>
                <w:rFonts w:hint="eastAsia" w:eastAsia="等线"/>
                <w:lang w:val="en-GB" w:eastAsia="en-US"/>
              </w:rPr>
              <w:t>prim</w:t>
            </w:r>
            <w:r>
              <w:rPr>
                <w:rFonts w:eastAsia="等线"/>
                <w:lang w:val="en-GB" w:eastAsia="en-US"/>
              </w:rPr>
              <w:t>ary for small form devices</w:t>
            </w:r>
          </w:p>
          <w:p>
            <w:pPr>
              <w:spacing w:before="120" w:after="180"/>
              <w:ind w:left="851" w:hanging="284"/>
              <w:rPr>
                <w:rFonts w:eastAsia="等线"/>
                <w:lang w:val="en-GB" w:eastAsia="en-US"/>
              </w:rPr>
            </w:pPr>
            <w:r>
              <w:rPr>
                <w:rFonts w:eastAsia="等线"/>
                <w:lang w:val="en-GB" w:eastAsia="en-US"/>
              </w:rPr>
              <w:t>-</w:t>
            </w:r>
            <w:r>
              <w:rPr>
                <w:rFonts w:eastAsia="等线"/>
                <w:lang w:val="en-GB" w:eastAsia="en-US"/>
              </w:rPr>
              <w:tab/>
            </w:r>
            <w:r>
              <w:rPr>
                <w:rFonts w:eastAsia="等线"/>
                <w:lang w:val="en-GB" w:eastAsia="en-US"/>
              </w:rPr>
              <w:t>power-sensitive</w:t>
            </w:r>
          </w:p>
          <w:p>
            <w:pPr>
              <w:spacing w:before="120" w:after="180"/>
              <w:ind w:left="851" w:hanging="284"/>
              <w:rPr>
                <w:rFonts w:eastAsia="等线"/>
                <w:lang w:val="en-GB" w:eastAsia="en-US"/>
              </w:rPr>
            </w:pPr>
            <w:r>
              <w:rPr>
                <w:rFonts w:eastAsia="Malgun Gothic"/>
                <w:lang w:val="en-GB"/>
              </w:rPr>
              <w:t>-</w:t>
            </w:r>
            <w:r>
              <w:rPr>
                <w:rFonts w:eastAsia="Malgun Gothic"/>
                <w:lang w:val="en-GB"/>
              </w:rPr>
              <w:tab/>
            </w:r>
            <w:r>
              <w:rPr>
                <w:rFonts w:eastAsia="Malgun Gothic"/>
                <w:lang w:val="en-GB"/>
              </w:rPr>
              <w:t>static, nomadic or limited mobility</w:t>
            </w:r>
          </w:p>
          <w:p>
            <w:pPr>
              <w:spacing w:before="120" w:after="180"/>
              <w:ind w:left="568" w:hanging="284"/>
              <w:rPr>
                <w:rFonts w:eastAsia="等线"/>
                <w:lang w:val="en-GB" w:eastAsia="en-US"/>
              </w:rPr>
            </w:pPr>
            <w:r>
              <w:rPr>
                <w:rFonts w:eastAsia="等线"/>
                <w:lang w:val="en-GB" w:eastAsia="en-US"/>
              </w:rPr>
              <w:t>-</w:t>
            </w:r>
            <w:r>
              <w:rPr>
                <w:rFonts w:eastAsia="等线"/>
                <w:lang w:val="en-GB" w:eastAsia="en-US"/>
              </w:rPr>
              <w:tab/>
            </w:r>
            <w:r>
              <w:rPr>
                <w:rFonts w:eastAsia="等线"/>
                <w:lang w:val="en-GB" w:eastAsia="en-US"/>
              </w:rPr>
              <w:t xml:space="preserve">Wearable cases including e.g., smart watches, rings, eHealth related devices, and medical monitoring devices etc., </w:t>
            </w:r>
          </w:p>
          <w:p>
            <w:pPr>
              <w:spacing w:before="120" w:after="180"/>
              <w:ind w:left="851" w:hanging="284"/>
              <w:rPr>
                <w:rFonts w:eastAsia="等线"/>
                <w:lang w:val="en-GB" w:eastAsia="en-US"/>
              </w:rPr>
            </w:pPr>
            <w:r>
              <w:rPr>
                <w:rFonts w:eastAsia="等线"/>
                <w:lang w:val="en-GB" w:eastAsia="en-US"/>
              </w:rPr>
              <w:t>-</w:t>
            </w:r>
            <w:r>
              <w:rPr>
                <w:rFonts w:eastAsia="等线"/>
                <w:lang w:val="en-GB" w:eastAsia="en-US"/>
              </w:rPr>
              <w:tab/>
            </w:r>
            <w:r>
              <w:rPr>
                <w:rFonts w:hint="eastAsia" w:eastAsia="等线"/>
                <w:lang w:val="en-GB" w:eastAsia="en-US"/>
              </w:rPr>
              <w:t>prim</w:t>
            </w:r>
            <w:r>
              <w:rPr>
                <w:rFonts w:eastAsia="等线"/>
                <w:lang w:val="en-GB" w:eastAsia="en-US"/>
              </w:rPr>
              <w:t>ary for small form devices,</w:t>
            </w:r>
          </w:p>
          <w:p>
            <w:pPr>
              <w:spacing w:before="120" w:after="180"/>
              <w:ind w:left="851" w:hanging="284"/>
              <w:rPr>
                <w:rFonts w:eastAsia="等线"/>
                <w:lang w:val="en-GB" w:eastAsia="en-US"/>
              </w:rPr>
            </w:pPr>
            <w:r>
              <w:rPr>
                <w:rFonts w:eastAsia="等线"/>
                <w:lang w:val="en-GB" w:eastAsia="en-US"/>
              </w:rPr>
              <w:t>-</w:t>
            </w:r>
            <w:r>
              <w:rPr>
                <w:rFonts w:eastAsia="等线"/>
                <w:lang w:val="en-GB" w:eastAsia="en-US"/>
              </w:rPr>
              <w:tab/>
            </w:r>
            <w:r>
              <w:rPr>
                <w:rFonts w:eastAsia="等线"/>
                <w:lang w:val="en-GB" w:eastAsia="en-US"/>
              </w:rPr>
              <w:t>power-sensitive</w:t>
            </w:r>
          </w:p>
          <w:p>
            <w:pPr>
              <w:spacing w:before="120" w:after="180"/>
              <w:ind w:left="851" w:hanging="284"/>
              <w:rPr>
                <w:rFonts w:eastAsia="等线"/>
                <w:lang w:val="en-GB" w:eastAsia="en-US"/>
              </w:rPr>
            </w:pPr>
            <w:r>
              <w:rPr>
                <w:rFonts w:eastAsia="Malgun Gothic"/>
                <w:lang w:val="en-GB"/>
              </w:rPr>
              <w:t>-</w:t>
            </w:r>
            <w:r>
              <w:rPr>
                <w:rFonts w:eastAsia="Malgun Gothic"/>
                <w:lang w:val="en-GB"/>
              </w:rPr>
              <w:tab/>
            </w:r>
            <w:r>
              <w:rPr>
                <w:rFonts w:eastAsia="Malgun Gothic"/>
                <w:lang w:val="en-GB"/>
              </w:rPr>
              <w:t>low/medium speed</w:t>
            </w:r>
            <w:r>
              <w:rPr>
                <w:rFonts w:hint="eastAsia" w:eastAsia="Malgun Gothic"/>
                <w:lang w:val="en-GB"/>
              </w:rPr>
              <w:t>,</w:t>
            </w:r>
            <w:r>
              <w:rPr>
                <w:rFonts w:eastAsia="Malgun Gothic"/>
                <w:lang w:val="en-GB"/>
              </w:rPr>
              <w:t xml:space="preserve"> FFS</w:t>
            </w:r>
            <w:r>
              <w:rPr>
                <w:rFonts w:hint="eastAsia" w:eastAsia="Malgun Gothic"/>
                <w:lang w:val="en-GB"/>
              </w:rPr>
              <w:t>:</w:t>
            </w:r>
            <w:r>
              <w:rPr>
                <w:rFonts w:eastAsia="Malgun Gothic"/>
                <w:lang w:val="en-GB"/>
              </w:rPr>
              <w:t xml:space="preserve"> high speed</w:t>
            </w:r>
          </w:p>
          <w:p>
            <w:pPr>
              <w:spacing w:before="120" w:after="180"/>
              <w:ind w:left="568" w:hanging="284"/>
              <w:rPr>
                <w:rFonts w:eastAsia="等线"/>
                <w:lang w:val="en-GB" w:eastAsia="en-US"/>
              </w:rPr>
            </w:pPr>
            <w:r>
              <w:rPr>
                <w:rFonts w:eastAsia="等线"/>
                <w:lang w:val="en-GB" w:eastAsia="en-US"/>
              </w:rPr>
              <w:t>-</w:t>
            </w:r>
            <w:r>
              <w:rPr>
                <w:rFonts w:eastAsia="等线"/>
                <w:lang w:val="en-GB" w:eastAsia="en-US"/>
              </w:rPr>
              <w:tab/>
            </w:r>
            <w:r>
              <w:rPr>
                <w:rFonts w:eastAsia="等线"/>
                <w:lang w:val="en-GB" w:eastAsia="en-US"/>
              </w:rPr>
              <w:t>eMBB cases including e.g., XR/smart glasses, smart phones and etc.,</w:t>
            </w:r>
          </w:p>
          <w:p>
            <w:pPr>
              <w:spacing w:before="120" w:after="180"/>
              <w:ind w:left="851" w:hanging="284"/>
              <w:rPr>
                <w:rFonts w:eastAsia="等线"/>
                <w:lang w:val="en-GB" w:eastAsia="en-US"/>
              </w:rPr>
            </w:pPr>
            <w:r>
              <w:rPr>
                <w:rFonts w:eastAsia="等线"/>
                <w:lang w:val="en-GB" w:eastAsia="en-US"/>
              </w:rPr>
              <w:t>-</w:t>
            </w:r>
            <w:r>
              <w:rPr>
                <w:rFonts w:eastAsia="等线"/>
                <w:lang w:val="en-GB" w:eastAsia="en-US"/>
              </w:rPr>
              <w:tab/>
            </w:r>
            <w:r>
              <w:rPr>
                <w:rFonts w:eastAsia="等线"/>
                <w:lang w:val="en-GB" w:eastAsia="en-US"/>
              </w:rPr>
              <w:t>devices form is various and not restricted</w:t>
            </w:r>
          </w:p>
          <w:p>
            <w:pPr>
              <w:spacing w:before="120" w:after="180"/>
              <w:ind w:left="851" w:hanging="284"/>
              <w:rPr>
                <w:rFonts w:eastAsia="等线"/>
                <w:lang w:val="en-GB" w:eastAsia="en-US"/>
              </w:rPr>
            </w:pPr>
            <w:r>
              <w:rPr>
                <w:rFonts w:eastAsia="等线"/>
                <w:lang w:val="en-GB" w:eastAsia="en-US"/>
              </w:rPr>
              <w:t>-</w:t>
            </w:r>
            <w:r>
              <w:rPr>
                <w:rFonts w:eastAsia="等线"/>
                <w:lang w:val="en-GB" w:eastAsia="en-US"/>
              </w:rPr>
              <w:tab/>
            </w:r>
            <w:r>
              <w:rPr>
                <w:rFonts w:eastAsia="等线"/>
                <w:lang w:val="en-GB" w:eastAsia="en-US"/>
              </w:rPr>
              <w:t>power-sensitive</w:t>
            </w:r>
          </w:p>
          <w:p>
            <w:pPr>
              <w:spacing w:before="120" w:after="180"/>
              <w:ind w:left="851" w:hanging="284"/>
              <w:rPr>
                <w:sz w:val="24"/>
                <w:szCs w:val="24"/>
              </w:rPr>
            </w:pPr>
            <w:r>
              <w:rPr>
                <w:rFonts w:eastAsia="Malgun Gothic"/>
                <w:lang w:val="en-GB"/>
              </w:rPr>
              <w:t>-</w:t>
            </w:r>
            <w:r>
              <w:rPr>
                <w:rFonts w:eastAsia="Malgun Gothic"/>
                <w:lang w:val="en-GB"/>
              </w:rPr>
              <w:tab/>
            </w:r>
            <w:r>
              <w:rPr>
                <w:rFonts w:eastAsia="Malgun Gothic"/>
                <w:lang w:val="en-GB"/>
              </w:rPr>
              <w:t>low/medium speed</w:t>
            </w:r>
            <w:r>
              <w:rPr>
                <w:rFonts w:hint="eastAsia" w:eastAsia="Malgun Gothic"/>
                <w:lang w:val="en-GB"/>
              </w:rPr>
              <w:t>,</w:t>
            </w:r>
            <w:r>
              <w:rPr>
                <w:rFonts w:eastAsia="Malgun Gothic"/>
                <w:lang w:val="en-GB"/>
              </w:rPr>
              <w:t xml:space="preserve"> FFS</w:t>
            </w:r>
            <w:r>
              <w:rPr>
                <w:rFonts w:hint="eastAsia" w:eastAsia="Malgun Gothic"/>
                <w:lang w:val="en-GB"/>
              </w:rPr>
              <w:t>:</w:t>
            </w:r>
            <w:r>
              <w:rPr>
                <w:rFonts w:eastAsia="Malgun Gothic"/>
                <w:lang w:val="en-GB"/>
              </w:rPr>
              <w:t xml:space="preserve">  high speed</w:t>
            </w:r>
          </w:p>
        </w:tc>
      </w:tr>
    </w:tbl>
    <w:p>
      <w:pPr>
        <w:spacing w:before="120"/>
      </w:pPr>
      <w:r>
        <w:rPr>
          <w:rFonts w:hint="eastAsia"/>
        </w:rPr>
        <w:t>Without RRM measurement relaxing for LP-WUS, the PSG by LP-WUS has no advantage over the eDRX. Therefore, considering the premature WUR deployment and the WUR coverage, we think the eDRX feature is still important to be supported especially for IoT devices.</w:t>
      </w:r>
    </w:p>
    <w:p>
      <w:pPr>
        <w:spacing w:before="120"/>
        <w:rPr>
          <w:rFonts w:eastAsia="等线"/>
        </w:rPr>
      </w:pPr>
      <w:r>
        <w:rPr>
          <w:rFonts w:hint="eastAsia"/>
        </w:rPr>
        <w:t xml:space="preserve">During the SI stage, there two schemes for eDRX case. 1) LP-WUS monitoring within PTW and legacy PO determination. 2) </w:t>
      </w:r>
      <w:r>
        <w:rPr>
          <w:rFonts w:eastAsia="等线"/>
          <w:lang w:val="en-GB" w:eastAsia="en-US"/>
        </w:rPr>
        <w:t>LP-WUS monitoring is not restricted in PTW and dynamic PO determination</w:t>
      </w:r>
      <w:r>
        <w:rPr>
          <w:rFonts w:hint="eastAsia" w:eastAsia="等线"/>
        </w:rPr>
        <w:t>. Based on the RRM measurement relaxing, LP-WUS still can bring some power saving gain compared with eDRX.</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0" w:after="180" w:line="240" w:lineRule="auto"/>
              <w:jc w:val="left"/>
              <w:rPr>
                <w:rFonts w:eastAsia="等线"/>
                <w:szCs w:val="20"/>
                <w:lang w:val="en-GB"/>
              </w:rPr>
            </w:pPr>
            <w:r>
              <w:rPr>
                <w:rFonts w:hint="eastAsia" w:eastAsia="等线"/>
                <w:szCs w:val="20"/>
                <w:lang w:val="en-GB"/>
              </w:rPr>
              <w:t>O</w:t>
            </w:r>
            <w:r>
              <w:rPr>
                <w:rFonts w:eastAsia="等线"/>
                <w:szCs w:val="20"/>
                <w:lang w:val="en-GB"/>
              </w:rPr>
              <w:t xml:space="preserve">bservations: </w:t>
            </w:r>
          </w:p>
          <w:p>
            <w:pPr>
              <w:spacing w:before="120" w:after="180"/>
              <w:ind w:left="568" w:hanging="284"/>
              <w:rPr>
                <w:rFonts w:eastAsia="等线"/>
                <w:lang w:val="en-GB"/>
              </w:rPr>
            </w:pPr>
            <w:r>
              <w:rPr>
                <w:rFonts w:eastAsia="等线"/>
                <w:lang w:val="en-GB" w:eastAsia="en-US"/>
              </w:rPr>
              <w:t>1)</w:t>
            </w:r>
            <w:r>
              <w:rPr>
                <w:rFonts w:eastAsia="等线"/>
                <w:lang w:val="en-GB" w:eastAsia="en-US"/>
              </w:rPr>
              <w:tab/>
            </w:r>
            <w:r>
              <w:rPr>
                <w:rFonts w:eastAsia="等线"/>
                <w:lang w:val="en-GB" w:eastAsia="en-US"/>
              </w:rPr>
              <w:t>LP-WUS monitoring within PTW and legacy PO determination</w:t>
            </w:r>
          </w:p>
          <w:p>
            <w:pPr>
              <w:spacing w:before="120" w:after="180"/>
              <w:ind w:left="851" w:hanging="284"/>
              <w:rPr>
                <w:rFonts w:eastAsia="等线"/>
                <w:lang w:val="en-GB"/>
              </w:rPr>
            </w:pPr>
            <w:r>
              <w:rPr>
                <w:rFonts w:eastAsia="等线"/>
                <w:lang w:val="it-IT"/>
              </w:rPr>
              <w:t>-</w:t>
            </w:r>
            <w:r>
              <w:rPr>
                <w:rFonts w:eastAsia="等线"/>
                <w:lang w:val="it-IT"/>
              </w:rPr>
              <w:tab/>
            </w:r>
            <w:r>
              <w:rPr>
                <w:rFonts w:eastAsia="等线"/>
                <w:lang w:val="it-IT"/>
              </w:rPr>
              <w:t>Effective per UE paging arrival rate</w:t>
            </w:r>
            <w:r>
              <w:rPr>
                <w:rFonts w:eastAsia="等线"/>
                <w:lang w:val="en-GB"/>
              </w:rPr>
              <w:t xml:space="preserve"> &lt;=1% </w:t>
            </w:r>
          </w:p>
          <w:p>
            <w:pPr>
              <w:spacing w:before="120" w:after="180"/>
              <w:ind w:left="1135" w:hanging="284"/>
              <w:rPr>
                <w:rFonts w:eastAsia="等线"/>
                <w:lang w:val="en-GB"/>
              </w:rPr>
            </w:pPr>
            <w:r>
              <w:rPr>
                <w:rFonts w:eastAsia="等线"/>
                <w:lang w:val="en-GB"/>
              </w:rPr>
              <w:t>-</w:t>
            </w:r>
            <w:r>
              <w:rPr>
                <w:rFonts w:eastAsia="等线"/>
                <w:lang w:val="en-GB"/>
              </w:rPr>
              <w:tab/>
            </w:r>
            <w:r>
              <w:rPr>
                <w:rFonts w:eastAsia="等线"/>
                <w:lang w:val="en-GB"/>
              </w:rPr>
              <w:t xml:space="preserve">Results in [8A-3], [8A-4], [8A-8], [8A-12], [8A-16] show that compared with </w:t>
            </w:r>
            <w:r>
              <w:rPr>
                <w:rFonts w:eastAsia="等线"/>
                <w:lang w:val="en-GB" w:eastAsia="en-US"/>
              </w:rPr>
              <w:t>eDRX</w:t>
            </w:r>
            <w:r>
              <w:rPr>
                <w:rFonts w:eastAsia="等线"/>
                <w:color w:val="000000"/>
                <w:lang w:val="en-GB"/>
              </w:rPr>
              <w:t xml:space="preserve">, </w:t>
            </w:r>
            <w:r>
              <w:rPr>
                <w:rFonts w:hint="eastAsia" w:eastAsia="等线"/>
                <w:color w:val="000000"/>
                <w:lang w:val="en-GB"/>
              </w:rPr>
              <w:t>LP-WUS</w:t>
            </w:r>
            <w:r>
              <w:rPr>
                <w:rFonts w:eastAsia="等线"/>
                <w:color w:val="000000"/>
                <w:lang w:val="en-GB"/>
              </w:rPr>
              <w:t xml:space="preserve"> provide m</w:t>
            </w:r>
            <w:r>
              <w:rPr>
                <w:rFonts w:eastAsia="等线"/>
                <w:lang w:val="en-GB"/>
              </w:rPr>
              <w:t xml:space="preserve">ean power saving gain </w:t>
            </w:r>
            <w:r>
              <w:rPr>
                <w:rFonts w:eastAsia="等线"/>
                <w:highlight w:val="green"/>
                <w:lang w:val="en-GB"/>
              </w:rPr>
              <w:t>(average: 67.5%, range: 28%~92%)</w:t>
            </w:r>
          </w:p>
          <w:p>
            <w:pPr>
              <w:spacing w:before="120" w:after="180"/>
              <w:ind w:left="1135" w:hanging="284"/>
              <w:rPr>
                <w:rFonts w:eastAsia="等线"/>
                <w:lang w:val="en-GB"/>
              </w:rPr>
            </w:pPr>
            <w:r>
              <w:rPr>
                <w:rFonts w:eastAsia="等线"/>
                <w:lang w:val="en-GB"/>
              </w:rPr>
              <w:t>-</w:t>
            </w:r>
            <w:r>
              <w:rPr>
                <w:rFonts w:eastAsia="等线"/>
                <w:lang w:val="en-GB"/>
              </w:rPr>
              <w:tab/>
            </w:r>
            <w:r>
              <w:rPr>
                <w:rFonts w:eastAsia="等线"/>
                <w:lang w:val="en-GB"/>
              </w:rPr>
              <w:t>Results in [8A-4], [8A-8] show that compare</w:t>
            </w:r>
            <w:r>
              <w:rPr>
                <w:rFonts w:eastAsia="等线"/>
                <w:lang w:val="en-GB" w:eastAsia="en-US"/>
              </w:rPr>
              <w:t xml:space="preserve">d with eDRX mean paging latency (16.697~25.92) second, LP-WUS will result in mean paging latency (19.863~31.24) second, which increases mean </w:t>
            </w:r>
            <w:r>
              <w:rPr>
                <w:rFonts w:eastAsia="等线"/>
                <w:lang w:val="en-GB"/>
              </w:rPr>
              <w:t>paging latency</w:t>
            </w:r>
            <w:r>
              <w:rPr>
                <w:rFonts w:eastAsia="等线"/>
                <w:highlight w:val="green"/>
                <w:lang w:val="en-GB"/>
              </w:rPr>
              <w:t xml:space="preserve"> (19%~21%)</w:t>
            </w:r>
          </w:p>
          <w:p>
            <w:pPr>
              <w:spacing w:before="120" w:after="180"/>
              <w:ind w:left="1135" w:hanging="284"/>
              <w:rPr>
                <w:rFonts w:eastAsia="等线"/>
                <w:lang w:val="en-GB"/>
              </w:rPr>
            </w:pPr>
            <w:r>
              <w:rPr>
                <w:rFonts w:eastAsia="等线"/>
                <w:lang w:val="en-GB"/>
              </w:rPr>
              <w:t>-</w:t>
            </w:r>
            <w:r>
              <w:rPr>
                <w:rFonts w:eastAsia="等线"/>
                <w:lang w:val="en-GB"/>
              </w:rPr>
              <w:tab/>
            </w:r>
            <w:r>
              <w:rPr>
                <w:rFonts w:eastAsia="等线"/>
                <w:lang w:val="en-GB"/>
              </w:rPr>
              <w:t xml:space="preserve">Results in [8A-3], [8A-16] show that compared with </w:t>
            </w:r>
            <w:r>
              <w:rPr>
                <w:rFonts w:eastAsia="等线"/>
                <w:lang w:val="en-GB" w:eastAsia="en-US"/>
              </w:rPr>
              <w:t>eDRX</w:t>
            </w:r>
            <w:r>
              <w:rPr>
                <w:rFonts w:eastAsia="等线"/>
                <w:lang w:val="en-GB"/>
              </w:rPr>
              <w:t>, LP-WUS will result in mean paging latency</w:t>
            </w:r>
            <w:r>
              <w:rPr>
                <w:rFonts w:eastAsia="等线"/>
                <w:highlight w:val="green"/>
                <w:lang w:val="en-GB"/>
              </w:rPr>
              <w:t xml:space="preserve"> (42.679</w:t>
            </w:r>
            <w:r>
              <w:rPr>
                <w:rFonts w:eastAsia="等线"/>
                <w:highlight w:val="green"/>
                <w:lang w:val="en-GB" w:eastAsia="en-US"/>
              </w:rPr>
              <w:t xml:space="preserve">~161.73) second </w:t>
            </w:r>
            <w:r>
              <w:rPr>
                <w:rFonts w:eastAsia="等线"/>
                <w:highlight w:val="green"/>
                <w:lang w:val="en-GB"/>
              </w:rPr>
              <w:t>without baseline eDRX latency.</w:t>
            </w:r>
          </w:p>
          <w:p>
            <w:pPr>
              <w:spacing w:before="120" w:after="180"/>
              <w:ind w:left="851" w:hanging="284"/>
              <w:rPr>
                <w:rFonts w:eastAsia="等线"/>
                <w:lang w:val="it-IT"/>
              </w:rPr>
            </w:pPr>
            <w:r>
              <w:rPr>
                <w:rFonts w:eastAsia="等线"/>
                <w:lang w:val="it-IT"/>
              </w:rPr>
              <w:t>-</w:t>
            </w:r>
            <w:r>
              <w:rPr>
                <w:rFonts w:eastAsia="等线"/>
                <w:lang w:val="it-IT"/>
              </w:rPr>
              <w:tab/>
            </w:r>
            <w:r>
              <w:rPr>
                <w:rFonts w:eastAsia="等线"/>
                <w:lang w:val="it-IT"/>
              </w:rPr>
              <w:t>1%&lt;Effective per UE paging arrival rate &lt;=8%</w:t>
            </w:r>
          </w:p>
          <w:p>
            <w:pPr>
              <w:spacing w:before="120" w:after="180"/>
              <w:ind w:left="1135" w:hanging="284"/>
              <w:rPr>
                <w:rFonts w:eastAsia="等线"/>
                <w:lang w:val="en-GB"/>
              </w:rPr>
            </w:pPr>
            <w:r>
              <w:rPr>
                <w:rFonts w:eastAsia="等线"/>
                <w:lang w:val="it-IT"/>
              </w:rPr>
              <w:t>-</w:t>
            </w:r>
            <w:r>
              <w:rPr>
                <w:rFonts w:eastAsia="等线"/>
                <w:lang w:val="it-IT"/>
              </w:rPr>
              <w:tab/>
            </w:r>
            <w:r>
              <w:rPr>
                <w:rFonts w:eastAsia="等线"/>
                <w:lang w:val="it-IT"/>
              </w:rPr>
              <w:t xml:space="preserve">Results in </w:t>
            </w:r>
            <w:r>
              <w:rPr>
                <w:rFonts w:eastAsia="等线"/>
                <w:lang w:val="en-GB"/>
              </w:rPr>
              <w:t>[8A-8] show that compared with</w:t>
            </w:r>
            <w:r>
              <w:rPr>
                <w:rFonts w:eastAsia="等线"/>
                <w:lang w:val="en-GB" w:eastAsia="en-US"/>
              </w:rPr>
              <w:t xml:space="preserve"> eDRX</w:t>
            </w:r>
            <w:r>
              <w:rPr>
                <w:rFonts w:eastAsia="等线"/>
                <w:lang w:val="en-GB"/>
              </w:rPr>
              <w:t>, LP-WUS provides mean power saving gain (75%).</w:t>
            </w:r>
          </w:p>
          <w:p>
            <w:pPr>
              <w:spacing w:before="120" w:after="180"/>
              <w:ind w:left="1135" w:hanging="284"/>
              <w:rPr>
                <w:rFonts w:eastAsia="等线"/>
                <w:lang w:val="en-GB" w:eastAsia="en-US"/>
              </w:rPr>
            </w:pPr>
            <w:r>
              <w:rPr>
                <w:rFonts w:eastAsia="等线"/>
                <w:lang w:val="it-IT"/>
              </w:rPr>
              <w:t>-</w:t>
            </w:r>
            <w:r>
              <w:rPr>
                <w:rFonts w:eastAsia="等线"/>
                <w:lang w:val="it-IT"/>
              </w:rPr>
              <w:tab/>
            </w:r>
            <w:r>
              <w:rPr>
                <w:rFonts w:eastAsia="等线"/>
                <w:lang w:val="it-IT"/>
              </w:rPr>
              <w:t xml:space="preserve">Results in </w:t>
            </w:r>
            <w:r>
              <w:rPr>
                <w:rFonts w:eastAsia="等线"/>
                <w:lang w:val="en-GB"/>
              </w:rPr>
              <w:t>[8A-8] show that compared with eDRX mean paging</w:t>
            </w:r>
            <w:r>
              <w:rPr>
                <w:rFonts w:eastAsia="等线"/>
                <w:lang w:val="en-GB" w:eastAsia="en-US"/>
              </w:rPr>
              <w:t xml:space="preserve"> latency</w:t>
            </w:r>
            <w:r>
              <w:rPr>
                <w:rFonts w:eastAsia="等线"/>
                <w:lang w:val="en-GB"/>
              </w:rPr>
              <w:t xml:space="preserve"> (16.927) second, LP-WUS will result in mean paging latency (16.953) second, which </w:t>
            </w:r>
            <w:r>
              <w:rPr>
                <w:rFonts w:hint="eastAsia" w:eastAsia="等线"/>
                <w:lang w:val="en-GB" w:eastAsia="en-US"/>
              </w:rPr>
              <w:t>increase</w:t>
            </w:r>
            <w:r>
              <w:rPr>
                <w:rFonts w:eastAsia="等线"/>
                <w:lang w:val="en-GB" w:eastAsia="en-US"/>
              </w:rPr>
              <w:t>s</w:t>
            </w:r>
            <w:r>
              <w:rPr>
                <w:rFonts w:eastAsia="等线"/>
                <w:lang w:val="en-GB"/>
              </w:rPr>
              <w:t xml:space="preserve"> mean paging latency (0.2%) </w:t>
            </w:r>
          </w:p>
          <w:p>
            <w:pPr>
              <w:spacing w:before="120" w:after="180"/>
              <w:ind w:left="568" w:hanging="284"/>
              <w:rPr>
                <w:rFonts w:eastAsia="等线"/>
                <w:lang w:val="en-GB"/>
              </w:rPr>
            </w:pPr>
            <w:r>
              <w:rPr>
                <w:rFonts w:eastAsia="等线"/>
                <w:lang w:val="en-GB" w:eastAsia="en-US"/>
              </w:rPr>
              <w:t>2)</w:t>
            </w:r>
            <w:r>
              <w:rPr>
                <w:rFonts w:eastAsia="等线"/>
                <w:lang w:val="en-GB" w:eastAsia="en-US"/>
              </w:rPr>
              <w:tab/>
            </w:r>
            <w:r>
              <w:rPr>
                <w:rFonts w:eastAsia="等线"/>
                <w:lang w:val="en-GB" w:eastAsia="en-US"/>
              </w:rPr>
              <w:t>LP-WUS monitoring is not restricted in PTW and dynamic PO determination</w:t>
            </w:r>
          </w:p>
          <w:p>
            <w:pPr>
              <w:spacing w:before="120" w:after="180"/>
              <w:ind w:left="851" w:hanging="284"/>
              <w:rPr>
                <w:rFonts w:eastAsia="等线"/>
                <w:lang w:val="en-GB"/>
              </w:rPr>
            </w:pPr>
            <w:r>
              <w:rPr>
                <w:rFonts w:eastAsia="等线"/>
                <w:lang w:val="it-IT"/>
              </w:rPr>
              <w:t>-</w:t>
            </w:r>
            <w:r>
              <w:rPr>
                <w:rFonts w:eastAsia="等线"/>
                <w:lang w:val="it-IT"/>
              </w:rPr>
              <w:tab/>
            </w:r>
            <w:r>
              <w:rPr>
                <w:rFonts w:eastAsia="等线"/>
                <w:lang w:val="it-IT"/>
              </w:rPr>
              <w:t>Effective per UE paging arrival rate</w:t>
            </w:r>
            <w:r>
              <w:rPr>
                <w:rFonts w:eastAsia="等线"/>
                <w:lang w:val="en-GB"/>
              </w:rPr>
              <w:t xml:space="preserve"> &lt;=1%</w:t>
            </w:r>
          </w:p>
          <w:p>
            <w:pPr>
              <w:spacing w:before="120" w:after="180"/>
              <w:ind w:left="1135" w:hanging="284"/>
              <w:rPr>
                <w:rFonts w:eastAsia="等线"/>
                <w:lang w:val="en-GB"/>
              </w:rPr>
            </w:pPr>
            <w:r>
              <w:rPr>
                <w:rFonts w:eastAsia="等线"/>
                <w:lang w:val="it-IT"/>
              </w:rPr>
              <w:t>-</w:t>
            </w:r>
            <w:r>
              <w:rPr>
                <w:rFonts w:eastAsia="等线"/>
                <w:lang w:val="it-IT"/>
              </w:rPr>
              <w:tab/>
            </w:r>
            <w:r>
              <w:rPr>
                <w:rFonts w:eastAsia="等线"/>
                <w:lang w:val="it-IT"/>
              </w:rPr>
              <w:t xml:space="preserve">Results in </w:t>
            </w:r>
            <w:r>
              <w:rPr>
                <w:rFonts w:eastAsia="等线"/>
                <w:lang w:val="en-GB"/>
              </w:rPr>
              <w:t xml:space="preserve">[8A-7], [8A-8], [8A-11] </w:t>
            </w:r>
            <w:r>
              <w:rPr>
                <w:rFonts w:eastAsia="等线"/>
                <w:highlight w:val="green"/>
                <w:lang w:val="en-GB"/>
              </w:rPr>
              <w:t xml:space="preserve">show that compared with </w:t>
            </w:r>
            <w:r>
              <w:rPr>
                <w:rFonts w:eastAsia="等线"/>
                <w:highlight w:val="green"/>
                <w:lang w:val="en-GB" w:eastAsia="en-US"/>
              </w:rPr>
              <w:t>eDRX</w:t>
            </w:r>
            <w:r>
              <w:rPr>
                <w:rFonts w:eastAsia="等线"/>
                <w:highlight w:val="green"/>
                <w:lang w:val="en-GB"/>
              </w:rPr>
              <w:t xml:space="preserve">, </w:t>
            </w:r>
            <w:r>
              <w:rPr>
                <w:rFonts w:hint="eastAsia" w:eastAsia="等线"/>
                <w:highlight w:val="green"/>
                <w:lang w:val="en-GB"/>
              </w:rPr>
              <w:t>LP-WUS</w:t>
            </w:r>
            <w:r>
              <w:rPr>
                <w:rFonts w:eastAsia="等线"/>
                <w:highlight w:val="green"/>
                <w:lang w:val="en-GB"/>
              </w:rPr>
              <w:t xml:space="preserve"> provides mean power saving gain (average: 22%, range: </w:t>
            </w:r>
            <w:r>
              <w:rPr>
                <w:rFonts w:eastAsia="等线"/>
                <w:highlight w:val="green"/>
                <w:lang w:val="en-GB" w:eastAsia="en-US"/>
              </w:rPr>
              <w:t>9%~58%</w:t>
            </w:r>
            <w:r>
              <w:rPr>
                <w:rFonts w:eastAsia="等线"/>
                <w:highlight w:val="green"/>
                <w:lang w:val="en-GB"/>
              </w:rPr>
              <w:t>)</w:t>
            </w:r>
            <w:r>
              <w:rPr>
                <w:rFonts w:eastAsia="等线"/>
                <w:lang w:val="en-GB"/>
              </w:rPr>
              <w:t xml:space="preserve">  </w:t>
            </w:r>
          </w:p>
          <w:p>
            <w:pPr>
              <w:spacing w:before="120" w:after="180"/>
              <w:ind w:left="1135" w:hanging="284"/>
              <w:rPr>
                <w:rFonts w:eastAsia="等线"/>
                <w:lang w:val="en-GB"/>
              </w:rPr>
            </w:pPr>
            <w:r>
              <w:rPr>
                <w:rFonts w:eastAsia="等线"/>
                <w:lang w:val="it-IT"/>
              </w:rPr>
              <w:t>-</w:t>
            </w:r>
            <w:r>
              <w:rPr>
                <w:rFonts w:eastAsia="等线"/>
                <w:lang w:val="it-IT"/>
              </w:rPr>
              <w:tab/>
            </w:r>
            <w:r>
              <w:rPr>
                <w:rFonts w:eastAsia="等线"/>
                <w:lang w:val="it-IT"/>
              </w:rPr>
              <w:t xml:space="preserve">Results in </w:t>
            </w:r>
            <w:r>
              <w:rPr>
                <w:rFonts w:eastAsia="等线"/>
                <w:lang w:val="en-GB"/>
              </w:rPr>
              <w:t xml:space="preserve">[8A-7], [8A-8], [8A-11] show that compared with </w:t>
            </w:r>
            <w:r>
              <w:rPr>
                <w:rFonts w:eastAsia="等线"/>
                <w:lang w:val="en-GB" w:eastAsia="en-US"/>
              </w:rPr>
              <w:t xml:space="preserve">eDRX </w:t>
            </w:r>
            <w:r>
              <w:rPr>
                <w:rFonts w:eastAsia="等线"/>
                <w:lang w:val="en-GB"/>
              </w:rPr>
              <w:t xml:space="preserve">mean paging </w:t>
            </w:r>
            <w:r>
              <w:rPr>
                <w:rFonts w:eastAsia="等线"/>
                <w:lang w:val="en-GB" w:eastAsia="en-US"/>
              </w:rPr>
              <w:t>latency (16.927~28.192) second, LP-WUS will result in mean paging latency (0.566~1.</w:t>
            </w:r>
            <w:r>
              <w:rPr>
                <w:rFonts w:eastAsia="等线"/>
                <w:lang w:val="en-GB"/>
              </w:rPr>
              <w:t>035</w:t>
            </w:r>
            <w:r>
              <w:rPr>
                <w:rFonts w:eastAsia="等线"/>
                <w:lang w:val="en-GB" w:eastAsia="en-US"/>
              </w:rPr>
              <w:t>) second</w:t>
            </w:r>
            <w:r>
              <w:rPr>
                <w:rFonts w:eastAsia="等线"/>
                <w:lang w:val="en-GB"/>
              </w:rPr>
              <w:t xml:space="preserve">, which decreases mean paging latency (96%~98%) </w:t>
            </w:r>
            <w:r>
              <w:rPr>
                <w:rFonts w:eastAsia="等线"/>
                <w:lang w:val="en-GB" w:eastAsia="en-US"/>
              </w:rPr>
              <w:t>if LP-WUS monitoring and the corresponding paging monitoring after MR wake-up is performed not restricted within existing PTW of eDRX</w:t>
            </w:r>
            <w:r>
              <w:rPr>
                <w:rFonts w:eastAsia="等线"/>
                <w:sz w:val="21"/>
                <w:szCs w:val="21"/>
                <w:lang w:val="en-GB" w:eastAsia="en-US"/>
              </w:rPr>
              <w:t>.</w:t>
            </w:r>
          </w:p>
          <w:p>
            <w:pPr>
              <w:spacing w:before="120" w:after="180"/>
              <w:ind w:left="851" w:hanging="284"/>
              <w:rPr>
                <w:rFonts w:eastAsia="等线"/>
                <w:lang w:val="it-IT"/>
              </w:rPr>
            </w:pPr>
            <w:r>
              <w:rPr>
                <w:rFonts w:eastAsia="等线"/>
                <w:lang w:val="it-IT"/>
              </w:rPr>
              <w:t>-</w:t>
            </w:r>
            <w:r>
              <w:rPr>
                <w:rFonts w:eastAsia="等线"/>
                <w:lang w:val="it-IT"/>
              </w:rPr>
              <w:tab/>
            </w:r>
            <w:r>
              <w:rPr>
                <w:rFonts w:eastAsia="等线"/>
                <w:lang w:val="it-IT"/>
              </w:rPr>
              <w:t>1%&lt;Effective per UE paging arrival rate &lt;=8%</w:t>
            </w:r>
          </w:p>
          <w:p>
            <w:pPr>
              <w:spacing w:before="120" w:after="180"/>
              <w:ind w:left="1135" w:hanging="284"/>
              <w:rPr>
                <w:rFonts w:eastAsia="等线"/>
                <w:lang w:val="en-GB"/>
              </w:rPr>
            </w:pPr>
            <w:r>
              <w:rPr>
                <w:rFonts w:eastAsia="等线"/>
                <w:lang w:val="it-IT"/>
              </w:rPr>
              <w:t>-</w:t>
            </w:r>
            <w:r>
              <w:rPr>
                <w:rFonts w:eastAsia="等线"/>
                <w:lang w:val="it-IT"/>
              </w:rPr>
              <w:tab/>
            </w:r>
            <w:r>
              <w:rPr>
                <w:rFonts w:eastAsia="等线"/>
                <w:lang w:val="it-IT"/>
              </w:rPr>
              <w:t xml:space="preserve">Results in </w:t>
            </w:r>
            <w:r>
              <w:rPr>
                <w:rFonts w:eastAsia="等线"/>
                <w:lang w:val="en-GB"/>
              </w:rPr>
              <w:t>[8A-8] show that compared with eDRX, LP-WUS provides mean power saving gain (</w:t>
            </w:r>
            <w:r>
              <w:rPr>
                <w:rFonts w:hint="eastAsia" w:ascii="等线" w:hAnsi="等线" w:eastAsia="等线"/>
                <w:lang w:val="en-GB"/>
              </w:rPr>
              <w:t>-</w:t>
            </w:r>
            <w:r>
              <w:rPr>
                <w:rFonts w:eastAsia="等线"/>
                <w:highlight w:val="green"/>
                <w:lang w:val="en-GB"/>
              </w:rPr>
              <w:t>15%).</w:t>
            </w:r>
          </w:p>
          <w:p>
            <w:pPr>
              <w:spacing w:before="120" w:after="180"/>
              <w:ind w:left="1135" w:hanging="284"/>
            </w:pPr>
            <w:r>
              <w:rPr>
                <w:rFonts w:eastAsia="等线"/>
                <w:lang w:val="it-IT"/>
              </w:rPr>
              <w:t>-</w:t>
            </w:r>
            <w:r>
              <w:rPr>
                <w:rFonts w:eastAsia="等线"/>
                <w:lang w:val="it-IT"/>
              </w:rPr>
              <w:tab/>
            </w:r>
            <w:r>
              <w:rPr>
                <w:rFonts w:eastAsia="等线"/>
                <w:lang w:val="it-IT"/>
              </w:rPr>
              <w:t xml:space="preserve">Results in </w:t>
            </w:r>
            <w:r>
              <w:rPr>
                <w:rFonts w:eastAsia="等线"/>
                <w:lang w:val="en-GB"/>
              </w:rPr>
              <w:t>[8A-8] s</w:t>
            </w:r>
            <w:r>
              <w:rPr>
                <w:rFonts w:eastAsia="等线"/>
                <w:highlight w:val="green"/>
                <w:lang w:val="en-GB"/>
              </w:rPr>
              <w:t xml:space="preserve">how that compared with </w:t>
            </w:r>
            <w:r>
              <w:rPr>
                <w:rFonts w:eastAsia="等线"/>
                <w:highlight w:val="green"/>
                <w:lang w:val="en-GB" w:eastAsia="en-US"/>
              </w:rPr>
              <w:t xml:space="preserve">eDRX </w:t>
            </w:r>
            <w:r>
              <w:rPr>
                <w:rFonts w:eastAsia="等线"/>
                <w:highlight w:val="green"/>
                <w:lang w:val="en-GB"/>
              </w:rPr>
              <w:t xml:space="preserve">mean paging </w:t>
            </w:r>
            <w:r>
              <w:rPr>
                <w:rFonts w:eastAsia="等线"/>
                <w:highlight w:val="green"/>
                <w:lang w:val="en-GB" w:eastAsia="en-US"/>
              </w:rPr>
              <w:t xml:space="preserve">latency (16.927) second, LP-WUS will result in mean paging latency (0.566) second, which decreases mean </w:t>
            </w:r>
            <w:r>
              <w:rPr>
                <w:rFonts w:eastAsia="等线"/>
                <w:highlight w:val="green"/>
                <w:lang w:val="en-GB"/>
              </w:rPr>
              <w:t>paging latency (97%).</w:t>
            </w:r>
          </w:p>
        </w:tc>
      </w:tr>
    </w:tbl>
    <w:p>
      <w:pPr>
        <w:spacing w:before="120"/>
        <w:rPr>
          <w:b/>
          <w:bCs/>
          <w:i/>
          <w:iCs/>
        </w:rPr>
      </w:pPr>
      <w:r>
        <w:rPr>
          <w:rFonts w:hint="eastAsia"/>
          <w:b/>
          <w:bCs/>
          <w:i/>
          <w:iCs/>
        </w:rPr>
        <w:t>Proposal 14: eDRX is an important feature to be supported especially for IoT device.</w:t>
      </w:r>
    </w:p>
    <w:p>
      <w:pPr>
        <w:numPr>
          <w:ilvl w:val="0"/>
          <w:numId w:val="18"/>
        </w:numPr>
        <w:spacing w:before="120"/>
        <w:rPr>
          <w:b/>
          <w:bCs/>
          <w:i/>
          <w:iCs/>
        </w:rPr>
      </w:pPr>
      <w:r>
        <w:rPr>
          <w:rFonts w:hint="eastAsia"/>
          <w:b/>
          <w:bCs/>
          <w:i/>
          <w:iCs/>
        </w:rPr>
        <w:t>Combined with LP-WUS, more PSG can be achieved.</w:t>
      </w:r>
    </w:p>
    <w:p>
      <w:pPr>
        <w:spacing w:before="120" w:beforeLines="0" w:line="276" w:lineRule="auto"/>
      </w:pPr>
      <w:r>
        <w:rPr>
          <w:rFonts w:hint="eastAsia"/>
        </w:rPr>
        <w:t>For eDRX, there would be multiple DRXs in a PTW. If the LP-WUS is located before each DRX, then the LP-WUS monitoring would be frequent as shown in Figure 5, which is not so power efficient.</w:t>
      </w:r>
    </w:p>
    <w:p>
      <w:pPr>
        <w:spacing w:before="120" w:beforeLines="0" w:line="276" w:lineRule="auto"/>
      </w:pPr>
      <w:r>
        <w:drawing>
          <wp:inline distT="0" distB="0" distL="114300" distR="114300">
            <wp:extent cx="5692775" cy="1955800"/>
            <wp:effectExtent l="0" t="0" r="3175" b="635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20"/>
                    <a:stretch>
                      <a:fillRect/>
                    </a:stretch>
                  </pic:blipFill>
                  <pic:spPr>
                    <a:xfrm>
                      <a:off x="0" y="0"/>
                      <a:ext cx="5692775" cy="1955800"/>
                    </a:xfrm>
                    <a:prstGeom prst="rect">
                      <a:avLst/>
                    </a:prstGeom>
                    <a:noFill/>
                    <a:ln>
                      <a:noFill/>
                    </a:ln>
                  </pic:spPr>
                </pic:pic>
              </a:graphicData>
            </a:graphic>
          </wp:inline>
        </w:drawing>
      </w:r>
    </w:p>
    <w:p>
      <w:pPr>
        <w:spacing w:before="120" w:beforeLines="0" w:line="276" w:lineRule="auto"/>
        <w:jc w:val="center"/>
      </w:pPr>
      <w:r>
        <w:rPr>
          <w:rFonts w:hint="eastAsia"/>
        </w:rPr>
        <w:t>Figure 7. Duty cycle LP-WUS monitoring periodicity aligned with I-DRX</w:t>
      </w:r>
    </w:p>
    <w:p>
      <w:pPr>
        <w:spacing w:before="120" w:beforeLines="0" w:line="276" w:lineRule="auto"/>
      </w:pPr>
      <w:r>
        <w:rPr>
          <w:rFonts w:hint="eastAsia"/>
        </w:rPr>
        <w:t xml:space="preserve">In this case, the LP-WUS could help some power, but no latency. Moreover, there are LOs between two PTW wasted. If LO periodicity is similar as PTW, then some LOs monitoring could be saved, as shown in the following.  </w:t>
      </w:r>
    </w:p>
    <w:p>
      <w:pPr>
        <w:spacing w:before="120" w:beforeLines="0" w:line="276" w:lineRule="auto"/>
        <w:jc w:val="center"/>
      </w:pPr>
      <w:r>
        <w:drawing>
          <wp:inline distT="0" distB="0" distL="114300" distR="114300">
            <wp:extent cx="5209540" cy="1731645"/>
            <wp:effectExtent l="0" t="0" r="10160" b="1905"/>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pic:cNvPicPr>
                      <a:picLocks noChangeAspect="1"/>
                    </pic:cNvPicPr>
                  </pic:nvPicPr>
                  <pic:blipFill>
                    <a:blip r:embed="rId21"/>
                    <a:stretch>
                      <a:fillRect/>
                    </a:stretch>
                  </pic:blipFill>
                  <pic:spPr>
                    <a:xfrm>
                      <a:off x="0" y="0"/>
                      <a:ext cx="5209540" cy="1731645"/>
                    </a:xfrm>
                    <a:prstGeom prst="rect">
                      <a:avLst/>
                    </a:prstGeom>
                  </pic:spPr>
                </pic:pic>
              </a:graphicData>
            </a:graphic>
          </wp:inline>
        </w:drawing>
      </w:r>
    </w:p>
    <w:p>
      <w:pPr>
        <w:spacing w:before="120" w:beforeLines="0" w:line="276" w:lineRule="auto"/>
        <w:jc w:val="center"/>
      </w:pPr>
      <w:r>
        <w:rPr>
          <w:rFonts w:hint="eastAsia"/>
        </w:rPr>
        <w:t>Figure 8. Duty cycle LP-WUS monitoring periodicity aligned with PTW</w:t>
      </w:r>
    </w:p>
    <w:p>
      <w:pPr>
        <w:spacing w:before="120" w:beforeLines="0" w:line="276" w:lineRule="auto"/>
      </w:pPr>
      <w:r>
        <w:rPr>
          <w:rFonts w:hint="eastAsia"/>
        </w:rPr>
        <w:t>In this case, if LO monitoring occasions are overlap with the paging PDCCH monitoring occasions, it seems not necessary to monitor the LP-WUS in the overlapped occasions.</w:t>
      </w:r>
    </w:p>
    <w:p>
      <w:pPr>
        <w:spacing w:before="120" w:beforeLines="0" w:line="276" w:lineRule="auto"/>
      </w:pPr>
      <w:r>
        <w:rPr>
          <w:rFonts w:hint="eastAsia"/>
        </w:rPr>
        <w:t>If both power saving gain and latency reduction are pursued, the PTW window or paging monitoring should be adapted according to the LP-WUS monitoring, similar as C-DRX.</w:t>
      </w:r>
    </w:p>
    <w:p>
      <w:pPr>
        <w:spacing w:before="120" w:beforeLines="0" w:line="276" w:lineRule="auto"/>
        <w:rPr>
          <w:b/>
          <w:bCs/>
          <w:i/>
          <w:iCs/>
        </w:rPr>
      </w:pPr>
      <w:bookmarkStart w:id="20" w:name="OLE_LINK16"/>
      <w:r>
        <w:rPr>
          <w:rFonts w:hint="eastAsia"/>
          <w:b/>
          <w:bCs/>
          <w:i/>
          <w:iCs/>
        </w:rPr>
        <w:t xml:space="preserve">Proposal 15: </w:t>
      </w:r>
      <w:bookmarkEnd w:id="9"/>
      <w:r>
        <w:rPr>
          <w:rFonts w:hint="eastAsia"/>
          <w:b/>
          <w:bCs/>
          <w:i/>
          <w:iCs/>
        </w:rPr>
        <w:t>Adaptive PTW could be considered for latency reduction and PSG.</w:t>
      </w:r>
    </w:p>
    <w:p>
      <w:pPr>
        <w:pStyle w:val="3"/>
        <w:spacing w:before="120"/>
        <w:rPr>
          <w:lang w:val="en-US"/>
        </w:rPr>
      </w:pPr>
      <w:r>
        <w:rPr>
          <w:rFonts w:hint="eastAsia"/>
          <w:lang w:val="en-US"/>
        </w:rPr>
        <w:t xml:space="preserve">FDD/TDD support </w:t>
      </w:r>
    </w:p>
    <w:p>
      <w:pPr>
        <w:spacing w:before="120" w:beforeLines="0" w:line="276" w:lineRule="auto"/>
      </w:pPr>
      <w:r>
        <w:rPr>
          <w:rFonts w:hint="eastAsia"/>
        </w:rPr>
        <w:t>In the WID, it is not clear whether the WUR could be deployed in FDD or TDD bands. From the initial study, FDD bands at least are feasible and could be supported. As for TDD bands, since TDD bands are commercially deployed widely, LP-WUS also should be designed to be compatible with TDD DL-UL configuration. An illustration is shown as follows.</w:t>
      </w:r>
    </w:p>
    <w:p>
      <w:pPr>
        <w:spacing w:before="120" w:beforeLines="0" w:line="276" w:lineRule="auto"/>
        <w:jc w:val="center"/>
      </w:pPr>
      <w:r>
        <w:drawing>
          <wp:inline distT="0" distB="0" distL="114300" distR="114300">
            <wp:extent cx="5222875" cy="2884805"/>
            <wp:effectExtent l="0" t="0" r="15875" b="10795"/>
            <wp:docPr id="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
                    <pic:cNvPicPr>
                      <a:picLocks noChangeAspect="1"/>
                    </pic:cNvPicPr>
                  </pic:nvPicPr>
                  <pic:blipFill>
                    <a:blip r:embed="rId22"/>
                    <a:stretch>
                      <a:fillRect/>
                    </a:stretch>
                  </pic:blipFill>
                  <pic:spPr>
                    <a:xfrm>
                      <a:off x="0" y="0"/>
                      <a:ext cx="5222875" cy="2884805"/>
                    </a:xfrm>
                    <a:prstGeom prst="rect">
                      <a:avLst/>
                    </a:prstGeom>
                  </pic:spPr>
                </pic:pic>
              </a:graphicData>
            </a:graphic>
          </wp:inline>
        </w:drawing>
      </w:r>
    </w:p>
    <w:p>
      <w:pPr>
        <w:spacing w:before="120" w:beforeLines="0" w:line="276" w:lineRule="auto"/>
        <w:jc w:val="center"/>
      </w:pPr>
      <w:r>
        <w:rPr>
          <w:rFonts w:hint="eastAsia"/>
        </w:rPr>
        <w:t>Figure 9. LP-WUS in TDD</w:t>
      </w:r>
    </w:p>
    <w:p>
      <w:pPr>
        <w:spacing w:before="120" w:beforeLines="0" w:line="276" w:lineRule="auto"/>
        <w:rPr>
          <w:b/>
          <w:bCs/>
          <w:i/>
          <w:iCs/>
        </w:rPr>
      </w:pPr>
      <w:r>
        <w:rPr>
          <w:rFonts w:hint="eastAsia"/>
          <w:b/>
          <w:bCs/>
          <w:i/>
          <w:iCs/>
        </w:rPr>
        <w:t>Proposal 16: Support LP-WUS deployed in FDD/TDD bands</w:t>
      </w:r>
    </w:p>
    <w:p>
      <w:pPr>
        <w:spacing w:before="120" w:beforeLines="0" w:line="276" w:lineRule="auto"/>
      </w:pPr>
      <w:r>
        <w:rPr>
          <w:rFonts w:hint="eastAsia"/>
        </w:rPr>
        <w:t>For FDD, the multiple MOs in one LO could be contiguous. However, for TDD, the situation could be different, since the LP-WUS could be overlap with UL slots or symbols. For example, if LP-WUS is configured with 8 beams, it could be challenging for the NW to configure 8 contiguous DL slots in a frame for LP-WUS transmission in TDD bands. Moreover, if repetition is considered, more contiguous slots would be needed. In this case, the LO or MO definition may be impacted which may be based on different DL slots.</w:t>
      </w:r>
    </w:p>
    <w:p>
      <w:pPr>
        <w:spacing w:before="120" w:beforeLines="0" w:line="276" w:lineRule="auto"/>
      </w:pPr>
      <w:r>
        <w:rPr>
          <w:rFonts w:hint="eastAsia"/>
        </w:rPr>
        <w:t>For example, for FDD, if LO is a window with N*K monitoring occasions, then the LP-WUS may occupy N*K DL slots. For TDD, we need to discuss whether N*K monitoring occasions only is configured on DL slots, or it could be on the flexible slots.</w:t>
      </w:r>
    </w:p>
    <w:p>
      <w:pPr>
        <w:numPr>
          <w:ilvl w:val="255"/>
          <w:numId w:val="0"/>
        </w:numPr>
        <w:spacing w:before="120" w:beforeLines="0" w:line="276" w:lineRule="auto"/>
        <w:rPr>
          <w:b/>
          <w:bCs/>
          <w:i/>
          <w:iCs/>
        </w:rPr>
      </w:pPr>
      <w:r>
        <w:rPr>
          <w:rFonts w:hint="eastAsia"/>
          <w:b/>
          <w:bCs/>
          <w:i/>
          <w:iCs/>
        </w:rPr>
        <w:t>Proposal 17: The LO and MO definition should be applicable for both FDD and TDD</w:t>
      </w:r>
    </w:p>
    <w:p>
      <w:pPr>
        <w:numPr>
          <w:ilvl w:val="0"/>
          <w:numId w:val="19"/>
        </w:numPr>
        <w:spacing w:before="120" w:beforeLines="0" w:line="276" w:lineRule="auto"/>
        <w:rPr>
          <w:b/>
          <w:bCs/>
          <w:i/>
          <w:iCs/>
        </w:rPr>
      </w:pPr>
      <w:r>
        <w:rPr>
          <w:rFonts w:hint="eastAsia"/>
          <w:b/>
          <w:bCs/>
          <w:i/>
          <w:iCs/>
        </w:rPr>
        <w:t>FFS whether MO could be based on flexible symbols or slots in TDD</w:t>
      </w:r>
    </w:p>
    <w:p>
      <w:pPr>
        <w:pStyle w:val="2"/>
        <w:spacing w:before="120"/>
        <w:rPr>
          <w:lang w:val="en-US"/>
        </w:rPr>
      </w:pPr>
      <w:r>
        <w:rPr>
          <w:rFonts w:hint="eastAsia"/>
          <w:lang w:val="en-US"/>
        </w:rPr>
        <w:t>Dynamic PO</w:t>
      </w:r>
    </w:p>
    <w:p>
      <w:pPr>
        <w:spacing w:before="120" w:beforeLines="0" w:line="276" w:lineRule="auto"/>
        <w:rPr>
          <w:rFonts w:cs="Malgun Gothic"/>
          <w:lang w:bidi="ar"/>
        </w:rPr>
      </w:pPr>
      <w:r>
        <w:rPr>
          <w:rFonts w:hint="eastAsia" w:cs="Malgun Gothic"/>
          <w:lang w:bidi="ar"/>
        </w:rPr>
        <w:t xml:space="preserve">After waked up by LP-WUS and subsequent DL </w:t>
      </w:r>
      <w:r>
        <w:rPr>
          <w:rFonts w:hint="eastAsia"/>
          <w:szCs w:val="20"/>
        </w:rPr>
        <w:t>sync/re-sync</w:t>
      </w:r>
      <w:r>
        <w:rPr>
          <w:rFonts w:hint="eastAsia" w:cs="Malgun Gothic"/>
          <w:lang w:bidi="ar"/>
        </w:rPr>
        <w:t xml:space="preserve">, the UE </w:t>
      </w:r>
      <w:r>
        <w:rPr>
          <w:rFonts w:eastAsia="PMingLiU" w:cs="Malgun Gothic"/>
          <w:lang w:bidi="ar"/>
        </w:rPr>
        <w:t xml:space="preserve">needs to monitor </w:t>
      </w:r>
      <w:r>
        <w:rPr>
          <w:rFonts w:hint="eastAsia" w:cs="Malgun Gothic"/>
          <w:lang w:bidi="ar"/>
        </w:rPr>
        <w:t>the corresponding</w:t>
      </w:r>
      <w:r>
        <w:rPr>
          <w:rFonts w:eastAsia="PMingLiU" w:cs="Malgun Gothic"/>
          <w:lang w:bidi="ar"/>
        </w:rPr>
        <w:t xml:space="preserve"> PO</w:t>
      </w:r>
      <w:r>
        <w:rPr>
          <w:rFonts w:hint="eastAsia" w:cs="Malgun Gothic"/>
          <w:lang w:bidi="ar"/>
        </w:rPr>
        <w:t xml:space="preserve">. Since the location of the PO is determined by legacy NR paging procedure, it is not easy to reduce the latency from LP-WUS detection to paging monitoring on the corresponding PO. </w:t>
      </w:r>
    </w:p>
    <w:p>
      <w:pPr>
        <w:spacing w:before="120" w:beforeLines="0" w:line="276" w:lineRule="auto"/>
        <w:rPr>
          <w:rFonts w:cs="Malgun Gothic"/>
          <w:lang w:bidi="ar"/>
        </w:rPr>
      </w:pPr>
      <w:r>
        <w:rPr>
          <w:rFonts w:hint="eastAsia" w:cs="Malgun Gothic"/>
          <w:lang w:bidi="ar"/>
        </w:rPr>
        <w:t>For example, as shown in Figure 1, the latency consists of t</w:t>
      </w:r>
      <w:r>
        <w:rPr>
          <w:rFonts w:hint="eastAsia"/>
          <w:szCs w:val="20"/>
        </w:rPr>
        <w:t xml:space="preserve">hree parts, that is, ramp up time from LR to MR, time for sync/re-sync and the time interval from sync/re-sync to legacy PO. </w:t>
      </w:r>
      <w:r>
        <w:rPr>
          <w:rFonts w:hint="eastAsia" w:cs="Malgun Gothic"/>
          <w:lang w:bidi="ar"/>
        </w:rPr>
        <w:t xml:space="preserve">So </w:t>
      </w:r>
      <w:r>
        <w:rPr>
          <w:rFonts w:hint="eastAsia"/>
          <w:szCs w:val="20"/>
        </w:rPr>
        <w:t>the latency T</w:t>
      </w:r>
      <w:r>
        <w:rPr>
          <w:rFonts w:hint="eastAsia"/>
          <w:szCs w:val="20"/>
          <w:vertAlign w:val="subscript"/>
        </w:rPr>
        <w:t>1</w:t>
      </w:r>
      <w:r>
        <w:rPr>
          <w:rFonts w:hint="eastAsia"/>
          <w:szCs w:val="20"/>
        </w:rPr>
        <w:t>=T</w:t>
      </w:r>
      <w:r>
        <w:rPr>
          <w:rFonts w:hint="eastAsia"/>
          <w:szCs w:val="20"/>
          <w:vertAlign w:val="subscript"/>
        </w:rPr>
        <w:t>x</w:t>
      </w:r>
      <w:r>
        <w:rPr>
          <w:rFonts w:hint="eastAsia"/>
          <w:szCs w:val="20"/>
        </w:rPr>
        <w:t>+T</w:t>
      </w:r>
      <w:r>
        <w:rPr>
          <w:rFonts w:hint="eastAsia"/>
          <w:szCs w:val="20"/>
          <w:vertAlign w:val="subscript"/>
        </w:rPr>
        <w:t>ramp up</w:t>
      </w:r>
      <w:r>
        <w:rPr>
          <w:rFonts w:hint="eastAsia"/>
          <w:szCs w:val="20"/>
        </w:rPr>
        <w:t xml:space="preserve">+T </w:t>
      </w:r>
      <w:r>
        <w:rPr>
          <w:rFonts w:hint="eastAsia"/>
          <w:szCs w:val="20"/>
          <w:vertAlign w:val="subscript"/>
        </w:rPr>
        <w:t xml:space="preserve">sync/re-sync. </w:t>
      </w:r>
      <w:r>
        <w:rPr>
          <w:rFonts w:hint="eastAsia"/>
        </w:rPr>
        <w:t xml:space="preserve">If the </w:t>
      </w:r>
      <w:r>
        <w:rPr>
          <w:rFonts w:hint="eastAsia"/>
          <w:szCs w:val="20"/>
        </w:rPr>
        <w:t xml:space="preserve">first </w:t>
      </w:r>
      <w:r>
        <w:rPr>
          <w:rFonts w:hint="eastAsia"/>
        </w:rPr>
        <w:t>PO is dynamic and the dynamic PO</w:t>
      </w:r>
      <w:r>
        <w:t xml:space="preserve"> </w:t>
      </w:r>
      <w:r>
        <w:rPr>
          <w:rFonts w:hint="eastAsia"/>
        </w:rPr>
        <w:t>is</w:t>
      </w:r>
      <w:r>
        <w:t xml:space="preserve"> located</w:t>
      </w:r>
      <w:r>
        <w:rPr>
          <w:rFonts w:hint="eastAsia"/>
        </w:rPr>
        <w:t xml:space="preserve"> just after main radio ramp up and sync/re-sync, </w:t>
      </w:r>
      <w:r>
        <w:rPr>
          <w:rFonts w:hint="eastAsia"/>
          <w:szCs w:val="20"/>
        </w:rPr>
        <w:t>T</w:t>
      </w:r>
      <w:r>
        <w:rPr>
          <w:rFonts w:hint="eastAsia"/>
          <w:szCs w:val="20"/>
          <w:vertAlign w:val="subscript"/>
        </w:rPr>
        <w:t>x</w:t>
      </w:r>
      <w:r>
        <w:rPr>
          <w:rFonts w:hint="eastAsia"/>
        </w:rPr>
        <w:t xml:space="preserve"> can be ignored and </w:t>
      </w:r>
      <w:r>
        <w:rPr>
          <w:rFonts w:hint="eastAsia"/>
          <w:szCs w:val="20"/>
        </w:rPr>
        <w:t>the latency T</w:t>
      </w:r>
      <w:r>
        <w:rPr>
          <w:rFonts w:hint="eastAsia"/>
          <w:szCs w:val="20"/>
          <w:vertAlign w:val="subscript"/>
        </w:rPr>
        <w:t>2</w:t>
      </w:r>
      <w:r>
        <w:rPr>
          <w:rFonts w:hint="eastAsia"/>
          <w:szCs w:val="20"/>
        </w:rPr>
        <w:t>=T</w:t>
      </w:r>
      <w:r>
        <w:rPr>
          <w:rFonts w:hint="eastAsia"/>
          <w:szCs w:val="20"/>
          <w:vertAlign w:val="subscript"/>
        </w:rPr>
        <w:t>ramp up</w:t>
      </w:r>
      <w:r>
        <w:rPr>
          <w:rFonts w:hint="eastAsia"/>
          <w:szCs w:val="20"/>
        </w:rPr>
        <w:t xml:space="preserve">+T </w:t>
      </w:r>
      <w:r>
        <w:rPr>
          <w:rFonts w:hint="eastAsia"/>
          <w:szCs w:val="20"/>
          <w:vertAlign w:val="subscript"/>
        </w:rPr>
        <w:t xml:space="preserve">sync/re-sync.  </w:t>
      </w:r>
      <w:r>
        <w:rPr>
          <w:rFonts w:hint="eastAsia" w:cs="Malgun Gothic"/>
          <w:lang w:bidi="ar"/>
        </w:rPr>
        <w:t>It can be seen that the latency with dynamic PO is much smaller than the latency with legacy PO.</w:t>
      </w:r>
    </w:p>
    <w:p>
      <w:pPr>
        <w:spacing w:before="120" w:beforeLines="0" w:line="276" w:lineRule="auto"/>
        <w:rPr>
          <w:szCs w:val="20"/>
        </w:rPr>
      </w:pPr>
      <w:r>
        <w:rPr>
          <w:rFonts w:hint="eastAsia" w:cs="Malgun Gothic"/>
          <w:lang w:bidi="ar"/>
        </w:rPr>
        <w:t xml:space="preserve">In addition, if the location of the PO is far from the last SSB used for DL </w:t>
      </w:r>
      <w:r>
        <w:rPr>
          <w:rFonts w:hint="eastAsia"/>
          <w:szCs w:val="20"/>
        </w:rPr>
        <w:t>sync/re-sync</w:t>
      </w:r>
      <w:r>
        <w:rPr>
          <w:rFonts w:hint="eastAsia" w:cs="Malgun Gothic"/>
          <w:lang w:bidi="ar"/>
        </w:rPr>
        <w:t xml:space="preserve">, the UE needs to maintain MR at </w:t>
      </w:r>
      <w:r>
        <w:rPr>
          <w:rFonts w:cs="Malgun Gothic"/>
          <w:lang w:bidi="ar"/>
        </w:rPr>
        <w:t>“</w:t>
      </w:r>
      <w:r>
        <w:rPr>
          <w:rFonts w:hint="eastAsia" w:cs="Malgun Gothic"/>
          <w:lang w:bidi="ar"/>
        </w:rPr>
        <w:t>ON</w:t>
      </w:r>
      <w:r>
        <w:rPr>
          <w:rFonts w:cs="Malgun Gothic"/>
          <w:lang w:bidi="ar"/>
        </w:rPr>
        <w:t>”</w:t>
      </w:r>
      <w:r>
        <w:rPr>
          <w:rFonts w:hint="eastAsia" w:cs="Malgun Gothic"/>
          <w:lang w:bidi="ar"/>
        </w:rPr>
        <w:t>state until the corresponding</w:t>
      </w:r>
      <w:r>
        <w:rPr>
          <w:rFonts w:eastAsia="PMingLiU" w:cs="Malgun Gothic"/>
          <w:lang w:bidi="ar"/>
        </w:rPr>
        <w:t xml:space="preserve"> </w:t>
      </w:r>
      <w:r>
        <w:rPr>
          <w:rFonts w:hint="eastAsia" w:cs="Malgun Gothic"/>
          <w:lang w:bidi="ar"/>
        </w:rPr>
        <w:t>PO occasion. For this case, the UE power consumption for waiting the corresponding</w:t>
      </w:r>
      <w:r>
        <w:rPr>
          <w:rFonts w:eastAsia="PMingLiU" w:cs="Malgun Gothic"/>
          <w:lang w:bidi="ar"/>
        </w:rPr>
        <w:t xml:space="preserve"> </w:t>
      </w:r>
      <w:r>
        <w:rPr>
          <w:rFonts w:hint="eastAsia" w:cs="Malgun Gothic"/>
          <w:lang w:bidi="ar"/>
        </w:rPr>
        <w:t>PO cannot be ignored.</w:t>
      </w:r>
    </w:p>
    <w:p>
      <w:pPr>
        <w:spacing w:before="120" w:beforeLines="0" w:line="276" w:lineRule="auto"/>
        <w:rPr>
          <w:szCs w:val="20"/>
        </w:rPr>
      </w:pPr>
      <w:r>
        <w:drawing>
          <wp:inline distT="0" distB="0" distL="114300" distR="114300">
            <wp:extent cx="5691505" cy="695325"/>
            <wp:effectExtent l="0" t="0" r="4445" b="952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23"/>
                    <a:stretch>
                      <a:fillRect/>
                    </a:stretch>
                  </pic:blipFill>
                  <pic:spPr>
                    <a:xfrm>
                      <a:off x="0" y="0"/>
                      <a:ext cx="5691505" cy="695325"/>
                    </a:xfrm>
                    <a:prstGeom prst="rect">
                      <a:avLst/>
                    </a:prstGeom>
                    <a:noFill/>
                    <a:ln>
                      <a:noFill/>
                    </a:ln>
                  </pic:spPr>
                </pic:pic>
              </a:graphicData>
            </a:graphic>
          </wp:inline>
        </w:drawing>
      </w:r>
    </w:p>
    <w:p>
      <w:pPr>
        <w:spacing w:before="120" w:beforeLines="0" w:line="276" w:lineRule="auto"/>
        <w:rPr>
          <w:szCs w:val="20"/>
        </w:rPr>
      </w:pPr>
    </w:p>
    <w:p>
      <w:pPr>
        <w:spacing w:before="120" w:beforeLines="0" w:line="276" w:lineRule="auto"/>
        <w:rPr>
          <w:szCs w:val="20"/>
        </w:rPr>
      </w:pPr>
      <w:r>
        <w:drawing>
          <wp:inline distT="0" distB="0" distL="114300" distR="114300">
            <wp:extent cx="5691505" cy="695325"/>
            <wp:effectExtent l="0" t="0" r="4445" b="9525"/>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pic:cNvPicPr>
                  </pic:nvPicPr>
                  <pic:blipFill>
                    <a:blip r:embed="rId24"/>
                    <a:stretch>
                      <a:fillRect/>
                    </a:stretch>
                  </pic:blipFill>
                  <pic:spPr>
                    <a:xfrm>
                      <a:off x="0" y="0"/>
                      <a:ext cx="5691505" cy="695325"/>
                    </a:xfrm>
                    <a:prstGeom prst="rect">
                      <a:avLst/>
                    </a:prstGeom>
                    <a:noFill/>
                    <a:ln>
                      <a:noFill/>
                    </a:ln>
                  </pic:spPr>
                </pic:pic>
              </a:graphicData>
            </a:graphic>
          </wp:inline>
        </w:drawing>
      </w:r>
    </w:p>
    <w:p>
      <w:pPr>
        <w:spacing w:before="120" w:beforeLines="0" w:line="276" w:lineRule="auto"/>
        <w:jc w:val="center"/>
      </w:pPr>
      <w:r>
        <w:rPr>
          <w:rFonts w:hint="eastAsia"/>
        </w:rPr>
        <w:t xml:space="preserve">Figure 10. Latency for LP-WUS based on dynamic PO and legacy PO </w:t>
      </w:r>
    </w:p>
    <w:p>
      <w:pPr>
        <w:spacing w:before="120" w:beforeLines="0" w:line="276" w:lineRule="auto"/>
      </w:pPr>
      <w:r>
        <w:rPr>
          <w:rFonts w:hint="eastAsia"/>
        </w:rPr>
        <w:t>According to the TR conclusion and WID description,</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overflowPunct w:val="0"/>
              <w:autoSpaceDE w:val="0"/>
              <w:autoSpaceDN w:val="0"/>
              <w:adjustRightInd w:val="0"/>
              <w:snapToGrid/>
              <w:spacing w:before="120" w:beforeLines="0" w:line="276" w:lineRule="auto"/>
              <w:textAlignment w:val="baseline"/>
              <w:rPr>
                <w:rFonts w:cs="Malgun Gothic"/>
                <w:b/>
                <w:bCs/>
                <w:i/>
                <w:iCs/>
                <w:lang w:bidi="ar"/>
              </w:rPr>
            </w:pPr>
            <w:r>
              <w:rPr>
                <w:szCs w:val="20"/>
                <w:lang w:bidi="ar"/>
              </w:rPr>
              <w:t>In RRC IDLE/INACTIVE modes, it’s observed that significant UE power saving gain (up to more than 90%) is obtained by using LP-WUS/WUR to trigger UE MR paging monitoring compared with existing I-DRX operation (with and without PEI), if sufficient relaxation to MR RRM measurement is applied. Further, compared with existing eDRX operation, significant paging latency reduction and moderate UE power saving gain is observed, if LP-WUS monitoring and the corresponding paging monitoring after MR wake-up is performed not restricted within existing PTW of eDRX.</w:t>
            </w:r>
          </w:p>
        </w:tc>
      </w:tr>
    </w:tbl>
    <w:p>
      <w:pPr>
        <w:spacing w:before="120" w:beforeLines="0" w:line="276" w:lineRule="auto"/>
      </w:pPr>
      <w:r>
        <w:rPr>
          <w:rFonts w:hint="eastAsia"/>
        </w:rPr>
        <w:t>we have the following observation:</w:t>
      </w:r>
    </w:p>
    <w:p>
      <w:pPr>
        <w:spacing w:before="120" w:beforeLines="0" w:line="276" w:lineRule="auto"/>
        <w:rPr>
          <w:rFonts w:eastAsia="Times New Roman" w:cs="Malgun Gothic"/>
          <w:b/>
          <w:bCs/>
          <w:i/>
          <w:iCs/>
          <w:lang w:bidi="ar"/>
        </w:rPr>
      </w:pPr>
      <w:r>
        <w:rPr>
          <w:rFonts w:hint="eastAsia" w:cs="Malgun Gothic"/>
          <w:b/>
          <w:bCs/>
          <w:i/>
          <w:iCs/>
          <w:lang w:bidi="ar"/>
        </w:rPr>
        <w:t xml:space="preserve">Observation 6: Compared with LP-WUS based legacy PO monitoring, LP-WUS based dynamic PO monitoring has benefits of </w:t>
      </w:r>
      <w:r>
        <w:rPr>
          <w:rFonts w:eastAsia="Times New Roman" w:cs="Malgun Gothic"/>
          <w:b/>
          <w:bCs/>
          <w:i/>
          <w:iCs/>
          <w:lang w:bidi="ar"/>
        </w:rPr>
        <w:t xml:space="preserve">latency reduction </w:t>
      </w:r>
      <w:r>
        <w:rPr>
          <w:rFonts w:hint="eastAsia" w:cs="Malgun Gothic"/>
          <w:b/>
          <w:bCs/>
          <w:i/>
          <w:iCs/>
          <w:lang w:bidi="ar"/>
        </w:rPr>
        <w:t>and UE power saving</w:t>
      </w:r>
      <w:r>
        <w:rPr>
          <w:rFonts w:eastAsia="Times New Roman" w:cs="Malgun Gothic"/>
          <w:b/>
          <w:bCs/>
          <w:i/>
          <w:iCs/>
          <w:lang w:bidi="ar"/>
        </w:rPr>
        <w:t>.</w:t>
      </w:r>
    </w:p>
    <w:p>
      <w:pPr>
        <w:spacing w:before="120" w:beforeLines="0" w:line="276" w:lineRule="auto"/>
      </w:pPr>
      <w:r>
        <w:rPr>
          <w:rFonts w:hint="eastAsia" w:cs="Malgun Gothic"/>
          <w:lang w:bidi="ar"/>
        </w:rPr>
        <w:t xml:space="preserve">However, based on dynamic PO, the gNB may need to transmit paging twice, i.e., legacy paging and dynamic paging. In another words, the gNB is required to transmit LP-WUS, dynamic paging and legacy paging when LP-WUS is enabled, which might further increase network overhead. Therefore, introducing new paging occasions is not pursued. Instead, if another legacy PO can be used to page a LP-WUS triggered UE, then this issue could be solved. </w:t>
      </w:r>
    </w:p>
    <w:p>
      <w:pPr>
        <w:spacing w:before="120" w:beforeLines="0" w:line="276" w:lineRule="auto"/>
        <w:jc w:val="center"/>
      </w:pPr>
      <w:r>
        <w:drawing>
          <wp:inline distT="0" distB="0" distL="114300" distR="114300">
            <wp:extent cx="5081270" cy="1881505"/>
            <wp:effectExtent l="0" t="0" r="5080" b="4445"/>
            <wp:docPr id="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pic:cNvPicPr>
                      <a:picLocks noChangeAspect="1"/>
                    </pic:cNvPicPr>
                  </pic:nvPicPr>
                  <pic:blipFill>
                    <a:blip r:embed="rId25"/>
                    <a:stretch>
                      <a:fillRect/>
                    </a:stretch>
                  </pic:blipFill>
                  <pic:spPr>
                    <a:xfrm>
                      <a:off x="0" y="0"/>
                      <a:ext cx="5081270" cy="1881505"/>
                    </a:xfrm>
                    <a:prstGeom prst="rect">
                      <a:avLst/>
                    </a:prstGeom>
                    <a:noFill/>
                    <a:ln>
                      <a:noFill/>
                    </a:ln>
                  </pic:spPr>
                </pic:pic>
              </a:graphicData>
            </a:graphic>
          </wp:inline>
        </w:drawing>
      </w:r>
    </w:p>
    <w:p>
      <w:pPr>
        <w:spacing w:before="120" w:beforeLines="0" w:line="276" w:lineRule="auto"/>
        <w:jc w:val="center"/>
        <w:rPr>
          <w:rFonts w:cs="Malgun Gothic"/>
          <w:lang w:bidi="ar"/>
        </w:rPr>
      </w:pPr>
      <w:r>
        <w:rPr>
          <w:rFonts w:hint="eastAsia"/>
        </w:rPr>
        <w:t xml:space="preserve">Figure 11. </w:t>
      </w:r>
      <w:r>
        <w:t xml:space="preserve">Using </w:t>
      </w:r>
      <w:r>
        <w:rPr>
          <w:rFonts w:hint="eastAsia"/>
        </w:rPr>
        <w:t xml:space="preserve">legacy PO </w:t>
      </w:r>
      <w:r>
        <w:t>as</w:t>
      </w:r>
      <w:r>
        <w:rPr>
          <w:rFonts w:hint="eastAsia"/>
        </w:rPr>
        <w:t xml:space="preserve"> dynamic PO </w:t>
      </w:r>
      <w:r>
        <w:t xml:space="preserve">for </w:t>
      </w:r>
      <w:r>
        <w:rPr>
          <w:rFonts w:hint="eastAsia"/>
        </w:rPr>
        <w:t>LP-WUS</w:t>
      </w:r>
    </w:p>
    <w:p>
      <w:pPr>
        <w:spacing w:before="120" w:beforeLines="0" w:line="276" w:lineRule="auto"/>
        <w:rPr>
          <w:b/>
          <w:bCs/>
          <w:i/>
          <w:iCs/>
        </w:rPr>
      </w:pPr>
      <w:r>
        <w:rPr>
          <w:rFonts w:eastAsia="Times New Roman"/>
          <w:b/>
          <w:i/>
          <w:lang w:bidi="ar"/>
        </w:rPr>
        <w:t xml:space="preserve">Proposal </w:t>
      </w:r>
      <w:r>
        <w:rPr>
          <w:rFonts w:hint="eastAsia"/>
          <w:b/>
          <w:i/>
          <w:lang w:bidi="ar"/>
        </w:rPr>
        <w:t>18</w:t>
      </w:r>
      <w:r>
        <w:rPr>
          <w:rFonts w:eastAsia="Times New Roman"/>
          <w:b/>
          <w:i/>
          <w:lang w:bidi="ar"/>
        </w:rPr>
        <w:t xml:space="preserve">: </w:t>
      </w:r>
      <w:r>
        <w:rPr>
          <w:rFonts w:hint="eastAsia"/>
          <w:b/>
          <w:i/>
          <w:lang w:bidi="ar"/>
        </w:rPr>
        <w:t>F</w:t>
      </w:r>
      <w:r>
        <w:rPr>
          <w:rFonts w:eastAsia="Times New Roman"/>
          <w:b/>
          <w:i/>
          <w:lang w:bidi="ar"/>
        </w:rPr>
        <w:t xml:space="preserve">or </w:t>
      </w:r>
      <w:r>
        <w:rPr>
          <w:rFonts w:hint="eastAsia"/>
          <w:b/>
          <w:i/>
          <w:lang w:bidi="ar"/>
        </w:rPr>
        <w:t>LP-WUS in IDLE</w:t>
      </w:r>
      <w:r>
        <w:rPr>
          <w:rFonts w:eastAsia="Times New Roman"/>
          <w:b/>
          <w:i/>
          <w:lang w:bidi="ar"/>
        </w:rPr>
        <w:t>/</w:t>
      </w:r>
      <w:r>
        <w:rPr>
          <w:rFonts w:hint="eastAsia"/>
          <w:b/>
          <w:i/>
          <w:lang w:bidi="ar"/>
        </w:rPr>
        <w:t>INACTIVE</w:t>
      </w:r>
      <w:r>
        <w:rPr>
          <w:rFonts w:eastAsia="Times New Roman"/>
          <w:b/>
          <w:i/>
          <w:lang w:bidi="ar"/>
        </w:rPr>
        <w:t xml:space="preserve"> mode,</w:t>
      </w:r>
      <w:r>
        <w:rPr>
          <w:rFonts w:hint="eastAsia"/>
          <w:b/>
          <w:i/>
          <w:lang w:bidi="ar"/>
        </w:rPr>
        <w:t xml:space="preserve"> </w:t>
      </w:r>
      <w:r>
        <w:rPr>
          <w:rFonts w:hint="eastAsia"/>
          <w:b/>
          <w:bCs/>
          <w:i/>
          <w:iCs/>
        </w:rPr>
        <w:t xml:space="preserve">dynamic PO can be </w:t>
      </w:r>
      <w:r>
        <w:rPr>
          <w:b/>
          <w:bCs/>
          <w:i/>
          <w:iCs/>
        </w:rPr>
        <w:t>considered</w:t>
      </w:r>
      <w:r>
        <w:rPr>
          <w:rFonts w:hint="eastAsia"/>
          <w:b/>
          <w:bCs/>
          <w:i/>
          <w:iCs/>
        </w:rPr>
        <w:t>.</w:t>
      </w:r>
    </w:p>
    <w:bookmarkEnd w:id="20"/>
    <w:p>
      <w:pPr>
        <w:pStyle w:val="2"/>
        <w:spacing w:before="120"/>
        <w:rPr>
          <w:lang w:val="en-US"/>
        </w:rPr>
      </w:pPr>
      <w:bookmarkStart w:id="21" w:name="OLE_LINK19"/>
      <w:r>
        <w:rPr>
          <w:rFonts w:hint="eastAsia"/>
          <w:lang w:val="en-US"/>
        </w:rPr>
        <w:t>Conclu</w:t>
      </w:r>
      <w:bookmarkEnd w:id="2"/>
      <w:bookmarkEnd w:id="3"/>
      <w:bookmarkStart w:id="22" w:name="OLE_LINK15"/>
      <w:r>
        <w:rPr>
          <w:rFonts w:hint="eastAsia"/>
          <w:lang w:val="en-US"/>
        </w:rPr>
        <w:t>sions</w:t>
      </w:r>
      <w:r>
        <w:rPr>
          <w:lang w:val="en-US"/>
        </w:rPr>
        <w:t xml:space="preserve"> </w:t>
      </w:r>
    </w:p>
    <w:bookmarkEnd w:id="21"/>
    <w:p>
      <w:pPr>
        <w:tabs>
          <w:tab w:val="left" w:pos="0"/>
        </w:tabs>
        <w:spacing w:before="120" w:beforeLines="0" w:line="276" w:lineRule="auto"/>
        <w:rPr>
          <w:lang w:eastAsia="ja-JP"/>
        </w:rPr>
      </w:pPr>
      <w:r>
        <w:rPr>
          <w:lang w:eastAsia="ja-JP"/>
        </w:rPr>
        <w:t>In thi</w:t>
      </w:r>
      <w:bookmarkEnd w:id="22"/>
      <w:r>
        <w:rPr>
          <w:lang w:eastAsia="ja-JP"/>
        </w:rPr>
        <w:t xml:space="preserve">s contribution, </w:t>
      </w:r>
      <w:r>
        <w:rPr>
          <w:rFonts w:hint="eastAsia"/>
        </w:rPr>
        <w:t xml:space="preserve">we have discussed </w:t>
      </w:r>
      <w:r>
        <w:t>issues on</w:t>
      </w:r>
      <w:r>
        <w:rPr>
          <w:rFonts w:hint="eastAsia"/>
          <w:szCs w:val="20"/>
        </w:rPr>
        <w:t xml:space="preserve"> LP-WUS operation in IDLE/INACTIVE modes</w:t>
      </w:r>
      <w:r>
        <w:t>.</w:t>
      </w:r>
      <w:r>
        <w:rPr>
          <w:rFonts w:hint="eastAsia"/>
        </w:rPr>
        <w:t xml:space="preserve"> </w:t>
      </w:r>
      <w:r>
        <w:rPr>
          <w:lang w:eastAsia="ja-JP"/>
        </w:rPr>
        <w:t>We make the following observation</w:t>
      </w:r>
      <w:r>
        <w:rPr>
          <w:rFonts w:hint="eastAsia"/>
        </w:rPr>
        <w:t>s</w:t>
      </w:r>
      <w:r>
        <w:rPr>
          <w:lang w:eastAsia="ja-JP"/>
        </w:rPr>
        <w:t xml:space="preserve"> and proposals:</w:t>
      </w:r>
    </w:p>
    <w:p>
      <w:pPr>
        <w:tabs>
          <w:tab w:val="left" w:pos="0"/>
        </w:tabs>
        <w:spacing w:before="120" w:beforeLines="0" w:line="276" w:lineRule="auto"/>
        <w:rPr>
          <w:b/>
          <w:bCs/>
          <w:u w:val="single"/>
          <w:lang w:eastAsia="ja-JP"/>
        </w:rPr>
      </w:pPr>
      <w:r>
        <w:rPr>
          <w:rFonts w:hint="eastAsia"/>
          <w:b/>
          <w:bCs/>
          <w:u w:val="single"/>
        </w:rPr>
        <w:t>O</w:t>
      </w:r>
      <w:r>
        <w:rPr>
          <w:b/>
          <w:bCs/>
          <w:u w:val="single"/>
          <w:lang w:eastAsia="ja-JP"/>
        </w:rPr>
        <w:t>bservation</w:t>
      </w:r>
      <w:r>
        <w:rPr>
          <w:rFonts w:hint="eastAsia"/>
          <w:b/>
          <w:bCs/>
          <w:u w:val="single"/>
        </w:rPr>
        <w:t>s</w:t>
      </w:r>
      <w:r>
        <w:rPr>
          <w:b/>
          <w:bCs/>
          <w:u w:val="single"/>
          <w:lang w:eastAsia="ja-JP"/>
        </w:rPr>
        <w:t xml:space="preserve"> </w:t>
      </w:r>
    </w:p>
    <w:p>
      <w:pPr>
        <w:spacing w:before="120" w:beforeLines="0" w:line="276" w:lineRule="auto"/>
        <w:rPr>
          <w:b/>
          <w:bCs/>
          <w:i/>
          <w:iCs/>
          <w:color w:val="FF0000"/>
          <w:szCs w:val="24"/>
        </w:rPr>
      </w:pPr>
      <w:r>
        <w:rPr>
          <w:rFonts w:hint="eastAsia" w:cs="Times"/>
          <w:b/>
          <w:bCs/>
          <w:i/>
          <w:iCs/>
        </w:rPr>
        <w:t xml:space="preserve">Observation 1: </w:t>
      </w:r>
      <w:r>
        <w:rPr>
          <w:rFonts w:hint="eastAsia"/>
          <w:b/>
          <w:bCs/>
          <w:i/>
          <w:iCs/>
          <w:szCs w:val="24"/>
        </w:rPr>
        <w:t>T</w:t>
      </w:r>
      <w:r>
        <w:rPr>
          <w:rFonts w:eastAsia="Batang"/>
          <w:b/>
          <w:bCs/>
          <w:i/>
          <w:iCs/>
          <w:szCs w:val="24"/>
          <w:lang w:val="en-GB" w:eastAsia="ko-KR"/>
        </w:rPr>
        <w:t>he serving cell measurement performed by the MR is above entry threshold(s</w:t>
      </w:r>
      <w:r>
        <w:rPr>
          <w:rFonts w:hint="eastAsia"/>
          <w:b/>
          <w:bCs/>
          <w:i/>
          <w:iCs/>
          <w:szCs w:val="24"/>
        </w:rPr>
        <w:t xml:space="preserve">) and </w:t>
      </w:r>
      <w:r>
        <w:rPr>
          <w:rFonts w:eastAsia="Batang"/>
          <w:b/>
          <w:bCs/>
          <w:i/>
          <w:iCs/>
          <w:szCs w:val="24"/>
          <w:lang w:val="en-GB" w:eastAsia="ko-KR"/>
        </w:rPr>
        <w:t>the serving cell measurement performed by the LR is below exit threshold(s)</w:t>
      </w:r>
      <w:r>
        <w:rPr>
          <w:rFonts w:hint="eastAsia"/>
          <w:b/>
          <w:bCs/>
          <w:i/>
          <w:iCs/>
          <w:szCs w:val="24"/>
        </w:rPr>
        <w:t xml:space="preserve"> may be satisfied at the same time.</w:t>
      </w:r>
    </w:p>
    <w:p>
      <w:pPr>
        <w:numPr>
          <w:ilvl w:val="255"/>
          <w:numId w:val="0"/>
        </w:numPr>
        <w:spacing w:before="0" w:beforeLines="0" w:line="240" w:lineRule="auto"/>
        <w:rPr>
          <w:b/>
          <w:bCs/>
          <w:i/>
          <w:iCs/>
          <w:szCs w:val="24"/>
        </w:rPr>
      </w:pPr>
      <w:r>
        <w:rPr>
          <w:rFonts w:hint="eastAsia"/>
          <w:b/>
          <w:bCs/>
          <w:i/>
          <w:iCs/>
          <w:szCs w:val="24"/>
        </w:rPr>
        <w:t xml:space="preserve">Observation 2: </w:t>
      </w:r>
    </w:p>
    <w:p>
      <w:pPr>
        <w:numPr>
          <w:ilvl w:val="0"/>
          <w:numId w:val="12"/>
        </w:numPr>
        <w:spacing w:before="0" w:beforeLines="0" w:line="240" w:lineRule="auto"/>
        <w:rPr>
          <w:b/>
          <w:bCs/>
          <w:i/>
          <w:iCs/>
          <w:szCs w:val="24"/>
        </w:rPr>
      </w:pPr>
      <w:r>
        <w:rPr>
          <w:rFonts w:hint="eastAsia"/>
          <w:b/>
          <w:bCs/>
          <w:i/>
          <w:iCs/>
          <w:szCs w:val="24"/>
        </w:rPr>
        <w:t>If UE only monitor LP-WUS but not perform LR measurement, there is no power saving gain</w:t>
      </w:r>
    </w:p>
    <w:p>
      <w:pPr>
        <w:numPr>
          <w:ilvl w:val="0"/>
          <w:numId w:val="12"/>
        </w:numPr>
        <w:spacing w:before="0" w:beforeLines="0" w:line="240" w:lineRule="auto"/>
        <w:rPr>
          <w:b/>
          <w:bCs/>
          <w:i/>
          <w:iCs/>
          <w:szCs w:val="24"/>
        </w:rPr>
      </w:pPr>
      <w:r>
        <w:rPr>
          <w:rFonts w:hint="eastAsia"/>
          <w:b/>
          <w:bCs/>
          <w:i/>
          <w:iCs/>
          <w:szCs w:val="24"/>
        </w:rPr>
        <w:t xml:space="preserve">If UE only perform LR measurement but not monitor LP-WUS, it would waste NW resources of LP-WUS, there is no much power saving gain due to periodical paging monitoring, and it is out of scope. </w:t>
      </w:r>
    </w:p>
    <w:p>
      <w:pPr>
        <w:spacing w:before="120" w:afterLines="50" w:line="276" w:lineRule="auto"/>
        <w:rPr>
          <w:b/>
          <w:bCs/>
          <w:i/>
          <w:iCs/>
        </w:rPr>
      </w:pPr>
      <w:r>
        <w:rPr>
          <w:rFonts w:hint="eastAsia"/>
          <w:b/>
          <w:bCs/>
          <w:i/>
          <w:iCs/>
        </w:rPr>
        <w:t>Observation 3: For a spare PO configuration scenario, 8 subgroups via LP-WUS can not provide PSG. For a dense PO configuration scenario, 8 subgroup via LP-WUS can provide PSG and less overhead.</w:t>
      </w:r>
    </w:p>
    <w:p>
      <w:pPr>
        <w:spacing w:before="120" w:afterLines="50" w:line="276" w:lineRule="auto"/>
        <w:rPr>
          <w:b/>
          <w:bCs/>
          <w:i/>
          <w:iCs/>
        </w:rPr>
      </w:pPr>
      <w:r>
        <w:rPr>
          <w:rFonts w:hint="eastAsia"/>
          <w:b/>
          <w:bCs/>
          <w:i/>
          <w:iCs/>
        </w:rPr>
        <w:t>Observation 4: 256 subgroups via LP-WUS can provide obvious PSG. The supported UEs number in a cell can be up to 20000 with around 3% system overhead.</w:t>
      </w:r>
    </w:p>
    <w:p>
      <w:pPr>
        <w:spacing w:before="120" w:afterLines="50" w:line="276" w:lineRule="auto"/>
        <w:rPr>
          <w:b/>
          <w:bCs/>
          <w:i/>
          <w:iCs/>
        </w:rPr>
      </w:pPr>
      <w:r>
        <w:rPr>
          <w:rFonts w:hint="eastAsia"/>
          <w:b/>
          <w:bCs/>
          <w:i/>
          <w:iCs/>
        </w:rPr>
        <w:t>Observation 5: With the number of subgroups increasing, one subgroup wake-up in a time duration becomes a minor case.</w:t>
      </w:r>
    </w:p>
    <w:p>
      <w:pPr>
        <w:spacing w:before="120" w:beforeLines="0" w:line="276" w:lineRule="auto"/>
        <w:rPr>
          <w:rFonts w:eastAsia="Times New Roman" w:cs="Malgun Gothic"/>
          <w:b/>
          <w:bCs/>
          <w:i/>
          <w:iCs/>
          <w:lang w:bidi="ar"/>
        </w:rPr>
      </w:pPr>
      <w:r>
        <w:rPr>
          <w:rFonts w:hint="eastAsia" w:cs="Malgun Gothic"/>
          <w:b/>
          <w:bCs/>
          <w:i/>
          <w:iCs/>
          <w:lang w:bidi="ar"/>
        </w:rPr>
        <w:t xml:space="preserve">Observation 6: Compared with LP-WUS based legacy PO monitoring, LP-WUS based dynamic PO monitoring has benefits of </w:t>
      </w:r>
      <w:r>
        <w:rPr>
          <w:rFonts w:eastAsia="Times New Roman" w:cs="Malgun Gothic"/>
          <w:b/>
          <w:bCs/>
          <w:i/>
          <w:iCs/>
          <w:lang w:bidi="ar"/>
        </w:rPr>
        <w:t xml:space="preserve">latency reduction </w:t>
      </w:r>
      <w:r>
        <w:rPr>
          <w:rFonts w:hint="eastAsia" w:cs="Malgun Gothic"/>
          <w:b/>
          <w:bCs/>
          <w:i/>
          <w:iCs/>
          <w:lang w:bidi="ar"/>
        </w:rPr>
        <w:t>and UE power saving</w:t>
      </w:r>
      <w:r>
        <w:rPr>
          <w:rFonts w:eastAsia="Times New Roman" w:cs="Malgun Gothic"/>
          <w:b/>
          <w:bCs/>
          <w:i/>
          <w:iCs/>
          <w:lang w:bidi="ar"/>
        </w:rPr>
        <w:t>.</w:t>
      </w:r>
    </w:p>
    <w:p>
      <w:pPr>
        <w:tabs>
          <w:tab w:val="left" w:pos="0"/>
        </w:tabs>
        <w:spacing w:before="120" w:beforeLines="0" w:line="276" w:lineRule="auto"/>
        <w:rPr>
          <w:b/>
          <w:bCs/>
          <w:u w:val="single"/>
          <w:lang w:eastAsia="ja-JP"/>
        </w:rPr>
      </w:pPr>
    </w:p>
    <w:p>
      <w:pPr>
        <w:tabs>
          <w:tab w:val="left" w:pos="0"/>
        </w:tabs>
        <w:spacing w:before="120" w:beforeLines="0" w:line="276" w:lineRule="auto"/>
        <w:rPr>
          <w:b/>
          <w:bCs/>
          <w:u w:val="single"/>
        </w:rPr>
      </w:pPr>
      <w:r>
        <w:rPr>
          <w:rFonts w:hint="eastAsia"/>
          <w:b/>
          <w:bCs/>
          <w:u w:val="single"/>
        </w:rPr>
        <w:t>Proposals</w:t>
      </w:r>
    </w:p>
    <w:p>
      <w:pPr>
        <w:spacing w:before="120" w:beforeLines="0" w:line="276" w:lineRule="auto"/>
        <w:rPr>
          <w:b/>
          <w:bCs/>
          <w:i/>
          <w:iCs/>
          <w:szCs w:val="24"/>
        </w:rPr>
      </w:pPr>
      <w:r>
        <w:rPr>
          <w:rFonts w:hint="eastAsia"/>
          <w:b/>
          <w:bCs/>
          <w:i/>
          <w:iCs/>
          <w:szCs w:val="24"/>
        </w:rPr>
        <w:t xml:space="preserve">Proposal 1: For the activation condition of LP-WUS monitoring, that </w:t>
      </w:r>
      <w:r>
        <w:rPr>
          <w:rFonts w:eastAsia="Batang"/>
          <w:b/>
          <w:bCs/>
          <w:i/>
          <w:iCs/>
          <w:szCs w:val="24"/>
          <w:lang w:val="en-GB" w:eastAsia="ko-KR"/>
        </w:rPr>
        <w:t xml:space="preserve">serving cell measurement </w:t>
      </w:r>
      <w:r>
        <w:rPr>
          <w:rFonts w:eastAsia="Batang"/>
          <w:b/>
          <w:bCs/>
          <w:i/>
          <w:iCs/>
          <w:szCs w:val="24"/>
          <w:lang w:eastAsia="ko-KR"/>
        </w:rPr>
        <w:t xml:space="preserve">performed </w:t>
      </w:r>
      <w:r>
        <w:rPr>
          <w:rFonts w:eastAsia="Batang"/>
          <w:b/>
          <w:bCs/>
          <w:i/>
          <w:iCs/>
          <w:szCs w:val="24"/>
          <w:lang w:val="en-GB" w:eastAsia="ko-KR"/>
        </w:rPr>
        <w:t xml:space="preserve">by the LR is </w:t>
      </w:r>
      <w:r>
        <w:rPr>
          <w:rFonts w:hint="eastAsia"/>
          <w:b/>
          <w:bCs/>
          <w:i/>
          <w:iCs/>
          <w:szCs w:val="24"/>
        </w:rPr>
        <w:t xml:space="preserve">not </w:t>
      </w:r>
      <w:r>
        <w:rPr>
          <w:rFonts w:eastAsia="Batang"/>
          <w:b/>
          <w:bCs/>
          <w:i/>
          <w:iCs/>
          <w:szCs w:val="24"/>
          <w:lang w:val="en-GB" w:eastAsia="ko-KR"/>
        </w:rPr>
        <w:t>below exit threshold(s)</w:t>
      </w:r>
      <w:r>
        <w:rPr>
          <w:rFonts w:hint="eastAsia"/>
          <w:b/>
          <w:bCs/>
          <w:i/>
          <w:iCs/>
          <w:szCs w:val="24"/>
        </w:rPr>
        <w:t xml:space="preserve"> should be included.</w:t>
      </w:r>
    </w:p>
    <w:p>
      <w:pPr>
        <w:numPr>
          <w:ilvl w:val="255"/>
          <w:numId w:val="0"/>
        </w:numPr>
        <w:spacing w:before="120" w:beforeLines="0" w:line="276" w:lineRule="auto"/>
        <w:rPr>
          <w:rFonts w:eastAsia="Batang"/>
          <w:b/>
          <w:bCs/>
          <w:i/>
          <w:iCs/>
          <w:szCs w:val="24"/>
          <w:lang w:val="en-GB" w:eastAsia="ko-KR"/>
        </w:rPr>
      </w:pPr>
      <w:r>
        <w:rPr>
          <w:rFonts w:hint="eastAsia" w:cs="Times"/>
          <w:b/>
          <w:bCs/>
          <w:i/>
          <w:iCs/>
        </w:rPr>
        <w:t>Proposal 2:</w:t>
      </w:r>
      <w:r>
        <w:rPr>
          <w:rFonts w:eastAsia="Batang"/>
          <w:b/>
          <w:bCs/>
          <w:i/>
          <w:iCs/>
          <w:szCs w:val="24"/>
          <w:lang w:val="en-GB" w:eastAsia="ko-KR"/>
        </w:rPr>
        <w:t xml:space="preserve"> UE monitors the legacy PO (and may monitor PEI) and may stop LP-WUS monitoring if</w:t>
      </w:r>
    </w:p>
    <w:p>
      <w:pPr>
        <w:numPr>
          <w:ilvl w:val="0"/>
          <w:numId w:val="9"/>
        </w:numPr>
        <w:spacing w:before="120"/>
        <w:rPr>
          <w:rFonts w:eastAsia="Batang"/>
          <w:b/>
          <w:bCs/>
          <w:i/>
          <w:iCs/>
          <w:szCs w:val="24"/>
          <w:lang w:val="en-GB" w:eastAsia="ko-KR"/>
        </w:rPr>
      </w:pPr>
      <w:r>
        <w:rPr>
          <w:rFonts w:eastAsia="Batang"/>
          <w:b/>
          <w:bCs/>
          <w:i/>
          <w:iCs/>
          <w:szCs w:val="24"/>
          <w:lang w:val="en-GB" w:eastAsia="ko-KR"/>
        </w:rPr>
        <w:t>the serving cell measurement performed by the LR is below exit threshold(s), if configured by the gNB</w:t>
      </w:r>
      <w:r>
        <w:rPr>
          <w:rFonts w:hint="eastAsia"/>
          <w:b/>
          <w:bCs/>
          <w:i/>
          <w:iCs/>
          <w:szCs w:val="24"/>
        </w:rPr>
        <w:t xml:space="preserve">, or </w:t>
      </w:r>
    </w:p>
    <w:p>
      <w:pPr>
        <w:numPr>
          <w:ilvl w:val="0"/>
          <w:numId w:val="9"/>
        </w:numPr>
        <w:spacing w:before="0" w:beforeLines="0" w:line="240" w:lineRule="auto"/>
        <w:rPr>
          <w:rFonts w:cs="Times"/>
          <w:i/>
          <w:iCs/>
        </w:rPr>
      </w:pPr>
      <w:r>
        <w:rPr>
          <w:rFonts w:hint="eastAsia"/>
          <w:b/>
          <w:bCs/>
          <w:i/>
          <w:iCs/>
          <w:szCs w:val="24"/>
        </w:rPr>
        <w:t>The UE has not received LP-WUS for a long time</w:t>
      </w:r>
    </w:p>
    <w:p>
      <w:pPr>
        <w:spacing w:before="0" w:beforeLines="0" w:line="240" w:lineRule="auto"/>
        <w:rPr>
          <w:b/>
          <w:bCs/>
          <w:i/>
          <w:iCs/>
        </w:rPr>
      </w:pPr>
      <w:r>
        <w:rPr>
          <w:rFonts w:hint="eastAsia"/>
          <w:b/>
          <w:bCs/>
          <w:i/>
          <w:iCs/>
        </w:rPr>
        <w:t>Proposal 3: Further clarify definition for OOK ON symbols or OOK OFF symbols.</w:t>
      </w:r>
    </w:p>
    <w:p>
      <w:pPr>
        <w:spacing w:before="0" w:beforeLines="0" w:line="240" w:lineRule="auto"/>
        <w:rPr>
          <w:b/>
          <w:bCs/>
          <w:i/>
          <w:iCs/>
        </w:rPr>
      </w:pPr>
      <w:r>
        <w:rPr>
          <w:rFonts w:hint="eastAsia"/>
          <w:b/>
          <w:bCs/>
          <w:i/>
          <w:iCs/>
        </w:rPr>
        <w:t>Proposal 4: For OFDM-WUR without FFT block, clarify the SS reference signal received power is based on 11RBs or 127 subcarriers to calculate the RSRP.</w:t>
      </w:r>
    </w:p>
    <w:p>
      <w:pPr>
        <w:spacing w:before="0" w:beforeLines="0" w:line="240" w:lineRule="auto"/>
        <w:rPr>
          <w:b/>
          <w:bCs/>
          <w:i/>
          <w:iCs/>
        </w:rPr>
      </w:pPr>
      <w:r>
        <w:rPr>
          <w:rFonts w:hint="eastAsia"/>
          <w:b/>
          <w:bCs/>
          <w:i/>
          <w:iCs/>
        </w:rPr>
        <w:t xml:space="preserve">Proposal 5: The entry/exit condition for LP-WUS monitoring and serving cell measurement relaxation should be satisfied at the same time. </w:t>
      </w:r>
    </w:p>
    <w:p>
      <w:pPr>
        <w:numPr>
          <w:ilvl w:val="0"/>
          <w:numId w:val="13"/>
        </w:numPr>
        <w:spacing w:before="0" w:beforeLines="0" w:line="240" w:lineRule="auto"/>
        <w:rPr>
          <w:b/>
          <w:bCs/>
          <w:i/>
          <w:iCs/>
        </w:rPr>
      </w:pPr>
      <w:r>
        <w:rPr>
          <w:rFonts w:hint="eastAsia"/>
          <w:b/>
          <w:bCs/>
          <w:i/>
          <w:iCs/>
        </w:rPr>
        <w:t>If UE performs relaxed measurement based on WUR, the UE also should monitor LP-WUS, vice versa.</w:t>
      </w:r>
    </w:p>
    <w:p>
      <w:pPr>
        <w:spacing w:before="120" w:afterLines="50" w:line="276" w:lineRule="auto"/>
        <w:rPr>
          <w:b/>
          <w:bCs/>
          <w:i/>
          <w:iCs/>
        </w:rPr>
      </w:pPr>
      <w:r>
        <w:rPr>
          <w:rFonts w:hint="eastAsia"/>
          <w:b/>
          <w:bCs/>
          <w:i/>
          <w:iCs/>
        </w:rPr>
        <w:t>Proposal 6: Support maximum number of subgroups per PO via LP-WUS up to 256</w:t>
      </w:r>
    </w:p>
    <w:p>
      <w:pPr>
        <w:spacing w:before="120" w:afterLines="50" w:line="276" w:lineRule="auto"/>
        <w:rPr>
          <w:b/>
          <w:bCs/>
          <w:i/>
          <w:iCs/>
          <w:szCs w:val="20"/>
        </w:rPr>
      </w:pPr>
      <w:r>
        <w:rPr>
          <w:rFonts w:hint="eastAsia"/>
          <w:b/>
          <w:bCs/>
          <w:i/>
          <w:iCs/>
          <w:szCs w:val="20"/>
        </w:rPr>
        <w:t>Proposal 7: LP-WUS indicates subgroups based on associated PO.</w:t>
      </w:r>
    </w:p>
    <w:p>
      <w:pPr>
        <w:numPr>
          <w:ilvl w:val="0"/>
          <w:numId w:val="14"/>
        </w:numPr>
        <w:spacing w:before="120" w:afterLines="50" w:line="276" w:lineRule="auto"/>
        <w:rPr>
          <w:b/>
          <w:bCs/>
          <w:i/>
          <w:iCs/>
          <w:szCs w:val="20"/>
        </w:rPr>
      </w:pPr>
      <w:r>
        <w:rPr>
          <w:rFonts w:hint="eastAsia"/>
          <w:b/>
          <w:bCs/>
          <w:i/>
          <w:iCs/>
          <w:szCs w:val="20"/>
        </w:rPr>
        <w:t>Further discuss whether/how LP-WUS indicates subgroups independent from PO</w:t>
      </w:r>
    </w:p>
    <w:p>
      <w:pPr>
        <w:spacing w:before="120" w:afterLines="50" w:line="276" w:lineRule="auto"/>
        <w:rPr>
          <w:b/>
          <w:bCs/>
          <w:i/>
          <w:iCs/>
        </w:rPr>
      </w:pPr>
      <w:r>
        <w:rPr>
          <w:rFonts w:hint="eastAsia"/>
          <w:b/>
          <w:bCs/>
          <w:i/>
          <w:iCs/>
        </w:rPr>
        <w:t xml:space="preserve">Proposal 8: Support </w:t>
      </w:r>
      <w:r>
        <w:rPr>
          <w:b/>
          <w:bCs/>
          <w:i/>
          <w:iCs/>
        </w:rPr>
        <w:t>multiple</w:t>
      </w:r>
      <w:r>
        <w:rPr>
          <w:rFonts w:hint="eastAsia"/>
          <w:b/>
          <w:bCs/>
          <w:i/>
          <w:iCs/>
        </w:rPr>
        <w:t xml:space="preserve"> subgroups as much as possible by LP-WUS in idle/inactive state.</w:t>
      </w:r>
    </w:p>
    <w:p>
      <w:pPr>
        <w:numPr>
          <w:ilvl w:val="255"/>
          <w:numId w:val="0"/>
        </w:numPr>
        <w:spacing w:before="120" w:beforeLines="0" w:line="276" w:lineRule="auto"/>
        <w:rPr>
          <w:b/>
          <w:bCs/>
          <w:i/>
          <w:iCs/>
        </w:rPr>
      </w:pPr>
      <w:r>
        <w:rPr>
          <w:rFonts w:hint="eastAsia"/>
          <w:b/>
          <w:bCs/>
          <w:i/>
          <w:iCs/>
        </w:rPr>
        <w:t>Proposal 9: Unified LP-WUS monitoring scheme is pursued, considering</w:t>
      </w:r>
    </w:p>
    <w:p>
      <w:pPr>
        <w:numPr>
          <w:ilvl w:val="0"/>
          <w:numId w:val="15"/>
        </w:numPr>
        <w:spacing w:before="120" w:beforeLines="0" w:line="276" w:lineRule="auto"/>
        <w:rPr>
          <w:b/>
          <w:bCs/>
          <w:i/>
          <w:iCs/>
        </w:rPr>
      </w:pPr>
      <w:r>
        <w:rPr>
          <w:rFonts w:hint="eastAsia"/>
          <w:b/>
          <w:bCs/>
          <w:i/>
          <w:iCs/>
        </w:rPr>
        <w:t>I-DRX, eDRX</w:t>
      </w:r>
    </w:p>
    <w:p>
      <w:pPr>
        <w:numPr>
          <w:ilvl w:val="0"/>
          <w:numId w:val="15"/>
        </w:numPr>
        <w:spacing w:before="120" w:beforeLines="0" w:line="276" w:lineRule="auto"/>
        <w:rPr>
          <w:b/>
          <w:bCs/>
          <w:i/>
          <w:iCs/>
        </w:rPr>
      </w:pPr>
      <w:r>
        <w:rPr>
          <w:rFonts w:hint="eastAsia"/>
          <w:b/>
          <w:bCs/>
          <w:i/>
          <w:iCs/>
        </w:rPr>
        <w:t>FDD, TDD</w:t>
      </w:r>
    </w:p>
    <w:p>
      <w:pPr>
        <w:spacing w:before="120"/>
        <w:rPr>
          <w:rFonts w:ascii="Times" w:hAnsi="Times"/>
          <w:b/>
          <w:bCs/>
          <w:i/>
          <w:iCs/>
          <w:szCs w:val="20"/>
        </w:rPr>
      </w:pPr>
      <w:r>
        <w:rPr>
          <w:rFonts w:hint="eastAsia"/>
          <w:b/>
          <w:bCs/>
          <w:i/>
          <w:iCs/>
        </w:rPr>
        <w:t xml:space="preserve">Proposal 10: </w:t>
      </w:r>
      <w:r>
        <w:rPr>
          <w:rFonts w:ascii="Times" w:hAnsi="Times" w:eastAsia="Batang"/>
          <w:b/>
          <w:bCs/>
          <w:i/>
          <w:iCs/>
          <w:szCs w:val="20"/>
          <w:lang w:val="en-GB" w:eastAsia="en-US"/>
        </w:rPr>
        <w:t>Each LO consists of N * K LP-WUS MOs,</w:t>
      </w:r>
      <w:r>
        <w:rPr>
          <w:rFonts w:hint="eastAsia" w:ascii="Times" w:hAnsi="Times"/>
          <w:b/>
          <w:bCs/>
          <w:i/>
          <w:iCs/>
          <w:szCs w:val="20"/>
        </w:rPr>
        <w:t xml:space="preserve"> option 2 is adopted with K&gt;1</w:t>
      </w:r>
    </w:p>
    <w:p>
      <w:pPr>
        <w:numPr>
          <w:ilvl w:val="0"/>
          <w:numId w:val="15"/>
        </w:numPr>
        <w:spacing w:before="120" w:beforeLines="0" w:line="276" w:lineRule="auto"/>
        <w:rPr>
          <w:rFonts w:ascii="Times" w:hAnsi="Times"/>
          <w:b/>
          <w:bCs/>
          <w:i/>
          <w:iCs/>
          <w:szCs w:val="20"/>
        </w:rPr>
      </w:pPr>
      <w:r>
        <w:rPr>
          <w:rFonts w:hint="eastAsia" w:ascii="Times" w:hAnsi="Times"/>
          <w:b/>
          <w:bCs/>
          <w:i/>
          <w:iCs/>
          <w:szCs w:val="20"/>
        </w:rPr>
        <w:t>K could be larger than repetition number</w:t>
      </w:r>
    </w:p>
    <w:p>
      <w:pPr>
        <w:numPr>
          <w:ilvl w:val="255"/>
          <w:numId w:val="0"/>
        </w:numPr>
        <w:spacing w:before="120" w:beforeLines="0" w:line="276" w:lineRule="auto"/>
        <w:rPr>
          <w:b/>
          <w:bCs/>
          <w:i/>
          <w:iCs/>
        </w:rPr>
      </w:pPr>
      <w:r>
        <w:rPr>
          <w:rFonts w:hint="eastAsia"/>
          <w:b/>
          <w:bCs/>
          <w:i/>
          <w:iCs/>
        </w:rPr>
        <w:t>Proposal 11: Consider option 2 to determine the beam index and repetition.</w:t>
      </w:r>
    </w:p>
    <w:p>
      <w:pPr>
        <w:spacing w:before="120" w:beforeLines="0" w:line="276" w:lineRule="auto"/>
        <w:rPr>
          <w:b/>
          <w:bCs/>
          <w:i/>
          <w:iCs/>
        </w:rPr>
      </w:pPr>
      <w:r>
        <w:rPr>
          <w:rFonts w:hint="eastAsia"/>
          <w:b/>
          <w:bCs/>
          <w:i/>
          <w:iCs/>
        </w:rPr>
        <w:t>Proposal 12: For duty cycle LP-WUS in IDLE/INACTIVE mode, NW can configure different LO periodicity according to different situation.</w:t>
      </w:r>
    </w:p>
    <w:p>
      <w:pPr>
        <w:tabs>
          <w:tab w:val="left" w:pos="0"/>
        </w:tabs>
        <w:spacing w:before="120" w:beforeLines="0" w:line="276" w:lineRule="auto"/>
        <w:rPr>
          <w:b/>
          <w:bCs/>
          <w:u w:val="single"/>
          <w:lang w:eastAsia="ja-JP"/>
        </w:rPr>
      </w:pPr>
      <w:r>
        <w:rPr>
          <w:b/>
          <w:bCs/>
          <w:i/>
          <w:iCs/>
        </w:rPr>
        <w:t xml:space="preserve">Proposal </w:t>
      </w:r>
      <w:r>
        <w:rPr>
          <w:rFonts w:hint="eastAsia"/>
          <w:b/>
          <w:bCs/>
          <w:i/>
          <w:iCs/>
        </w:rPr>
        <w:t>13</w:t>
      </w:r>
      <w:r>
        <w:rPr>
          <w:b/>
          <w:bCs/>
          <w:i/>
          <w:iCs/>
        </w:rPr>
        <w:t xml:space="preserve">: For LP-WUS in IDLE/INACTIVE mode, </w:t>
      </w:r>
      <w:r>
        <w:rPr>
          <w:rFonts w:hint="eastAsia"/>
          <w:b/>
          <w:bCs/>
          <w:i/>
          <w:iCs/>
        </w:rPr>
        <w:t>a LP-WUS occasion</w:t>
      </w:r>
      <w:r>
        <w:rPr>
          <w:b/>
          <w:bCs/>
          <w:i/>
          <w:iCs/>
        </w:rPr>
        <w:t xml:space="preserve"> </w:t>
      </w:r>
      <w:r>
        <w:rPr>
          <w:rFonts w:hint="eastAsia"/>
          <w:b/>
          <w:bCs/>
          <w:i/>
          <w:iCs/>
        </w:rPr>
        <w:t>(LO) can be mapped one or multiple POs.</w:t>
      </w:r>
    </w:p>
    <w:p>
      <w:pPr>
        <w:spacing w:before="120"/>
        <w:rPr>
          <w:b/>
          <w:bCs/>
          <w:i/>
          <w:iCs/>
        </w:rPr>
      </w:pPr>
      <w:r>
        <w:rPr>
          <w:rFonts w:hint="eastAsia"/>
          <w:b/>
          <w:bCs/>
          <w:i/>
          <w:iCs/>
        </w:rPr>
        <w:t>Proposal 14: eDRX is an important feature to be supported especially for IoT device.</w:t>
      </w:r>
    </w:p>
    <w:p>
      <w:pPr>
        <w:numPr>
          <w:ilvl w:val="0"/>
          <w:numId w:val="18"/>
        </w:numPr>
        <w:spacing w:before="120"/>
        <w:rPr>
          <w:b/>
          <w:bCs/>
          <w:i/>
          <w:iCs/>
        </w:rPr>
      </w:pPr>
      <w:r>
        <w:rPr>
          <w:rFonts w:hint="eastAsia"/>
          <w:b/>
          <w:bCs/>
          <w:i/>
          <w:iCs/>
        </w:rPr>
        <w:t>Combined with LP-WUS, more PSG can be achieved.</w:t>
      </w:r>
    </w:p>
    <w:p>
      <w:pPr>
        <w:spacing w:before="120" w:beforeLines="0" w:line="276" w:lineRule="auto"/>
        <w:rPr>
          <w:b/>
          <w:bCs/>
          <w:i/>
          <w:iCs/>
        </w:rPr>
      </w:pPr>
      <w:r>
        <w:rPr>
          <w:rFonts w:hint="eastAsia"/>
          <w:b/>
          <w:bCs/>
          <w:i/>
          <w:iCs/>
        </w:rPr>
        <w:t>Proposal 15: Adaptive PTW could be considered for latency reduction and PSG.</w:t>
      </w:r>
    </w:p>
    <w:p>
      <w:pPr>
        <w:spacing w:before="120" w:beforeLines="0" w:line="276" w:lineRule="auto"/>
        <w:rPr>
          <w:b/>
          <w:bCs/>
          <w:i/>
          <w:iCs/>
        </w:rPr>
      </w:pPr>
      <w:r>
        <w:rPr>
          <w:rFonts w:hint="eastAsia"/>
          <w:b/>
          <w:bCs/>
          <w:i/>
          <w:iCs/>
        </w:rPr>
        <w:t>Proposal 16: Support LP-WUS deployed in FDD/TDD bands</w:t>
      </w:r>
    </w:p>
    <w:p>
      <w:pPr>
        <w:numPr>
          <w:ilvl w:val="255"/>
          <w:numId w:val="0"/>
        </w:numPr>
        <w:spacing w:before="120" w:beforeLines="0" w:line="276" w:lineRule="auto"/>
        <w:rPr>
          <w:b/>
          <w:bCs/>
          <w:i/>
          <w:iCs/>
        </w:rPr>
      </w:pPr>
      <w:r>
        <w:rPr>
          <w:rFonts w:hint="eastAsia"/>
          <w:b/>
          <w:bCs/>
          <w:i/>
          <w:iCs/>
        </w:rPr>
        <w:t>Proposal 17: The LO and MO definition should be applicable for both FDD and TDD</w:t>
      </w:r>
    </w:p>
    <w:p>
      <w:pPr>
        <w:numPr>
          <w:ilvl w:val="0"/>
          <w:numId w:val="15"/>
        </w:numPr>
        <w:spacing w:before="120" w:beforeLines="0" w:line="276" w:lineRule="auto"/>
        <w:rPr>
          <w:b/>
          <w:bCs/>
          <w:i/>
          <w:iCs/>
        </w:rPr>
      </w:pPr>
      <w:r>
        <w:rPr>
          <w:rFonts w:hint="eastAsia"/>
          <w:b/>
          <w:bCs/>
          <w:i/>
          <w:iCs/>
        </w:rPr>
        <w:t>FFS whether MO could be based on flexible symbols or slots in TDD</w:t>
      </w:r>
    </w:p>
    <w:p>
      <w:pPr>
        <w:spacing w:before="120" w:beforeLines="0" w:line="276" w:lineRule="auto"/>
        <w:rPr>
          <w:rFonts w:hint="eastAsia"/>
          <w:b/>
          <w:bCs/>
          <w:i/>
          <w:iCs/>
        </w:rPr>
      </w:pPr>
      <w:r>
        <w:rPr>
          <w:rFonts w:eastAsia="Times New Roman"/>
          <w:b/>
          <w:i/>
          <w:lang w:bidi="ar"/>
        </w:rPr>
        <w:t xml:space="preserve">Proposal </w:t>
      </w:r>
      <w:r>
        <w:rPr>
          <w:rFonts w:hint="eastAsia"/>
          <w:b/>
          <w:i/>
          <w:lang w:bidi="ar"/>
        </w:rPr>
        <w:t>18</w:t>
      </w:r>
      <w:r>
        <w:rPr>
          <w:rFonts w:eastAsia="Times New Roman"/>
          <w:b/>
          <w:i/>
          <w:lang w:bidi="ar"/>
        </w:rPr>
        <w:t xml:space="preserve">: </w:t>
      </w:r>
      <w:r>
        <w:rPr>
          <w:rFonts w:hint="eastAsia"/>
          <w:b/>
          <w:i/>
          <w:lang w:bidi="ar"/>
        </w:rPr>
        <w:t>F</w:t>
      </w:r>
      <w:r>
        <w:rPr>
          <w:rFonts w:eastAsia="Times New Roman"/>
          <w:b/>
          <w:i/>
          <w:lang w:bidi="ar"/>
        </w:rPr>
        <w:t xml:space="preserve">or </w:t>
      </w:r>
      <w:r>
        <w:rPr>
          <w:rFonts w:hint="eastAsia"/>
          <w:b/>
          <w:i/>
          <w:lang w:bidi="ar"/>
        </w:rPr>
        <w:t>LP-WUS in IDLE</w:t>
      </w:r>
      <w:r>
        <w:rPr>
          <w:rFonts w:eastAsia="Times New Roman"/>
          <w:b/>
          <w:i/>
          <w:lang w:bidi="ar"/>
        </w:rPr>
        <w:t>/</w:t>
      </w:r>
      <w:r>
        <w:rPr>
          <w:rFonts w:hint="eastAsia"/>
          <w:b/>
          <w:i/>
          <w:lang w:bidi="ar"/>
        </w:rPr>
        <w:t>INACTIVE</w:t>
      </w:r>
      <w:r>
        <w:rPr>
          <w:rFonts w:eastAsia="Times New Roman"/>
          <w:b/>
          <w:i/>
          <w:lang w:bidi="ar"/>
        </w:rPr>
        <w:t xml:space="preserve"> mode,</w:t>
      </w:r>
      <w:r>
        <w:rPr>
          <w:rFonts w:hint="eastAsia"/>
          <w:b/>
          <w:i/>
          <w:lang w:bidi="ar"/>
        </w:rPr>
        <w:t xml:space="preserve"> </w:t>
      </w:r>
      <w:r>
        <w:rPr>
          <w:rFonts w:hint="eastAsia"/>
          <w:b/>
          <w:bCs/>
          <w:i/>
          <w:iCs/>
        </w:rPr>
        <w:t xml:space="preserve">dynamic PO can be </w:t>
      </w:r>
      <w:r>
        <w:rPr>
          <w:b/>
          <w:bCs/>
          <w:i/>
          <w:iCs/>
        </w:rPr>
        <w:t>considered</w:t>
      </w:r>
      <w:r>
        <w:rPr>
          <w:rFonts w:hint="eastAsia"/>
          <w:b/>
          <w:bCs/>
          <w:i/>
          <w:iCs/>
        </w:rPr>
        <w:t>.</w:t>
      </w:r>
    </w:p>
    <w:p>
      <w:pPr>
        <w:spacing w:before="120" w:beforeLines="0" w:line="276" w:lineRule="auto"/>
        <w:rPr>
          <w:rFonts w:hint="eastAsia"/>
          <w:b/>
          <w:bCs/>
          <w:i/>
          <w:iCs/>
          <w:lang w:eastAsia="ja-JP"/>
        </w:rPr>
      </w:pPr>
      <w:bookmarkStart w:id="25" w:name="_GoBack"/>
      <w:bookmarkEnd w:id="25"/>
    </w:p>
    <w:p>
      <w:pPr>
        <w:pStyle w:val="2"/>
        <w:spacing w:before="120"/>
        <w:rPr>
          <w:lang w:val="en-US"/>
        </w:rPr>
      </w:pPr>
      <w:r>
        <w:rPr>
          <w:lang w:val="en-US"/>
        </w:rPr>
        <w:t>Refer</w:t>
      </w:r>
      <w:bookmarkStart w:id="23" w:name="OLE_LINK25"/>
      <w:r>
        <w:rPr>
          <w:lang w:val="en-US"/>
        </w:rPr>
        <w:t>e</w:t>
      </w:r>
      <w:bookmarkEnd w:id="23"/>
      <w:r>
        <w:rPr>
          <w:lang w:val="en-US"/>
        </w:rPr>
        <w:t>nces</w:t>
      </w:r>
    </w:p>
    <w:p>
      <w:pPr>
        <w:pStyle w:val="133"/>
        <w:spacing w:before="120"/>
        <w:rPr>
          <w:lang w:eastAsia="zh-CN"/>
        </w:rPr>
      </w:pPr>
      <w:bookmarkStart w:id="24" w:name="OLE_LINK23"/>
      <w:r>
        <w:rPr>
          <w:lang w:eastAsia="zh-CN"/>
        </w:rPr>
        <w:t>RP-240801, “Revised WID: Low-power wake-up signal and receiver for NR (LP-WUS/WUR)”</w:t>
      </w:r>
      <w:r>
        <w:rPr>
          <w:rFonts w:hint="eastAsia"/>
          <w:lang w:eastAsia="zh-CN"/>
        </w:rPr>
        <w:t>,</w:t>
      </w:r>
      <w:r>
        <w:rPr>
          <w:lang w:eastAsia="zh-CN"/>
        </w:rPr>
        <w:t xml:space="preserve"> RAN#</w:t>
      </w:r>
      <w:r>
        <w:rPr>
          <w:rFonts w:hint="eastAsia"/>
          <w:lang w:eastAsia="zh-CN"/>
        </w:rPr>
        <w:t>10</w:t>
      </w:r>
      <w:r>
        <w:rPr>
          <w:lang w:eastAsia="zh-CN"/>
        </w:rPr>
        <w:t>3</w:t>
      </w:r>
    </w:p>
    <w:bookmarkEnd w:id="24"/>
    <w:p>
      <w:pPr>
        <w:pStyle w:val="133"/>
        <w:spacing w:before="120" w:after="120"/>
        <w:ind w:left="363" w:hanging="363"/>
        <w:rPr>
          <w:szCs w:val="21"/>
        </w:rPr>
      </w:pPr>
      <w:r>
        <w:rPr>
          <w:rFonts w:hint="eastAsia"/>
          <w:szCs w:val="21"/>
          <w:lang w:eastAsia="zh-CN"/>
        </w:rPr>
        <w:t>Draft Report of 3GPP TSG RAN WG1 #117</w:t>
      </w:r>
    </w:p>
    <w:p>
      <w:pPr>
        <w:pStyle w:val="133"/>
        <w:numPr>
          <w:ilvl w:val="0"/>
          <w:numId w:val="0"/>
        </w:numPr>
        <w:spacing w:before="120" w:after="120"/>
        <w:rPr>
          <w:szCs w:val="21"/>
        </w:rPr>
      </w:pPr>
    </w:p>
    <w:p>
      <w:pPr>
        <w:pStyle w:val="2"/>
        <w:spacing w:before="120"/>
        <w:rPr>
          <w:lang w:val="en-US"/>
        </w:rPr>
      </w:pPr>
      <w:r>
        <w:rPr>
          <w:rFonts w:hint="eastAsia"/>
          <w:lang w:val="en-US"/>
        </w:rPr>
        <w:t>Annex</w:t>
      </w:r>
    </w:p>
    <w:p>
      <w:pPr>
        <w:pStyle w:val="133"/>
        <w:numPr>
          <w:ilvl w:val="255"/>
          <w:numId w:val="0"/>
        </w:numPr>
        <w:spacing w:before="120" w:after="120"/>
        <w:ind w:left="363" w:hanging="363"/>
        <w:rPr>
          <w:lang w:eastAsia="zh-CN"/>
        </w:rPr>
      </w:pPr>
    </w:p>
    <w:p>
      <w:pPr>
        <w:spacing w:before="120" w:afterLines="50" w:line="276" w:lineRule="auto"/>
        <w:jc w:val="center"/>
      </w:pPr>
      <w:r>
        <w:rPr>
          <w:rFonts w:hint="eastAsia"/>
        </w:rPr>
        <w:t>Table 5. System overhead and PSG based on {</w:t>
      </w:r>
      <w:r>
        <w:rPr>
          <w:rFonts w:hint="eastAsia"/>
          <w:color w:val="000000"/>
          <w:szCs w:val="20"/>
          <w:lang w:bidi="ar"/>
        </w:rPr>
        <w:t>F=4, O=1, p=0.000177778}</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4"/>
        <w:gridCol w:w="2317"/>
        <w:gridCol w:w="1675"/>
        <w:gridCol w:w="1882"/>
        <w:gridCol w:w="1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4" w:type="dxa"/>
            <w:vAlign w:val="bottom"/>
          </w:tcPr>
          <w:p>
            <w:pPr>
              <w:spacing w:before="120"/>
              <w:jc w:val="left"/>
              <w:textAlignment w:val="bottom"/>
              <w:rPr>
                <w:color w:val="000000"/>
                <w:szCs w:val="20"/>
                <w:lang w:bidi="ar"/>
              </w:rPr>
            </w:pPr>
          </w:p>
        </w:tc>
        <w:tc>
          <w:tcPr>
            <w:tcW w:w="3992" w:type="dxa"/>
            <w:gridSpan w:val="2"/>
            <w:vAlign w:val="bottom"/>
          </w:tcPr>
          <w:p>
            <w:pPr>
              <w:spacing w:before="120"/>
              <w:jc w:val="center"/>
              <w:textAlignment w:val="bottom"/>
              <w:rPr>
                <w:color w:val="000000"/>
                <w:szCs w:val="20"/>
                <w:lang w:bidi="ar"/>
              </w:rPr>
            </w:pPr>
            <w:r>
              <w:rPr>
                <w:rFonts w:hint="eastAsia"/>
                <w:color w:val="000000"/>
                <w:szCs w:val="20"/>
                <w:lang w:bidi="ar"/>
              </w:rPr>
              <w:t>256 subgroups</w:t>
            </w:r>
          </w:p>
        </w:tc>
        <w:tc>
          <w:tcPr>
            <w:tcW w:w="3557" w:type="dxa"/>
            <w:gridSpan w:val="2"/>
            <w:vAlign w:val="bottom"/>
          </w:tcPr>
          <w:p>
            <w:pPr>
              <w:spacing w:before="120"/>
              <w:jc w:val="center"/>
              <w:textAlignment w:val="bottom"/>
              <w:rPr>
                <w:color w:val="000000"/>
                <w:szCs w:val="20"/>
                <w:lang w:bidi="ar"/>
              </w:rPr>
            </w:pPr>
            <w:r>
              <w:rPr>
                <w:rFonts w:hint="eastAsia"/>
                <w:color w:val="000000"/>
                <w:szCs w:val="20"/>
                <w:lang w:bidi="ar"/>
              </w:rPr>
              <w:t>8subgroups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4" w:type="dxa"/>
            <w:vAlign w:val="bottom"/>
          </w:tcPr>
          <w:p>
            <w:pPr>
              <w:spacing w:before="120"/>
              <w:jc w:val="left"/>
              <w:textAlignment w:val="bottom"/>
              <w:rPr>
                <w:szCs w:val="20"/>
              </w:rPr>
            </w:pPr>
            <w:r>
              <w:rPr>
                <w:color w:val="000000"/>
                <w:szCs w:val="20"/>
                <w:lang w:bidi="ar"/>
              </w:rPr>
              <w:t>number of UEs per cell</w:t>
            </w:r>
          </w:p>
        </w:tc>
        <w:tc>
          <w:tcPr>
            <w:tcW w:w="2317" w:type="dxa"/>
            <w:vAlign w:val="bottom"/>
          </w:tcPr>
          <w:p>
            <w:pPr>
              <w:spacing w:before="120"/>
              <w:jc w:val="left"/>
              <w:textAlignment w:val="bottom"/>
              <w:rPr>
                <w:szCs w:val="20"/>
              </w:rPr>
            </w:pPr>
            <w:r>
              <w:rPr>
                <w:color w:val="000000"/>
                <w:szCs w:val="20"/>
                <w:lang w:bidi="ar"/>
              </w:rPr>
              <w:t>system overhead(%)</w:t>
            </w:r>
            <w:r>
              <w:rPr>
                <w:rFonts w:hint="eastAsia"/>
                <w:color w:val="000000"/>
                <w:szCs w:val="20"/>
                <w:lang w:bidi="ar"/>
              </w:rPr>
              <w:t xml:space="preserve"> </w:t>
            </w:r>
          </w:p>
        </w:tc>
        <w:tc>
          <w:tcPr>
            <w:tcW w:w="1675" w:type="dxa"/>
            <w:vAlign w:val="bottom"/>
          </w:tcPr>
          <w:p>
            <w:pPr>
              <w:spacing w:before="120"/>
              <w:jc w:val="right"/>
              <w:textAlignment w:val="bottom"/>
              <w:rPr>
                <w:color w:val="000000"/>
                <w:szCs w:val="20"/>
                <w:lang w:bidi="ar"/>
              </w:rPr>
            </w:pPr>
            <w:r>
              <w:rPr>
                <w:rFonts w:hint="eastAsia"/>
                <w:color w:val="000000"/>
                <w:szCs w:val="20"/>
                <w:lang w:bidi="ar"/>
              </w:rPr>
              <w:t>PSG compared with legacy with PEI</w:t>
            </w:r>
          </w:p>
        </w:tc>
        <w:tc>
          <w:tcPr>
            <w:tcW w:w="1882" w:type="dxa"/>
            <w:vAlign w:val="bottom"/>
          </w:tcPr>
          <w:p>
            <w:pPr>
              <w:spacing w:before="120"/>
              <w:jc w:val="left"/>
              <w:textAlignment w:val="bottom"/>
              <w:rPr>
                <w:szCs w:val="20"/>
              </w:rPr>
            </w:pPr>
            <w:r>
              <w:rPr>
                <w:color w:val="000000"/>
                <w:szCs w:val="20"/>
                <w:lang w:bidi="ar"/>
              </w:rPr>
              <w:t>system overhead(%)</w:t>
            </w:r>
            <w:r>
              <w:rPr>
                <w:rFonts w:hint="eastAsia"/>
                <w:color w:val="000000"/>
                <w:szCs w:val="20"/>
                <w:lang w:bidi="ar"/>
              </w:rPr>
              <w:t xml:space="preserve"> </w:t>
            </w:r>
          </w:p>
        </w:tc>
        <w:tc>
          <w:tcPr>
            <w:tcW w:w="1675" w:type="dxa"/>
            <w:vAlign w:val="bottom"/>
          </w:tcPr>
          <w:p>
            <w:pPr>
              <w:spacing w:before="120"/>
              <w:jc w:val="left"/>
              <w:textAlignment w:val="bottom"/>
              <w:rPr>
                <w:szCs w:val="20"/>
              </w:rPr>
            </w:pPr>
            <w:r>
              <w:rPr>
                <w:rFonts w:hint="eastAsia"/>
                <w:color w:val="000000"/>
                <w:szCs w:val="20"/>
                <w:lang w:bidi="ar"/>
              </w:rPr>
              <w:t>PSG compared with legacy with PEI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4" w:type="dxa"/>
            <w:vAlign w:val="bottom"/>
          </w:tcPr>
          <w:p>
            <w:pPr>
              <w:spacing w:before="120"/>
              <w:jc w:val="right"/>
              <w:textAlignment w:val="bottom"/>
              <w:rPr>
                <w:szCs w:val="20"/>
              </w:rPr>
            </w:pPr>
            <w:r>
              <w:rPr>
                <w:color w:val="000000"/>
                <w:szCs w:val="20"/>
                <w:lang w:bidi="ar"/>
              </w:rPr>
              <w:t>300</w:t>
            </w:r>
          </w:p>
        </w:tc>
        <w:tc>
          <w:tcPr>
            <w:tcW w:w="2317" w:type="dxa"/>
            <w:vAlign w:val="bottom"/>
          </w:tcPr>
          <w:p>
            <w:pPr>
              <w:spacing w:before="120"/>
              <w:jc w:val="right"/>
              <w:textAlignment w:val="bottom"/>
              <w:rPr>
                <w:color w:val="000000"/>
                <w:szCs w:val="20"/>
                <w:lang w:bidi="ar"/>
              </w:rPr>
            </w:pPr>
            <w:r>
              <w:rPr>
                <w:color w:val="000000"/>
                <w:szCs w:val="20"/>
                <w:lang w:bidi="ar"/>
              </w:rPr>
              <w:t>0.008333857</w:t>
            </w:r>
          </w:p>
        </w:tc>
        <w:tc>
          <w:tcPr>
            <w:tcW w:w="1675" w:type="dxa"/>
            <w:vAlign w:val="bottom"/>
          </w:tcPr>
          <w:p>
            <w:pPr>
              <w:spacing w:before="120"/>
              <w:jc w:val="right"/>
              <w:textAlignment w:val="bottom"/>
              <w:rPr>
                <w:color w:val="000000"/>
                <w:szCs w:val="20"/>
                <w:lang w:bidi="ar"/>
              </w:rPr>
            </w:pPr>
            <w:r>
              <w:rPr>
                <w:color w:val="000000"/>
                <w:szCs w:val="20"/>
                <w:lang w:bidi="ar"/>
              </w:rPr>
              <w:t>0.887172673</w:t>
            </w:r>
          </w:p>
        </w:tc>
        <w:tc>
          <w:tcPr>
            <w:tcW w:w="1882" w:type="dxa"/>
            <w:vAlign w:val="bottom"/>
          </w:tcPr>
          <w:p>
            <w:pPr>
              <w:spacing w:before="120"/>
              <w:jc w:val="right"/>
              <w:textAlignment w:val="bottom"/>
              <w:rPr>
                <w:color w:val="000000"/>
                <w:szCs w:val="20"/>
                <w:lang w:bidi="ar"/>
              </w:rPr>
            </w:pPr>
            <w:r>
              <w:rPr>
                <w:color w:val="000000"/>
                <w:szCs w:val="20"/>
                <w:lang w:bidi="ar"/>
              </w:rPr>
              <w:t>0.001040892</w:t>
            </w:r>
          </w:p>
        </w:tc>
        <w:tc>
          <w:tcPr>
            <w:tcW w:w="1675" w:type="dxa"/>
            <w:vAlign w:val="bottom"/>
          </w:tcPr>
          <w:p>
            <w:pPr>
              <w:spacing w:before="120"/>
              <w:jc w:val="right"/>
              <w:textAlignment w:val="bottom"/>
              <w:rPr>
                <w:color w:val="000000"/>
                <w:szCs w:val="20"/>
                <w:lang w:bidi="ar"/>
              </w:rPr>
            </w:pPr>
            <w:r>
              <w:rPr>
                <w:color w:val="000000"/>
                <w:szCs w:val="20"/>
                <w:lang w:bidi="ar"/>
              </w:rPr>
              <w:t>0.872698114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4" w:type="dxa"/>
            <w:vAlign w:val="bottom"/>
          </w:tcPr>
          <w:p>
            <w:pPr>
              <w:spacing w:before="120"/>
              <w:jc w:val="right"/>
              <w:textAlignment w:val="bottom"/>
              <w:rPr>
                <w:szCs w:val="20"/>
              </w:rPr>
            </w:pPr>
            <w:r>
              <w:rPr>
                <w:color w:val="000000"/>
                <w:szCs w:val="20"/>
                <w:lang w:bidi="ar"/>
              </w:rPr>
              <w:t>1200</w:t>
            </w:r>
          </w:p>
        </w:tc>
        <w:tc>
          <w:tcPr>
            <w:tcW w:w="2317" w:type="dxa"/>
            <w:vAlign w:val="bottom"/>
          </w:tcPr>
          <w:p>
            <w:pPr>
              <w:spacing w:before="120"/>
              <w:jc w:val="right"/>
              <w:textAlignment w:val="bottom"/>
              <w:rPr>
                <w:color w:val="000000"/>
                <w:szCs w:val="20"/>
                <w:lang w:bidi="ar"/>
              </w:rPr>
            </w:pPr>
            <w:r>
              <w:rPr>
                <w:color w:val="000000"/>
                <w:szCs w:val="20"/>
                <w:lang w:bidi="ar"/>
              </w:rPr>
              <w:t>0.033332824</w:t>
            </w:r>
          </w:p>
        </w:tc>
        <w:tc>
          <w:tcPr>
            <w:tcW w:w="1675" w:type="dxa"/>
            <w:vAlign w:val="bottom"/>
          </w:tcPr>
          <w:p>
            <w:pPr>
              <w:spacing w:before="120"/>
              <w:jc w:val="right"/>
              <w:textAlignment w:val="bottom"/>
              <w:rPr>
                <w:color w:val="000000"/>
                <w:szCs w:val="20"/>
                <w:lang w:bidi="ar"/>
              </w:rPr>
            </w:pPr>
            <w:r>
              <w:rPr>
                <w:color w:val="000000"/>
                <w:szCs w:val="20"/>
                <w:lang w:bidi="ar"/>
              </w:rPr>
              <w:t>0.885579851</w:t>
            </w:r>
          </w:p>
        </w:tc>
        <w:tc>
          <w:tcPr>
            <w:tcW w:w="1882" w:type="dxa"/>
            <w:vAlign w:val="bottom"/>
          </w:tcPr>
          <w:p>
            <w:pPr>
              <w:spacing w:before="120"/>
              <w:jc w:val="right"/>
              <w:textAlignment w:val="bottom"/>
              <w:rPr>
                <w:color w:val="000000"/>
                <w:szCs w:val="20"/>
                <w:lang w:bidi="ar"/>
              </w:rPr>
            </w:pPr>
            <w:r>
              <w:rPr>
                <w:color w:val="000000"/>
                <w:szCs w:val="20"/>
                <w:lang w:bidi="ar"/>
              </w:rPr>
              <w:t>0.004153177</w:t>
            </w:r>
          </w:p>
        </w:tc>
        <w:tc>
          <w:tcPr>
            <w:tcW w:w="1675" w:type="dxa"/>
            <w:vAlign w:val="bottom"/>
          </w:tcPr>
          <w:p>
            <w:pPr>
              <w:spacing w:before="120"/>
              <w:jc w:val="right"/>
              <w:textAlignment w:val="bottom"/>
              <w:rPr>
                <w:color w:val="000000"/>
                <w:szCs w:val="20"/>
                <w:lang w:bidi="ar"/>
              </w:rPr>
            </w:pPr>
            <w:r>
              <w:rPr>
                <w:color w:val="000000"/>
                <w:szCs w:val="20"/>
                <w:lang w:bidi="ar"/>
              </w:rPr>
              <w:t>0.827951064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4" w:type="dxa"/>
            <w:vAlign w:val="bottom"/>
          </w:tcPr>
          <w:p>
            <w:pPr>
              <w:spacing w:before="120"/>
              <w:jc w:val="right"/>
              <w:textAlignment w:val="bottom"/>
              <w:rPr>
                <w:szCs w:val="20"/>
              </w:rPr>
            </w:pPr>
            <w:r>
              <w:rPr>
                <w:color w:val="000000"/>
                <w:szCs w:val="20"/>
                <w:lang w:bidi="ar"/>
              </w:rPr>
              <w:t>5000</w:t>
            </w:r>
          </w:p>
        </w:tc>
        <w:tc>
          <w:tcPr>
            <w:tcW w:w="2317" w:type="dxa"/>
            <w:vAlign w:val="bottom"/>
          </w:tcPr>
          <w:p>
            <w:pPr>
              <w:spacing w:before="120"/>
              <w:jc w:val="right"/>
              <w:textAlignment w:val="bottom"/>
              <w:rPr>
                <w:color w:val="000000"/>
                <w:szCs w:val="20"/>
                <w:lang w:bidi="ar"/>
              </w:rPr>
            </w:pPr>
            <w:r>
              <w:rPr>
                <w:color w:val="000000"/>
                <w:szCs w:val="20"/>
                <w:lang w:bidi="ar"/>
              </w:rPr>
              <w:t>0.138840961</w:t>
            </w:r>
          </w:p>
        </w:tc>
        <w:tc>
          <w:tcPr>
            <w:tcW w:w="1675" w:type="dxa"/>
            <w:vAlign w:val="bottom"/>
          </w:tcPr>
          <w:p>
            <w:pPr>
              <w:spacing w:before="120"/>
              <w:jc w:val="right"/>
              <w:textAlignment w:val="bottom"/>
              <w:rPr>
                <w:color w:val="000000"/>
                <w:szCs w:val="20"/>
                <w:lang w:bidi="ar"/>
              </w:rPr>
            </w:pPr>
            <w:r>
              <w:rPr>
                <w:color w:val="000000"/>
                <w:szCs w:val="20"/>
                <w:lang w:bidi="ar"/>
              </w:rPr>
              <w:t>0.880754759</w:t>
            </w:r>
          </w:p>
        </w:tc>
        <w:tc>
          <w:tcPr>
            <w:tcW w:w="1882" w:type="dxa"/>
            <w:vAlign w:val="bottom"/>
          </w:tcPr>
          <w:p>
            <w:pPr>
              <w:spacing w:before="120"/>
              <w:jc w:val="right"/>
              <w:textAlignment w:val="bottom"/>
              <w:rPr>
                <w:color w:val="000000"/>
                <w:szCs w:val="20"/>
                <w:lang w:bidi="ar"/>
              </w:rPr>
            </w:pPr>
            <w:r>
              <w:rPr>
                <w:color w:val="000000"/>
                <w:szCs w:val="20"/>
                <w:lang w:bidi="ar"/>
              </w:rPr>
              <w:t>0.017123703</w:t>
            </w:r>
          </w:p>
        </w:tc>
        <w:tc>
          <w:tcPr>
            <w:tcW w:w="1675" w:type="dxa"/>
            <w:vAlign w:val="bottom"/>
          </w:tcPr>
          <w:p>
            <w:pPr>
              <w:spacing w:before="120"/>
              <w:jc w:val="right"/>
              <w:textAlignment w:val="bottom"/>
              <w:rPr>
                <w:color w:val="000000"/>
                <w:szCs w:val="20"/>
                <w:lang w:bidi="ar"/>
              </w:rPr>
            </w:pPr>
            <w:r>
              <w:rPr>
                <w:color w:val="000000"/>
                <w:szCs w:val="20"/>
                <w:lang w:bidi="ar"/>
              </w:rPr>
              <w:t>0.643524555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4" w:type="dxa"/>
            <w:vAlign w:val="bottom"/>
          </w:tcPr>
          <w:p>
            <w:pPr>
              <w:spacing w:before="120"/>
              <w:jc w:val="right"/>
              <w:textAlignment w:val="bottom"/>
              <w:rPr>
                <w:szCs w:val="20"/>
              </w:rPr>
            </w:pPr>
            <w:r>
              <w:rPr>
                <w:color w:val="000000"/>
                <w:szCs w:val="20"/>
                <w:lang w:bidi="ar"/>
              </w:rPr>
              <w:t>10000</w:t>
            </w:r>
          </w:p>
        </w:tc>
        <w:tc>
          <w:tcPr>
            <w:tcW w:w="2317" w:type="dxa"/>
            <w:vAlign w:val="bottom"/>
          </w:tcPr>
          <w:p>
            <w:pPr>
              <w:spacing w:before="120"/>
              <w:jc w:val="right"/>
              <w:textAlignment w:val="bottom"/>
              <w:rPr>
                <w:color w:val="000000"/>
                <w:szCs w:val="20"/>
                <w:lang w:bidi="ar"/>
              </w:rPr>
            </w:pPr>
            <w:r>
              <w:rPr>
                <w:color w:val="000000"/>
                <w:szCs w:val="20"/>
                <w:lang w:bidi="ar"/>
              </w:rPr>
              <w:t>0.277561442</w:t>
            </w:r>
          </w:p>
        </w:tc>
        <w:tc>
          <w:tcPr>
            <w:tcW w:w="1675" w:type="dxa"/>
            <w:vAlign w:val="bottom"/>
          </w:tcPr>
          <w:p>
            <w:pPr>
              <w:spacing w:before="120"/>
              <w:jc w:val="right"/>
              <w:textAlignment w:val="bottom"/>
              <w:rPr>
                <w:color w:val="000000"/>
                <w:szCs w:val="20"/>
                <w:lang w:bidi="ar"/>
              </w:rPr>
            </w:pPr>
            <w:r>
              <w:rPr>
                <w:color w:val="000000"/>
                <w:szCs w:val="20"/>
                <w:lang w:bidi="ar"/>
              </w:rPr>
              <w:t>0.872698114</w:t>
            </w:r>
          </w:p>
        </w:tc>
        <w:tc>
          <w:tcPr>
            <w:tcW w:w="1882" w:type="dxa"/>
            <w:vAlign w:val="bottom"/>
          </w:tcPr>
          <w:p>
            <w:pPr>
              <w:spacing w:before="120"/>
              <w:jc w:val="right"/>
              <w:textAlignment w:val="bottom"/>
              <w:rPr>
                <w:color w:val="000000"/>
                <w:szCs w:val="20"/>
                <w:lang w:bidi="ar"/>
              </w:rPr>
            </w:pPr>
            <w:r>
              <w:rPr>
                <w:color w:val="000000"/>
                <w:szCs w:val="20"/>
                <w:lang w:bidi="ar"/>
              </w:rPr>
              <w:t>0.033778252</w:t>
            </w:r>
          </w:p>
        </w:tc>
        <w:tc>
          <w:tcPr>
            <w:tcW w:w="1675" w:type="dxa"/>
            <w:vAlign w:val="bottom"/>
          </w:tcPr>
          <w:p>
            <w:pPr>
              <w:spacing w:before="120"/>
              <w:jc w:val="right"/>
              <w:textAlignment w:val="bottom"/>
              <w:rPr>
                <w:color w:val="000000"/>
                <w:szCs w:val="20"/>
                <w:lang w:bidi="ar"/>
              </w:rPr>
            </w:pPr>
            <w:r>
              <w:rPr>
                <w:color w:val="000000"/>
                <w:szCs w:val="20"/>
                <w:lang w:bidi="ar"/>
              </w:rPr>
              <w:t>0.415141653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4" w:type="dxa"/>
            <w:vAlign w:val="bottom"/>
          </w:tcPr>
          <w:p>
            <w:pPr>
              <w:spacing w:before="120"/>
              <w:jc w:val="right"/>
              <w:textAlignment w:val="bottom"/>
              <w:rPr>
                <w:szCs w:val="20"/>
              </w:rPr>
            </w:pPr>
            <w:r>
              <w:rPr>
                <w:color w:val="000000"/>
                <w:szCs w:val="20"/>
                <w:lang w:bidi="ar"/>
              </w:rPr>
              <w:t>20000</w:t>
            </w:r>
          </w:p>
        </w:tc>
        <w:tc>
          <w:tcPr>
            <w:tcW w:w="2317" w:type="dxa"/>
            <w:vAlign w:val="bottom"/>
          </w:tcPr>
          <w:p>
            <w:pPr>
              <w:spacing w:before="120"/>
              <w:jc w:val="right"/>
              <w:textAlignment w:val="bottom"/>
              <w:rPr>
                <w:color w:val="000000"/>
                <w:szCs w:val="20"/>
                <w:lang w:bidi="ar"/>
              </w:rPr>
            </w:pPr>
            <w:r>
              <w:rPr>
                <w:color w:val="000000"/>
                <w:szCs w:val="20"/>
                <w:lang w:bidi="ar"/>
              </w:rPr>
              <w:t>0.554641382</w:t>
            </w:r>
          </w:p>
        </w:tc>
        <w:tc>
          <w:tcPr>
            <w:tcW w:w="1675" w:type="dxa"/>
            <w:vAlign w:val="bottom"/>
          </w:tcPr>
          <w:p>
            <w:pPr>
              <w:spacing w:before="120"/>
              <w:jc w:val="right"/>
              <w:textAlignment w:val="bottom"/>
              <w:rPr>
                <w:color w:val="000000"/>
                <w:szCs w:val="20"/>
                <w:lang w:bidi="ar"/>
              </w:rPr>
            </w:pPr>
            <w:r>
              <w:rPr>
                <w:color w:val="000000"/>
                <w:szCs w:val="20"/>
                <w:lang w:bidi="ar"/>
              </w:rPr>
              <w:t>0.856622114</w:t>
            </w:r>
          </w:p>
        </w:tc>
        <w:tc>
          <w:tcPr>
            <w:tcW w:w="1882" w:type="dxa"/>
            <w:vAlign w:val="bottom"/>
          </w:tcPr>
          <w:p>
            <w:pPr>
              <w:spacing w:before="120"/>
              <w:jc w:val="right"/>
              <w:textAlignment w:val="bottom"/>
              <w:rPr>
                <w:color w:val="000000"/>
                <w:szCs w:val="20"/>
                <w:lang w:bidi="ar"/>
              </w:rPr>
            </w:pPr>
            <w:r>
              <w:rPr>
                <w:color w:val="000000"/>
                <w:szCs w:val="20"/>
                <w:lang w:bidi="ar"/>
              </w:rPr>
              <w:t>0.065730951</w:t>
            </w:r>
          </w:p>
        </w:tc>
        <w:tc>
          <w:tcPr>
            <w:tcW w:w="1675" w:type="dxa"/>
            <w:vAlign w:val="bottom"/>
          </w:tcPr>
          <w:p>
            <w:pPr>
              <w:spacing w:before="120"/>
              <w:jc w:val="right"/>
              <w:textAlignment w:val="bottom"/>
              <w:rPr>
                <w:color w:val="000000"/>
                <w:szCs w:val="20"/>
                <w:lang w:bidi="ar"/>
              </w:rPr>
            </w:pPr>
            <w:r>
              <w:rPr>
                <w:rFonts w:hint="eastAsia"/>
                <w:color w:val="000000"/>
                <w:szCs w:val="20"/>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4" w:type="dxa"/>
            <w:vAlign w:val="bottom"/>
          </w:tcPr>
          <w:p>
            <w:pPr>
              <w:spacing w:before="120"/>
              <w:jc w:val="right"/>
              <w:textAlignment w:val="bottom"/>
              <w:rPr>
                <w:szCs w:val="20"/>
              </w:rPr>
            </w:pPr>
            <w:r>
              <w:rPr>
                <w:color w:val="000000"/>
                <w:szCs w:val="20"/>
                <w:lang w:bidi="ar"/>
              </w:rPr>
              <w:t>40000</w:t>
            </w:r>
          </w:p>
        </w:tc>
        <w:tc>
          <w:tcPr>
            <w:tcW w:w="2317" w:type="dxa"/>
            <w:vAlign w:val="bottom"/>
          </w:tcPr>
          <w:p>
            <w:pPr>
              <w:spacing w:before="120"/>
              <w:jc w:val="right"/>
              <w:textAlignment w:val="bottom"/>
              <w:rPr>
                <w:color w:val="000000"/>
                <w:szCs w:val="20"/>
                <w:lang w:bidi="ar"/>
              </w:rPr>
            </w:pPr>
            <w:r>
              <w:rPr>
                <w:color w:val="000000"/>
                <w:szCs w:val="20"/>
                <w:lang w:bidi="ar"/>
              </w:rPr>
              <w:t>1.107360095</w:t>
            </w:r>
          </w:p>
        </w:tc>
        <w:tc>
          <w:tcPr>
            <w:tcW w:w="1675" w:type="dxa"/>
            <w:vAlign w:val="bottom"/>
          </w:tcPr>
          <w:p>
            <w:pPr>
              <w:spacing w:before="120"/>
              <w:jc w:val="right"/>
              <w:textAlignment w:val="bottom"/>
              <w:rPr>
                <w:color w:val="000000"/>
                <w:szCs w:val="20"/>
                <w:lang w:bidi="ar"/>
              </w:rPr>
            </w:pPr>
            <w:r>
              <w:rPr>
                <w:color w:val="000000"/>
                <w:szCs w:val="20"/>
                <w:lang w:bidi="ar"/>
              </w:rPr>
              <w:t>0.824738292</w:t>
            </w:r>
          </w:p>
        </w:tc>
        <w:tc>
          <w:tcPr>
            <w:tcW w:w="1882" w:type="dxa"/>
            <w:vAlign w:val="bottom"/>
          </w:tcPr>
          <w:p>
            <w:pPr>
              <w:spacing w:before="120"/>
              <w:jc w:val="right"/>
              <w:textAlignment w:val="bottom"/>
              <w:rPr>
                <w:color w:val="000000"/>
                <w:szCs w:val="20"/>
                <w:lang w:bidi="ar"/>
              </w:rPr>
            </w:pPr>
            <w:r>
              <w:rPr>
                <w:color w:val="000000"/>
                <w:szCs w:val="20"/>
                <w:lang w:bidi="ar"/>
              </w:rPr>
              <w:t>0.12454901</w:t>
            </w:r>
          </w:p>
        </w:tc>
        <w:tc>
          <w:tcPr>
            <w:tcW w:w="1675" w:type="dxa"/>
            <w:vAlign w:val="bottom"/>
          </w:tcPr>
          <w:p>
            <w:pPr>
              <w:spacing w:before="120"/>
              <w:jc w:val="right"/>
              <w:textAlignment w:val="bottom"/>
              <w:rPr>
                <w:color w:val="000000"/>
                <w:szCs w:val="20"/>
                <w:lang w:bidi="ar"/>
              </w:rPr>
            </w:pPr>
            <w:r>
              <w:rPr>
                <w:rFonts w:hint="eastAsia"/>
                <w:color w:val="000000"/>
                <w:szCs w:val="20"/>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4" w:type="dxa"/>
            <w:vAlign w:val="bottom"/>
          </w:tcPr>
          <w:p>
            <w:pPr>
              <w:spacing w:before="120"/>
              <w:jc w:val="right"/>
              <w:textAlignment w:val="bottom"/>
              <w:rPr>
                <w:szCs w:val="20"/>
              </w:rPr>
            </w:pPr>
            <w:r>
              <w:rPr>
                <w:color w:val="000000"/>
                <w:szCs w:val="20"/>
                <w:lang w:bidi="ar"/>
              </w:rPr>
              <w:t>50000</w:t>
            </w:r>
          </w:p>
        </w:tc>
        <w:tc>
          <w:tcPr>
            <w:tcW w:w="2317" w:type="dxa"/>
            <w:vAlign w:val="bottom"/>
          </w:tcPr>
          <w:p>
            <w:pPr>
              <w:spacing w:before="120"/>
              <w:jc w:val="right"/>
              <w:textAlignment w:val="bottom"/>
              <w:rPr>
                <w:color w:val="000000"/>
                <w:szCs w:val="20"/>
                <w:lang w:bidi="ar"/>
              </w:rPr>
            </w:pPr>
            <w:r>
              <w:rPr>
                <w:color w:val="000000"/>
                <w:szCs w:val="20"/>
                <w:lang w:bidi="ar"/>
              </w:rPr>
              <w:t>1.383000534</w:t>
            </w:r>
          </w:p>
        </w:tc>
        <w:tc>
          <w:tcPr>
            <w:tcW w:w="1675" w:type="dxa"/>
            <w:vAlign w:val="bottom"/>
          </w:tcPr>
          <w:p>
            <w:pPr>
              <w:spacing w:before="120"/>
              <w:jc w:val="right"/>
              <w:textAlignment w:val="bottom"/>
              <w:rPr>
                <w:color w:val="000000"/>
                <w:szCs w:val="20"/>
                <w:lang w:bidi="ar"/>
              </w:rPr>
            </w:pPr>
            <w:r>
              <w:rPr>
                <w:color w:val="000000"/>
                <w:szCs w:val="20"/>
                <w:lang w:bidi="ar"/>
              </w:rPr>
              <w:t>0.810511833</w:t>
            </w:r>
          </w:p>
        </w:tc>
        <w:tc>
          <w:tcPr>
            <w:tcW w:w="1882" w:type="dxa"/>
            <w:vAlign w:val="bottom"/>
          </w:tcPr>
          <w:p>
            <w:pPr>
              <w:spacing w:before="120"/>
              <w:jc w:val="right"/>
              <w:textAlignment w:val="bottom"/>
              <w:rPr>
                <w:color w:val="000000"/>
                <w:szCs w:val="20"/>
                <w:lang w:bidi="ar"/>
              </w:rPr>
            </w:pPr>
            <w:r>
              <w:rPr>
                <w:color w:val="000000"/>
                <w:szCs w:val="20"/>
                <w:lang w:bidi="ar"/>
              </w:rPr>
              <w:t>0.151595985</w:t>
            </w:r>
          </w:p>
        </w:tc>
        <w:tc>
          <w:tcPr>
            <w:tcW w:w="1675" w:type="dxa"/>
            <w:vAlign w:val="bottom"/>
          </w:tcPr>
          <w:p>
            <w:pPr>
              <w:spacing w:before="120"/>
              <w:jc w:val="right"/>
              <w:textAlignment w:val="bottom"/>
              <w:rPr>
                <w:color w:val="000000"/>
                <w:szCs w:val="20"/>
                <w:lang w:bidi="ar"/>
              </w:rPr>
            </w:pPr>
            <w:r>
              <w:rPr>
                <w:rFonts w:hint="eastAsia"/>
                <w:color w:val="000000"/>
                <w:szCs w:val="20"/>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4" w:type="dxa"/>
            <w:vAlign w:val="bottom"/>
          </w:tcPr>
          <w:p>
            <w:pPr>
              <w:spacing w:before="120"/>
              <w:jc w:val="right"/>
              <w:textAlignment w:val="bottom"/>
              <w:rPr>
                <w:szCs w:val="20"/>
              </w:rPr>
            </w:pPr>
            <w:r>
              <w:rPr>
                <w:color w:val="000000"/>
                <w:szCs w:val="20"/>
                <w:lang w:bidi="ar"/>
              </w:rPr>
              <w:t>80000</w:t>
            </w:r>
          </w:p>
        </w:tc>
        <w:tc>
          <w:tcPr>
            <w:tcW w:w="2317" w:type="dxa"/>
            <w:vAlign w:val="bottom"/>
          </w:tcPr>
          <w:p>
            <w:pPr>
              <w:spacing w:before="120"/>
              <w:jc w:val="right"/>
              <w:textAlignment w:val="bottom"/>
              <w:rPr>
                <w:color w:val="000000"/>
                <w:szCs w:val="20"/>
                <w:lang w:bidi="ar"/>
              </w:rPr>
            </w:pPr>
            <w:r>
              <w:rPr>
                <w:color w:val="000000"/>
                <w:szCs w:val="20"/>
                <w:lang w:bidi="ar"/>
              </w:rPr>
              <w:t>2.20705615</w:t>
            </w:r>
          </w:p>
        </w:tc>
        <w:tc>
          <w:tcPr>
            <w:tcW w:w="1675" w:type="dxa"/>
            <w:vAlign w:val="bottom"/>
          </w:tcPr>
          <w:p>
            <w:pPr>
              <w:spacing w:before="120"/>
              <w:jc w:val="right"/>
              <w:textAlignment w:val="bottom"/>
              <w:rPr>
                <w:color w:val="000000"/>
                <w:szCs w:val="20"/>
                <w:lang w:bidi="ar"/>
              </w:rPr>
            </w:pPr>
            <w:r>
              <w:rPr>
                <w:color w:val="000000"/>
                <w:szCs w:val="20"/>
                <w:lang w:bidi="ar"/>
              </w:rPr>
              <w:t>0.763338268</w:t>
            </w:r>
          </w:p>
        </w:tc>
        <w:tc>
          <w:tcPr>
            <w:tcW w:w="1882" w:type="dxa"/>
            <w:vAlign w:val="bottom"/>
          </w:tcPr>
          <w:p>
            <w:pPr>
              <w:spacing w:before="120"/>
              <w:jc w:val="right"/>
              <w:textAlignment w:val="bottom"/>
              <w:rPr>
                <w:color w:val="000000"/>
                <w:szCs w:val="20"/>
                <w:lang w:bidi="ar"/>
              </w:rPr>
            </w:pPr>
            <w:r>
              <w:rPr>
                <w:color w:val="000000"/>
                <w:szCs w:val="20"/>
                <w:lang w:bidi="ar"/>
              </w:rPr>
              <w:t>0.22427809</w:t>
            </w:r>
          </w:p>
        </w:tc>
        <w:tc>
          <w:tcPr>
            <w:tcW w:w="1675" w:type="dxa"/>
            <w:vAlign w:val="bottom"/>
          </w:tcPr>
          <w:p>
            <w:pPr>
              <w:spacing w:before="120"/>
              <w:jc w:val="right"/>
              <w:textAlignment w:val="bottom"/>
              <w:rPr>
                <w:color w:val="000000"/>
                <w:szCs w:val="20"/>
                <w:lang w:bidi="ar"/>
              </w:rPr>
            </w:pPr>
            <w:r>
              <w:rPr>
                <w:rFonts w:hint="eastAsia"/>
                <w:color w:val="000000"/>
                <w:szCs w:val="20"/>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4" w:type="dxa"/>
            <w:vAlign w:val="bottom"/>
          </w:tcPr>
          <w:p>
            <w:pPr>
              <w:spacing w:before="120"/>
              <w:jc w:val="right"/>
              <w:textAlignment w:val="bottom"/>
              <w:rPr>
                <w:color w:val="000000"/>
                <w:szCs w:val="20"/>
                <w:lang w:bidi="ar"/>
              </w:rPr>
            </w:pPr>
            <w:r>
              <w:rPr>
                <w:rFonts w:hint="eastAsia"/>
                <w:color w:val="000000"/>
                <w:szCs w:val="20"/>
                <w:lang w:bidi="ar"/>
              </w:rPr>
              <w:t>100000</w:t>
            </w:r>
          </w:p>
        </w:tc>
        <w:tc>
          <w:tcPr>
            <w:tcW w:w="2317" w:type="dxa"/>
            <w:vAlign w:val="bottom"/>
          </w:tcPr>
          <w:p>
            <w:pPr>
              <w:spacing w:before="120"/>
              <w:jc w:val="right"/>
              <w:textAlignment w:val="bottom"/>
              <w:rPr>
                <w:color w:val="000000"/>
                <w:szCs w:val="20"/>
                <w:lang w:bidi="ar"/>
              </w:rPr>
            </w:pPr>
            <w:r>
              <w:rPr>
                <w:color w:val="000000"/>
                <w:szCs w:val="20"/>
                <w:lang w:bidi="ar"/>
              </w:rPr>
              <w:t>2.754046753</w:t>
            </w:r>
          </w:p>
        </w:tc>
        <w:tc>
          <w:tcPr>
            <w:tcW w:w="1675" w:type="dxa"/>
            <w:vAlign w:val="bottom"/>
          </w:tcPr>
          <w:p>
            <w:pPr>
              <w:spacing w:before="120"/>
              <w:jc w:val="right"/>
              <w:textAlignment w:val="bottom"/>
              <w:rPr>
                <w:color w:val="000000"/>
                <w:szCs w:val="20"/>
                <w:lang w:bidi="ar"/>
              </w:rPr>
            </w:pPr>
            <w:r>
              <w:rPr>
                <w:color w:val="000000"/>
                <w:szCs w:val="20"/>
                <w:lang w:bidi="ar"/>
              </w:rPr>
              <w:t>0.733792877</w:t>
            </w:r>
          </w:p>
        </w:tc>
        <w:tc>
          <w:tcPr>
            <w:tcW w:w="1882" w:type="dxa"/>
            <w:vAlign w:val="bottom"/>
          </w:tcPr>
          <w:p>
            <w:pPr>
              <w:spacing w:before="120"/>
              <w:jc w:val="right"/>
              <w:textAlignment w:val="bottom"/>
              <w:rPr>
                <w:color w:val="000000"/>
                <w:szCs w:val="20"/>
                <w:lang w:bidi="ar"/>
              </w:rPr>
            </w:pPr>
            <w:r>
              <w:rPr>
                <w:color w:val="000000"/>
                <w:szCs w:val="20"/>
                <w:lang w:bidi="ar"/>
              </w:rPr>
              <w:t>0.266421822</w:t>
            </w:r>
          </w:p>
        </w:tc>
        <w:tc>
          <w:tcPr>
            <w:tcW w:w="1675" w:type="dxa"/>
            <w:vAlign w:val="bottom"/>
          </w:tcPr>
          <w:p>
            <w:pPr>
              <w:spacing w:before="120"/>
              <w:jc w:val="right"/>
              <w:textAlignment w:val="bottom"/>
              <w:rPr>
                <w:color w:val="000000"/>
                <w:szCs w:val="20"/>
                <w:lang w:bidi="ar"/>
              </w:rPr>
            </w:pPr>
            <w:r>
              <w:rPr>
                <w:rFonts w:hint="eastAsia"/>
                <w:color w:val="000000"/>
                <w:szCs w:val="20"/>
                <w:lang w:bidi="ar"/>
              </w:rPr>
              <w:t>0</w:t>
            </w:r>
          </w:p>
        </w:tc>
      </w:tr>
    </w:tbl>
    <w:p>
      <w:pPr>
        <w:spacing w:before="120" w:afterLines="50" w:line="276" w:lineRule="auto"/>
      </w:pPr>
    </w:p>
    <w:p>
      <w:pPr>
        <w:spacing w:before="120" w:afterLines="50" w:line="276" w:lineRule="auto"/>
        <w:jc w:val="center"/>
      </w:pPr>
      <w:r>
        <w:rPr>
          <w:rFonts w:hint="eastAsia"/>
        </w:rPr>
        <w:t>Table 6. System overhead and PSG based on {</w:t>
      </w:r>
      <w:r>
        <w:rPr>
          <w:rFonts w:hint="eastAsia"/>
          <w:color w:val="000000"/>
          <w:szCs w:val="20"/>
          <w:lang w:bidi="ar"/>
        </w:rPr>
        <w:t>F=16, O=4, p=0.001}</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4"/>
        <w:gridCol w:w="2317"/>
        <w:gridCol w:w="1675"/>
        <w:gridCol w:w="1882"/>
        <w:gridCol w:w="1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4" w:type="dxa"/>
            <w:vAlign w:val="bottom"/>
          </w:tcPr>
          <w:p>
            <w:pPr>
              <w:spacing w:before="120"/>
              <w:jc w:val="left"/>
              <w:textAlignment w:val="bottom"/>
              <w:rPr>
                <w:color w:val="000000"/>
                <w:szCs w:val="20"/>
                <w:lang w:bidi="ar"/>
              </w:rPr>
            </w:pPr>
          </w:p>
        </w:tc>
        <w:tc>
          <w:tcPr>
            <w:tcW w:w="3992" w:type="dxa"/>
            <w:gridSpan w:val="2"/>
            <w:vAlign w:val="bottom"/>
          </w:tcPr>
          <w:p>
            <w:pPr>
              <w:spacing w:before="120"/>
              <w:jc w:val="center"/>
              <w:textAlignment w:val="bottom"/>
              <w:rPr>
                <w:color w:val="000000"/>
                <w:szCs w:val="20"/>
                <w:lang w:bidi="ar"/>
              </w:rPr>
            </w:pPr>
            <w:r>
              <w:rPr>
                <w:rFonts w:hint="eastAsia"/>
                <w:color w:val="000000"/>
                <w:szCs w:val="20"/>
                <w:lang w:bidi="ar"/>
              </w:rPr>
              <w:t>256 subgroups</w:t>
            </w:r>
          </w:p>
        </w:tc>
        <w:tc>
          <w:tcPr>
            <w:tcW w:w="3557" w:type="dxa"/>
            <w:gridSpan w:val="2"/>
            <w:vAlign w:val="bottom"/>
          </w:tcPr>
          <w:p>
            <w:pPr>
              <w:spacing w:before="120"/>
              <w:jc w:val="center"/>
              <w:textAlignment w:val="bottom"/>
              <w:rPr>
                <w:color w:val="000000"/>
                <w:szCs w:val="20"/>
                <w:lang w:bidi="ar"/>
              </w:rPr>
            </w:pPr>
            <w:r>
              <w:rPr>
                <w:rFonts w:hint="eastAsia"/>
                <w:color w:val="000000"/>
                <w:szCs w:val="20"/>
                <w:lang w:bidi="ar"/>
              </w:rPr>
              <w:t>8subgroups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4" w:type="dxa"/>
            <w:vAlign w:val="bottom"/>
          </w:tcPr>
          <w:p>
            <w:pPr>
              <w:spacing w:before="120"/>
              <w:jc w:val="left"/>
              <w:textAlignment w:val="bottom"/>
              <w:rPr>
                <w:szCs w:val="20"/>
              </w:rPr>
            </w:pPr>
            <w:r>
              <w:rPr>
                <w:color w:val="000000"/>
                <w:szCs w:val="20"/>
                <w:lang w:bidi="ar"/>
              </w:rPr>
              <w:t>number of UEs per cell</w:t>
            </w:r>
          </w:p>
        </w:tc>
        <w:tc>
          <w:tcPr>
            <w:tcW w:w="2317" w:type="dxa"/>
            <w:vAlign w:val="bottom"/>
          </w:tcPr>
          <w:p>
            <w:pPr>
              <w:spacing w:before="120"/>
              <w:jc w:val="left"/>
              <w:textAlignment w:val="bottom"/>
              <w:rPr>
                <w:szCs w:val="20"/>
              </w:rPr>
            </w:pPr>
            <w:r>
              <w:rPr>
                <w:color w:val="000000"/>
                <w:szCs w:val="20"/>
                <w:lang w:bidi="ar"/>
              </w:rPr>
              <w:t>system overhead(%)</w:t>
            </w:r>
            <w:r>
              <w:rPr>
                <w:rFonts w:hint="eastAsia"/>
                <w:color w:val="000000"/>
                <w:szCs w:val="20"/>
                <w:lang w:bidi="ar"/>
              </w:rPr>
              <w:t xml:space="preserve"> </w:t>
            </w:r>
          </w:p>
        </w:tc>
        <w:tc>
          <w:tcPr>
            <w:tcW w:w="1675" w:type="dxa"/>
            <w:vAlign w:val="bottom"/>
          </w:tcPr>
          <w:p>
            <w:pPr>
              <w:spacing w:before="120"/>
              <w:jc w:val="right"/>
              <w:textAlignment w:val="bottom"/>
              <w:rPr>
                <w:color w:val="000000"/>
                <w:szCs w:val="20"/>
                <w:lang w:bidi="ar"/>
              </w:rPr>
            </w:pPr>
            <w:r>
              <w:rPr>
                <w:rFonts w:hint="eastAsia"/>
                <w:color w:val="000000"/>
                <w:szCs w:val="20"/>
                <w:lang w:bidi="ar"/>
              </w:rPr>
              <w:t>PSG compared with legacy with PEI</w:t>
            </w:r>
          </w:p>
        </w:tc>
        <w:tc>
          <w:tcPr>
            <w:tcW w:w="1882" w:type="dxa"/>
            <w:vAlign w:val="bottom"/>
          </w:tcPr>
          <w:p>
            <w:pPr>
              <w:spacing w:before="120"/>
              <w:jc w:val="left"/>
              <w:textAlignment w:val="bottom"/>
              <w:rPr>
                <w:szCs w:val="20"/>
              </w:rPr>
            </w:pPr>
            <w:r>
              <w:rPr>
                <w:color w:val="000000"/>
                <w:szCs w:val="20"/>
                <w:lang w:bidi="ar"/>
              </w:rPr>
              <w:t>system overhead(%)</w:t>
            </w:r>
            <w:r>
              <w:rPr>
                <w:rFonts w:hint="eastAsia"/>
                <w:color w:val="000000"/>
                <w:szCs w:val="20"/>
                <w:lang w:bidi="ar"/>
              </w:rPr>
              <w:t xml:space="preserve"> </w:t>
            </w:r>
          </w:p>
        </w:tc>
        <w:tc>
          <w:tcPr>
            <w:tcW w:w="1675" w:type="dxa"/>
            <w:vAlign w:val="bottom"/>
          </w:tcPr>
          <w:p>
            <w:pPr>
              <w:spacing w:before="120"/>
              <w:jc w:val="left"/>
              <w:textAlignment w:val="bottom"/>
              <w:rPr>
                <w:szCs w:val="20"/>
              </w:rPr>
            </w:pPr>
            <w:r>
              <w:rPr>
                <w:rFonts w:hint="eastAsia"/>
                <w:color w:val="000000"/>
                <w:szCs w:val="20"/>
                <w:lang w:bidi="ar"/>
              </w:rPr>
              <w:t>PSG compared with legacy with PEI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4" w:type="dxa"/>
            <w:vAlign w:val="bottom"/>
          </w:tcPr>
          <w:p>
            <w:pPr>
              <w:spacing w:before="120"/>
              <w:jc w:val="right"/>
              <w:textAlignment w:val="bottom"/>
              <w:rPr>
                <w:szCs w:val="20"/>
              </w:rPr>
            </w:pPr>
            <w:r>
              <w:rPr>
                <w:color w:val="000000"/>
                <w:szCs w:val="20"/>
                <w:lang w:bidi="ar"/>
              </w:rPr>
              <w:t>300</w:t>
            </w:r>
          </w:p>
        </w:tc>
        <w:tc>
          <w:tcPr>
            <w:tcW w:w="2317" w:type="dxa"/>
            <w:vAlign w:val="bottom"/>
          </w:tcPr>
          <w:p>
            <w:pPr>
              <w:spacing w:before="120"/>
              <w:jc w:val="right"/>
              <w:textAlignment w:val="bottom"/>
              <w:rPr>
                <w:color w:val="000000"/>
                <w:szCs w:val="20"/>
                <w:lang w:bidi="ar"/>
              </w:rPr>
            </w:pPr>
            <w:r>
              <w:rPr>
                <w:color w:val="000000"/>
                <w:szCs w:val="20"/>
                <w:lang w:bidi="ar"/>
              </w:rPr>
              <w:t>0.008334061</w:t>
            </w:r>
          </w:p>
        </w:tc>
        <w:tc>
          <w:tcPr>
            <w:tcW w:w="1675" w:type="dxa"/>
            <w:vAlign w:val="bottom"/>
          </w:tcPr>
          <w:p>
            <w:pPr>
              <w:spacing w:before="120"/>
              <w:jc w:val="right"/>
              <w:textAlignment w:val="bottom"/>
              <w:rPr>
                <w:color w:val="000000"/>
                <w:szCs w:val="20"/>
                <w:lang w:bidi="ar"/>
              </w:rPr>
            </w:pPr>
            <w:r>
              <w:rPr>
                <w:color w:val="000000"/>
                <w:szCs w:val="20"/>
                <w:lang w:bidi="ar"/>
              </w:rPr>
              <w:t>0.887172673</w:t>
            </w:r>
          </w:p>
        </w:tc>
        <w:tc>
          <w:tcPr>
            <w:tcW w:w="1882" w:type="dxa"/>
            <w:vAlign w:val="bottom"/>
          </w:tcPr>
          <w:p>
            <w:pPr>
              <w:spacing w:before="120"/>
              <w:jc w:val="right"/>
              <w:textAlignment w:val="bottom"/>
              <w:rPr>
                <w:color w:val="000000"/>
                <w:szCs w:val="20"/>
                <w:lang w:bidi="ar"/>
              </w:rPr>
            </w:pPr>
            <w:r>
              <w:rPr>
                <w:color w:val="000000"/>
                <w:szCs w:val="20"/>
                <w:lang w:bidi="ar"/>
              </w:rPr>
              <w:t>0.001041705</w:t>
            </w:r>
          </w:p>
        </w:tc>
        <w:tc>
          <w:tcPr>
            <w:tcW w:w="1675" w:type="dxa"/>
            <w:vAlign w:val="bottom"/>
          </w:tcPr>
          <w:p>
            <w:pPr>
              <w:spacing w:before="120"/>
              <w:jc w:val="right"/>
              <w:textAlignment w:val="bottom"/>
              <w:rPr>
                <w:color w:val="000000"/>
                <w:szCs w:val="20"/>
                <w:lang w:bidi="ar"/>
              </w:rPr>
            </w:pPr>
            <w:r>
              <w:rPr>
                <w:color w:val="000000"/>
                <w:szCs w:val="20"/>
                <w:lang w:bidi="ar"/>
              </w:rPr>
              <w:t>0.887172673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4" w:type="dxa"/>
            <w:vAlign w:val="bottom"/>
          </w:tcPr>
          <w:p>
            <w:pPr>
              <w:spacing w:before="120"/>
              <w:jc w:val="right"/>
              <w:textAlignment w:val="bottom"/>
              <w:rPr>
                <w:szCs w:val="20"/>
              </w:rPr>
            </w:pPr>
            <w:r>
              <w:rPr>
                <w:color w:val="000000"/>
                <w:szCs w:val="20"/>
                <w:lang w:bidi="ar"/>
              </w:rPr>
              <w:t>1200</w:t>
            </w:r>
          </w:p>
        </w:tc>
        <w:tc>
          <w:tcPr>
            <w:tcW w:w="2317" w:type="dxa"/>
            <w:vAlign w:val="bottom"/>
          </w:tcPr>
          <w:p>
            <w:pPr>
              <w:spacing w:before="120"/>
              <w:jc w:val="right"/>
              <w:textAlignment w:val="bottom"/>
              <w:rPr>
                <w:color w:val="000000"/>
                <w:szCs w:val="20"/>
                <w:lang w:bidi="ar"/>
              </w:rPr>
            </w:pPr>
            <w:r>
              <w:rPr>
                <w:color w:val="000000"/>
                <w:szCs w:val="20"/>
                <w:lang w:bidi="ar"/>
              </w:rPr>
              <w:t>0.03333608</w:t>
            </w:r>
          </w:p>
        </w:tc>
        <w:tc>
          <w:tcPr>
            <w:tcW w:w="1675" w:type="dxa"/>
            <w:vAlign w:val="bottom"/>
          </w:tcPr>
          <w:p>
            <w:pPr>
              <w:spacing w:before="120"/>
              <w:jc w:val="right"/>
              <w:textAlignment w:val="bottom"/>
              <w:rPr>
                <w:color w:val="000000"/>
                <w:szCs w:val="20"/>
                <w:lang w:bidi="ar"/>
              </w:rPr>
            </w:pPr>
            <w:r>
              <w:rPr>
                <w:color w:val="000000"/>
                <w:szCs w:val="20"/>
                <w:lang w:bidi="ar"/>
              </w:rPr>
              <w:t>0.887172673</w:t>
            </w:r>
          </w:p>
        </w:tc>
        <w:tc>
          <w:tcPr>
            <w:tcW w:w="1882" w:type="dxa"/>
            <w:vAlign w:val="bottom"/>
          </w:tcPr>
          <w:p>
            <w:pPr>
              <w:spacing w:before="120"/>
              <w:jc w:val="right"/>
              <w:textAlignment w:val="bottom"/>
              <w:rPr>
                <w:color w:val="000000"/>
                <w:szCs w:val="20"/>
                <w:lang w:bidi="ar"/>
              </w:rPr>
            </w:pPr>
            <w:r>
              <w:rPr>
                <w:color w:val="000000"/>
                <w:szCs w:val="20"/>
                <w:lang w:bidi="ar"/>
              </w:rPr>
              <w:t>0.004166169</w:t>
            </w:r>
          </w:p>
        </w:tc>
        <w:tc>
          <w:tcPr>
            <w:tcW w:w="1675" w:type="dxa"/>
            <w:vAlign w:val="bottom"/>
          </w:tcPr>
          <w:p>
            <w:pPr>
              <w:spacing w:before="120"/>
              <w:jc w:val="right"/>
              <w:textAlignment w:val="bottom"/>
              <w:rPr>
                <w:color w:val="000000"/>
                <w:szCs w:val="20"/>
                <w:lang w:bidi="ar"/>
              </w:rPr>
            </w:pPr>
            <w:r>
              <w:rPr>
                <w:color w:val="000000"/>
                <w:szCs w:val="20"/>
                <w:lang w:bidi="ar"/>
              </w:rPr>
              <w:t>0.883938455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4" w:type="dxa"/>
            <w:vAlign w:val="bottom"/>
          </w:tcPr>
          <w:p>
            <w:pPr>
              <w:spacing w:before="120"/>
              <w:jc w:val="right"/>
              <w:textAlignment w:val="bottom"/>
              <w:rPr>
                <w:szCs w:val="20"/>
              </w:rPr>
            </w:pPr>
            <w:r>
              <w:rPr>
                <w:color w:val="000000"/>
                <w:szCs w:val="20"/>
                <w:lang w:bidi="ar"/>
              </w:rPr>
              <w:t>5000</w:t>
            </w:r>
          </w:p>
        </w:tc>
        <w:tc>
          <w:tcPr>
            <w:tcW w:w="2317" w:type="dxa"/>
            <w:vAlign w:val="bottom"/>
          </w:tcPr>
          <w:p>
            <w:pPr>
              <w:spacing w:before="120"/>
              <w:jc w:val="right"/>
              <w:textAlignment w:val="bottom"/>
              <w:rPr>
                <w:color w:val="000000"/>
                <w:szCs w:val="20"/>
                <w:lang w:bidi="ar"/>
              </w:rPr>
            </w:pPr>
            <w:r>
              <w:rPr>
                <w:color w:val="000000"/>
                <w:szCs w:val="20"/>
                <w:lang w:bidi="ar"/>
              </w:rPr>
              <w:t>0.138897468</w:t>
            </w:r>
          </w:p>
        </w:tc>
        <w:tc>
          <w:tcPr>
            <w:tcW w:w="1675" w:type="dxa"/>
            <w:vAlign w:val="bottom"/>
          </w:tcPr>
          <w:p>
            <w:pPr>
              <w:spacing w:before="120"/>
              <w:jc w:val="right"/>
              <w:textAlignment w:val="bottom"/>
              <w:rPr>
                <w:color w:val="000000"/>
                <w:szCs w:val="20"/>
                <w:lang w:bidi="ar"/>
              </w:rPr>
            </w:pPr>
            <w:r>
              <w:rPr>
                <w:color w:val="000000"/>
                <w:szCs w:val="20"/>
                <w:lang w:bidi="ar"/>
              </w:rPr>
              <w:t>0.887172673</w:t>
            </w:r>
          </w:p>
        </w:tc>
        <w:tc>
          <w:tcPr>
            <w:tcW w:w="1882" w:type="dxa"/>
            <w:vAlign w:val="bottom"/>
          </w:tcPr>
          <w:p>
            <w:pPr>
              <w:spacing w:before="120"/>
              <w:jc w:val="right"/>
              <w:textAlignment w:val="bottom"/>
              <w:rPr>
                <w:color w:val="000000"/>
                <w:szCs w:val="20"/>
                <w:lang w:bidi="ar"/>
              </w:rPr>
            </w:pPr>
            <w:r>
              <w:rPr>
                <w:color w:val="000000"/>
                <w:szCs w:val="20"/>
                <w:lang w:bidi="ar"/>
              </w:rPr>
              <w:t>0.01734759</w:t>
            </w:r>
          </w:p>
        </w:tc>
        <w:tc>
          <w:tcPr>
            <w:tcW w:w="1675" w:type="dxa"/>
            <w:vAlign w:val="bottom"/>
          </w:tcPr>
          <w:p>
            <w:pPr>
              <w:spacing w:before="120"/>
              <w:jc w:val="right"/>
              <w:textAlignment w:val="bottom"/>
              <w:rPr>
                <w:color w:val="000000"/>
                <w:szCs w:val="20"/>
                <w:lang w:bidi="ar"/>
              </w:rPr>
            </w:pPr>
            <w:r>
              <w:rPr>
                <w:color w:val="000000"/>
                <w:szCs w:val="20"/>
                <w:lang w:bidi="ar"/>
              </w:rPr>
              <w:t>0.872698114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4" w:type="dxa"/>
            <w:vAlign w:val="bottom"/>
          </w:tcPr>
          <w:p>
            <w:pPr>
              <w:spacing w:before="120"/>
              <w:jc w:val="right"/>
              <w:textAlignment w:val="bottom"/>
              <w:rPr>
                <w:szCs w:val="20"/>
              </w:rPr>
            </w:pPr>
            <w:r>
              <w:rPr>
                <w:color w:val="000000"/>
                <w:szCs w:val="20"/>
                <w:lang w:bidi="ar"/>
              </w:rPr>
              <w:t>10000</w:t>
            </w:r>
          </w:p>
        </w:tc>
        <w:tc>
          <w:tcPr>
            <w:tcW w:w="2317" w:type="dxa"/>
            <w:vAlign w:val="bottom"/>
          </w:tcPr>
          <w:p>
            <w:pPr>
              <w:spacing w:before="120"/>
              <w:jc w:val="right"/>
              <w:textAlignment w:val="bottom"/>
              <w:rPr>
                <w:color w:val="000000"/>
                <w:szCs w:val="20"/>
                <w:lang w:bidi="ar"/>
              </w:rPr>
            </w:pPr>
            <w:r>
              <w:rPr>
                <w:color w:val="000000"/>
                <w:szCs w:val="20"/>
                <w:lang w:bidi="ar"/>
              </w:rPr>
              <w:t>0.2777874</w:t>
            </w:r>
          </w:p>
        </w:tc>
        <w:tc>
          <w:tcPr>
            <w:tcW w:w="1675" w:type="dxa"/>
            <w:vAlign w:val="bottom"/>
          </w:tcPr>
          <w:p>
            <w:pPr>
              <w:spacing w:before="120"/>
              <w:jc w:val="right"/>
              <w:textAlignment w:val="bottom"/>
              <w:rPr>
                <w:color w:val="000000"/>
                <w:szCs w:val="20"/>
                <w:lang w:bidi="ar"/>
              </w:rPr>
            </w:pPr>
            <w:r>
              <w:rPr>
                <w:color w:val="000000"/>
                <w:szCs w:val="20"/>
                <w:lang w:bidi="ar"/>
              </w:rPr>
              <w:t>0.887172673</w:t>
            </w:r>
          </w:p>
        </w:tc>
        <w:tc>
          <w:tcPr>
            <w:tcW w:w="1882" w:type="dxa"/>
            <w:vAlign w:val="bottom"/>
          </w:tcPr>
          <w:p>
            <w:pPr>
              <w:spacing w:before="120"/>
              <w:jc w:val="right"/>
              <w:textAlignment w:val="bottom"/>
              <w:rPr>
                <w:color w:val="000000"/>
                <w:szCs w:val="20"/>
                <w:lang w:bidi="ar"/>
              </w:rPr>
            </w:pPr>
            <w:r>
              <w:rPr>
                <w:color w:val="000000"/>
                <w:szCs w:val="20"/>
                <w:lang w:bidi="ar"/>
              </w:rPr>
              <w:t>0.034665086</w:t>
            </w:r>
          </w:p>
        </w:tc>
        <w:tc>
          <w:tcPr>
            <w:tcW w:w="1675" w:type="dxa"/>
            <w:vAlign w:val="bottom"/>
          </w:tcPr>
          <w:p>
            <w:pPr>
              <w:spacing w:before="120"/>
              <w:jc w:val="right"/>
              <w:textAlignment w:val="bottom"/>
              <w:rPr>
                <w:color w:val="000000"/>
                <w:szCs w:val="20"/>
                <w:lang w:bidi="ar"/>
              </w:rPr>
            </w:pPr>
            <w:r>
              <w:rPr>
                <w:color w:val="000000"/>
                <w:szCs w:val="20"/>
                <w:lang w:bidi="ar"/>
              </w:rPr>
              <w:t>0.856622114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4" w:type="dxa"/>
            <w:vAlign w:val="bottom"/>
          </w:tcPr>
          <w:p>
            <w:pPr>
              <w:spacing w:before="120"/>
              <w:jc w:val="right"/>
              <w:textAlignment w:val="bottom"/>
              <w:rPr>
                <w:szCs w:val="20"/>
              </w:rPr>
            </w:pPr>
            <w:r>
              <w:rPr>
                <w:color w:val="000000"/>
                <w:szCs w:val="20"/>
                <w:lang w:bidi="ar"/>
              </w:rPr>
              <w:t>20000</w:t>
            </w:r>
          </w:p>
        </w:tc>
        <w:tc>
          <w:tcPr>
            <w:tcW w:w="2317" w:type="dxa"/>
            <w:vAlign w:val="bottom"/>
          </w:tcPr>
          <w:p>
            <w:pPr>
              <w:spacing w:before="120"/>
              <w:jc w:val="right"/>
              <w:textAlignment w:val="bottom"/>
              <w:rPr>
                <w:color w:val="000000"/>
                <w:szCs w:val="20"/>
                <w:lang w:bidi="ar"/>
              </w:rPr>
            </w:pPr>
            <w:r>
              <w:rPr>
                <w:color w:val="000000"/>
                <w:szCs w:val="20"/>
                <w:lang w:bidi="ar"/>
              </w:rPr>
              <w:t>0.555544656</w:t>
            </w:r>
          </w:p>
        </w:tc>
        <w:tc>
          <w:tcPr>
            <w:tcW w:w="1675" w:type="dxa"/>
            <w:vAlign w:val="bottom"/>
          </w:tcPr>
          <w:p>
            <w:pPr>
              <w:spacing w:before="120"/>
              <w:jc w:val="right"/>
              <w:textAlignment w:val="bottom"/>
              <w:rPr>
                <w:color w:val="000000"/>
                <w:szCs w:val="20"/>
                <w:lang w:bidi="ar"/>
              </w:rPr>
            </w:pPr>
            <w:r>
              <w:rPr>
                <w:color w:val="000000"/>
                <w:szCs w:val="20"/>
                <w:lang w:bidi="ar"/>
              </w:rPr>
              <w:t>0.885579851</w:t>
            </w:r>
          </w:p>
        </w:tc>
        <w:tc>
          <w:tcPr>
            <w:tcW w:w="1882" w:type="dxa"/>
            <w:vAlign w:val="bottom"/>
          </w:tcPr>
          <w:p>
            <w:pPr>
              <w:spacing w:before="120"/>
              <w:jc w:val="right"/>
              <w:textAlignment w:val="bottom"/>
              <w:rPr>
                <w:color w:val="000000"/>
                <w:szCs w:val="20"/>
                <w:lang w:bidi="ar"/>
              </w:rPr>
            </w:pPr>
            <w:r>
              <w:rPr>
                <w:color w:val="000000"/>
                <w:szCs w:val="20"/>
                <w:lang w:bidi="ar"/>
              </w:rPr>
              <w:t>0.069210006</w:t>
            </w:r>
          </w:p>
        </w:tc>
        <w:tc>
          <w:tcPr>
            <w:tcW w:w="1675" w:type="dxa"/>
            <w:vAlign w:val="bottom"/>
          </w:tcPr>
          <w:p>
            <w:pPr>
              <w:spacing w:before="120"/>
              <w:jc w:val="right"/>
              <w:textAlignment w:val="bottom"/>
              <w:rPr>
                <w:color w:val="000000"/>
                <w:szCs w:val="20"/>
                <w:lang w:bidi="ar"/>
              </w:rPr>
            </w:pPr>
            <w:r>
              <w:rPr>
                <w:color w:val="000000"/>
                <w:szCs w:val="20"/>
                <w:lang w:bidi="ar"/>
              </w:rPr>
              <w:t>0.824738292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4" w:type="dxa"/>
            <w:vAlign w:val="bottom"/>
          </w:tcPr>
          <w:p>
            <w:pPr>
              <w:spacing w:before="120"/>
              <w:jc w:val="right"/>
              <w:textAlignment w:val="bottom"/>
              <w:rPr>
                <w:szCs w:val="20"/>
              </w:rPr>
            </w:pPr>
            <w:r>
              <w:rPr>
                <w:color w:val="000000"/>
                <w:szCs w:val="20"/>
                <w:lang w:bidi="ar"/>
              </w:rPr>
              <w:t>40000</w:t>
            </w:r>
          </w:p>
        </w:tc>
        <w:tc>
          <w:tcPr>
            <w:tcW w:w="2317" w:type="dxa"/>
            <w:vAlign w:val="bottom"/>
          </w:tcPr>
          <w:p>
            <w:pPr>
              <w:spacing w:before="120"/>
              <w:jc w:val="right"/>
              <w:textAlignment w:val="bottom"/>
              <w:rPr>
                <w:color w:val="000000"/>
                <w:szCs w:val="20"/>
                <w:lang w:bidi="ar"/>
              </w:rPr>
            </w:pPr>
            <w:r>
              <w:rPr>
                <w:color w:val="000000"/>
                <w:szCs w:val="20"/>
                <w:lang w:bidi="ar"/>
              </w:rPr>
              <w:t>1.110968754</w:t>
            </w:r>
          </w:p>
        </w:tc>
        <w:tc>
          <w:tcPr>
            <w:tcW w:w="1675" w:type="dxa"/>
            <w:vAlign w:val="bottom"/>
          </w:tcPr>
          <w:p>
            <w:pPr>
              <w:spacing w:before="120"/>
              <w:jc w:val="right"/>
              <w:textAlignment w:val="bottom"/>
              <w:rPr>
                <w:color w:val="000000"/>
                <w:szCs w:val="20"/>
                <w:lang w:bidi="ar"/>
              </w:rPr>
            </w:pPr>
            <w:r>
              <w:rPr>
                <w:color w:val="000000"/>
                <w:szCs w:val="20"/>
                <w:lang w:bidi="ar"/>
              </w:rPr>
              <w:t>0.883938455</w:t>
            </w:r>
          </w:p>
        </w:tc>
        <w:tc>
          <w:tcPr>
            <w:tcW w:w="1882" w:type="dxa"/>
            <w:vAlign w:val="bottom"/>
          </w:tcPr>
          <w:p>
            <w:pPr>
              <w:spacing w:before="120"/>
              <w:jc w:val="right"/>
              <w:textAlignment w:val="bottom"/>
              <w:rPr>
                <w:color w:val="000000"/>
                <w:szCs w:val="20"/>
                <w:lang w:bidi="ar"/>
              </w:rPr>
            </w:pPr>
            <w:r>
              <w:rPr>
                <w:color w:val="000000"/>
                <w:szCs w:val="20"/>
                <w:lang w:bidi="ar"/>
              </w:rPr>
              <w:t>0.137941009</w:t>
            </w:r>
          </w:p>
        </w:tc>
        <w:tc>
          <w:tcPr>
            <w:tcW w:w="1675" w:type="dxa"/>
            <w:vAlign w:val="bottom"/>
          </w:tcPr>
          <w:p>
            <w:pPr>
              <w:spacing w:before="120"/>
              <w:jc w:val="right"/>
              <w:textAlignment w:val="bottom"/>
              <w:rPr>
                <w:color w:val="000000"/>
                <w:szCs w:val="20"/>
                <w:lang w:bidi="ar"/>
              </w:rPr>
            </w:pPr>
            <w:r>
              <w:rPr>
                <w:color w:val="000000"/>
                <w:szCs w:val="20"/>
                <w:lang w:bidi="ar"/>
              </w:rPr>
              <w:t>0.763338268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4" w:type="dxa"/>
            <w:vAlign w:val="bottom"/>
          </w:tcPr>
          <w:p>
            <w:pPr>
              <w:spacing w:before="120"/>
              <w:jc w:val="right"/>
              <w:textAlignment w:val="bottom"/>
              <w:rPr>
                <w:szCs w:val="20"/>
              </w:rPr>
            </w:pPr>
            <w:r>
              <w:rPr>
                <w:color w:val="000000"/>
                <w:szCs w:val="20"/>
                <w:lang w:bidi="ar"/>
              </w:rPr>
              <w:t>50000</w:t>
            </w:r>
          </w:p>
        </w:tc>
        <w:tc>
          <w:tcPr>
            <w:tcW w:w="2317" w:type="dxa"/>
            <w:vAlign w:val="bottom"/>
          </w:tcPr>
          <w:p>
            <w:pPr>
              <w:spacing w:before="120"/>
              <w:jc w:val="right"/>
              <w:textAlignment w:val="bottom"/>
              <w:rPr>
                <w:color w:val="000000"/>
                <w:szCs w:val="20"/>
                <w:lang w:bidi="ar"/>
              </w:rPr>
            </w:pPr>
            <w:r>
              <w:rPr>
                <w:color w:val="000000"/>
                <w:szCs w:val="20"/>
                <w:lang w:bidi="ar"/>
              </w:rPr>
              <w:t>1.388635601</w:t>
            </w:r>
          </w:p>
        </w:tc>
        <w:tc>
          <w:tcPr>
            <w:tcW w:w="1675" w:type="dxa"/>
            <w:vAlign w:val="bottom"/>
          </w:tcPr>
          <w:p>
            <w:pPr>
              <w:spacing w:before="120"/>
              <w:jc w:val="right"/>
              <w:textAlignment w:val="bottom"/>
              <w:rPr>
                <w:color w:val="000000"/>
                <w:szCs w:val="20"/>
              </w:rPr>
            </w:pPr>
            <w:r>
              <w:rPr>
                <w:color w:val="000000"/>
                <w:szCs w:val="20"/>
                <w:lang w:bidi="ar"/>
              </w:rPr>
              <w:t>0.8823466</w:t>
            </w:r>
            <w:r>
              <w:rPr>
                <w:rFonts w:hint="eastAsia"/>
                <w:color w:val="000000"/>
                <w:szCs w:val="20"/>
                <w:lang w:bidi="ar"/>
              </w:rPr>
              <w:t>15</w:t>
            </w:r>
          </w:p>
        </w:tc>
        <w:tc>
          <w:tcPr>
            <w:tcW w:w="1882" w:type="dxa"/>
            <w:vAlign w:val="bottom"/>
          </w:tcPr>
          <w:p>
            <w:pPr>
              <w:spacing w:before="120"/>
              <w:jc w:val="right"/>
              <w:textAlignment w:val="bottom"/>
              <w:rPr>
                <w:color w:val="000000"/>
                <w:szCs w:val="20"/>
                <w:lang w:bidi="ar"/>
              </w:rPr>
            </w:pPr>
            <w:r>
              <w:rPr>
                <w:color w:val="000000"/>
                <w:szCs w:val="20"/>
                <w:lang w:bidi="ar"/>
              </w:rPr>
              <w:t>0.172127922</w:t>
            </w:r>
          </w:p>
        </w:tc>
        <w:tc>
          <w:tcPr>
            <w:tcW w:w="1675" w:type="dxa"/>
            <w:vAlign w:val="bottom"/>
          </w:tcPr>
          <w:p>
            <w:pPr>
              <w:spacing w:before="120"/>
              <w:jc w:val="right"/>
              <w:textAlignment w:val="bottom"/>
              <w:rPr>
                <w:color w:val="000000"/>
                <w:szCs w:val="20"/>
                <w:lang w:bidi="ar"/>
              </w:rPr>
            </w:pPr>
            <w:r>
              <w:rPr>
                <w:color w:val="000000"/>
                <w:szCs w:val="20"/>
                <w:lang w:bidi="ar"/>
              </w:rPr>
              <w:t>0.733792877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4" w:type="dxa"/>
            <w:vAlign w:val="bottom"/>
          </w:tcPr>
          <w:p>
            <w:pPr>
              <w:spacing w:before="120"/>
              <w:jc w:val="right"/>
              <w:textAlignment w:val="bottom"/>
              <w:rPr>
                <w:szCs w:val="20"/>
              </w:rPr>
            </w:pPr>
            <w:r>
              <w:rPr>
                <w:color w:val="000000"/>
                <w:szCs w:val="20"/>
                <w:lang w:bidi="ar"/>
              </w:rPr>
              <w:t>80000</w:t>
            </w:r>
          </w:p>
        </w:tc>
        <w:tc>
          <w:tcPr>
            <w:tcW w:w="2317" w:type="dxa"/>
            <w:vAlign w:val="bottom"/>
          </w:tcPr>
          <w:p>
            <w:pPr>
              <w:spacing w:before="120"/>
              <w:jc w:val="right"/>
              <w:textAlignment w:val="bottom"/>
              <w:rPr>
                <w:color w:val="000000"/>
                <w:szCs w:val="20"/>
                <w:lang w:bidi="ar"/>
              </w:rPr>
            </w:pPr>
            <w:r>
              <w:rPr>
                <w:color w:val="000000"/>
                <w:szCs w:val="20"/>
                <w:lang w:bidi="ar"/>
              </w:rPr>
              <w:t>2.221455378</w:t>
            </w:r>
          </w:p>
        </w:tc>
        <w:tc>
          <w:tcPr>
            <w:tcW w:w="1675" w:type="dxa"/>
            <w:vAlign w:val="bottom"/>
          </w:tcPr>
          <w:p>
            <w:pPr>
              <w:spacing w:before="120"/>
              <w:jc w:val="right"/>
              <w:textAlignment w:val="bottom"/>
              <w:rPr>
                <w:color w:val="000000"/>
                <w:szCs w:val="20"/>
                <w:lang w:bidi="ar"/>
              </w:rPr>
            </w:pPr>
            <w:r>
              <w:rPr>
                <w:color w:val="000000"/>
                <w:szCs w:val="20"/>
                <w:lang w:bidi="ar"/>
              </w:rPr>
              <w:t>0.880754759</w:t>
            </w:r>
          </w:p>
        </w:tc>
        <w:tc>
          <w:tcPr>
            <w:tcW w:w="1882" w:type="dxa"/>
            <w:vAlign w:val="bottom"/>
          </w:tcPr>
          <w:p>
            <w:pPr>
              <w:spacing w:before="120"/>
              <w:jc w:val="right"/>
              <w:textAlignment w:val="bottom"/>
              <w:rPr>
                <w:color w:val="000000"/>
                <w:szCs w:val="20"/>
                <w:lang w:bidi="ar"/>
              </w:rPr>
            </w:pPr>
            <w:r>
              <w:rPr>
                <w:color w:val="000000"/>
                <w:szCs w:val="20"/>
                <w:lang w:bidi="ar"/>
              </w:rPr>
              <w:t>0.273979247</w:t>
            </w:r>
          </w:p>
        </w:tc>
        <w:tc>
          <w:tcPr>
            <w:tcW w:w="1675" w:type="dxa"/>
            <w:vAlign w:val="bottom"/>
          </w:tcPr>
          <w:p>
            <w:pPr>
              <w:spacing w:before="120"/>
              <w:jc w:val="right"/>
              <w:textAlignment w:val="bottom"/>
              <w:rPr>
                <w:color w:val="000000"/>
                <w:szCs w:val="20"/>
                <w:lang w:bidi="ar"/>
              </w:rPr>
            </w:pPr>
            <w:r>
              <w:rPr>
                <w:color w:val="000000"/>
                <w:szCs w:val="20"/>
                <w:lang w:bidi="ar"/>
              </w:rPr>
              <w:t>0.643524555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4" w:type="dxa"/>
            <w:vAlign w:val="bottom"/>
          </w:tcPr>
          <w:p>
            <w:pPr>
              <w:spacing w:before="120"/>
              <w:jc w:val="right"/>
              <w:textAlignment w:val="bottom"/>
              <w:rPr>
                <w:color w:val="000000"/>
                <w:szCs w:val="20"/>
                <w:lang w:bidi="ar"/>
              </w:rPr>
            </w:pPr>
            <w:r>
              <w:rPr>
                <w:rFonts w:hint="eastAsia"/>
                <w:color w:val="000000"/>
                <w:szCs w:val="20"/>
                <w:lang w:bidi="ar"/>
              </w:rPr>
              <w:t>100000</w:t>
            </w:r>
          </w:p>
        </w:tc>
        <w:tc>
          <w:tcPr>
            <w:tcW w:w="2317" w:type="dxa"/>
            <w:vAlign w:val="bottom"/>
          </w:tcPr>
          <w:p>
            <w:pPr>
              <w:spacing w:before="120"/>
              <w:jc w:val="right"/>
              <w:textAlignment w:val="bottom"/>
              <w:rPr>
                <w:color w:val="000000"/>
                <w:szCs w:val="20"/>
                <w:lang w:bidi="ar"/>
              </w:rPr>
            </w:pPr>
            <w:r>
              <w:rPr>
                <w:color w:val="000000"/>
                <w:szCs w:val="20"/>
                <w:lang w:bidi="ar"/>
              </w:rPr>
              <w:t>2.776517957</w:t>
            </w:r>
          </w:p>
        </w:tc>
        <w:tc>
          <w:tcPr>
            <w:tcW w:w="1675" w:type="dxa"/>
            <w:vAlign w:val="bottom"/>
          </w:tcPr>
          <w:p>
            <w:pPr>
              <w:spacing w:before="120"/>
              <w:jc w:val="right"/>
              <w:textAlignment w:val="bottom"/>
              <w:rPr>
                <w:rFonts w:ascii="宋体" w:hAnsi="宋体" w:cs="宋体"/>
                <w:color w:val="000000"/>
                <w:sz w:val="22"/>
              </w:rPr>
            </w:pPr>
            <w:r>
              <w:rPr>
                <w:rFonts w:hint="eastAsia"/>
                <w:color w:val="000000"/>
                <w:szCs w:val="20"/>
                <w:lang w:bidi="ar"/>
              </w:rPr>
              <w:t>0.876736534</w:t>
            </w:r>
          </w:p>
        </w:tc>
        <w:tc>
          <w:tcPr>
            <w:tcW w:w="1882" w:type="dxa"/>
            <w:vAlign w:val="bottom"/>
          </w:tcPr>
          <w:p>
            <w:pPr>
              <w:spacing w:before="120"/>
              <w:jc w:val="right"/>
              <w:textAlignment w:val="bottom"/>
              <w:rPr>
                <w:color w:val="000000"/>
                <w:szCs w:val="20"/>
                <w:lang w:bidi="ar"/>
              </w:rPr>
            </w:pPr>
            <w:r>
              <w:rPr>
                <w:color w:val="000000"/>
                <w:szCs w:val="20"/>
                <w:lang w:bidi="ar"/>
              </w:rPr>
              <w:t>0.341293042</w:t>
            </w:r>
          </w:p>
        </w:tc>
        <w:tc>
          <w:tcPr>
            <w:tcW w:w="1675" w:type="dxa"/>
            <w:vAlign w:val="bottom"/>
          </w:tcPr>
          <w:p>
            <w:pPr>
              <w:spacing w:before="120"/>
              <w:jc w:val="center"/>
              <w:textAlignment w:val="bottom"/>
              <w:rPr>
                <w:color w:val="000000"/>
                <w:szCs w:val="20"/>
                <w:lang w:bidi="ar"/>
              </w:rPr>
            </w:pPr>
            <w:r>
              <w:rPr>
                <w:color w:val="000000"/>
                <w:szCs w:val="20"/>
                <w:lang w:bidi="ar"/>
              </w:rPr>
              <w:t>0</w:t>
            </w:r>
          </w:p>
        </w:tc>
      </w:tr>
    </w:tbl>
    <w:p>
      <w:pPr>
        <w:spacing w:before="120" w:afterLines="50" w:line="276" w:lineRule="auto"/>
        <w:rPr>
          <w:color w:val="000000"/>
          <w:szCs w:val="20"/>
          <w:lang w:bidi="ar"/>
        </w:rPr>
      </w:pPr>
    </w:p>
    <w:p>
      <w:pPr>
        <w:spacing w:before="120" w:afterLines="50" w:line="276" w:lineRule="auto"/>
      </w:pPr>
    </w:p>
    <w:p>
      <w:pPr>
        <w:pStyle w:val="133"/>
        <w:numPr>
          <w:ilvl w:val="255"/>
          <w:numId w:val="0"/>
        </w:numPr>
        <w:spacing w:before="120" w:after="120"/>
        <w:ind w:left="363" w:hanging="363"/>
        <w:rPr>
          <w:lang w:eastAsia="zh-CN"/>
        </w:rPr>
      </w:pPr>
    </w:p>
    <w:sectPr>
      <w:headerReference r:id="rId7" w:type="first"/>
      <w:footerReference r:id="rId10" w:type="first"/>
      <w:headerReference r:id="rId5" w:type="default"/>
      <w:footerReference r:id="rId8" w:type="default"/>
      <w:headerReference r:id="rId6" w:type="even"/>
      <w:footerReference r:id="rId9" w:type="even"/>
      <w:type w:val="continuous"/>
      <w:pgSz w:w="11850" w:h="16783"/>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0002009F" w:csb1="00000000"/>
  </w:font>
  <w:font w:name="TimesNewRomanPSMT">
    <w:altName w:val="Times New Roman"/>
    <w:panose1 w:val="00000000000000000000"/>
    <w:charset w:val="00"/>
    <w:family w:val="roman"/>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PMingLiU">
    <w:altName w:val="PMingLiU-ExtB"/>
    <w:panose1 w:val="02020500000000000000"/>
    <w:charset w:val="88"/>
    <w:family w:val="roman"/>
    <w:pitch w:val="default"/>
    <w:sig w:usb0="00000000" w:usb1="00000000" w:usb2="00000016" w:usb3="00000000" w:csb0="00100001"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p>
  </w:footnote>
  <w:footnote w:type="continuationSeparator" w:id="1">
    <w:p>
      <w:pPr>
        <w:spacing w:before="0" w:after="0" w:line="259"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851D4C"/>
    <w:multiLevelType w:val="singleLevel"/>
    <w:tmpl w:val="C0851D4C"/>
    <w:lvl w:ilvl="0" w:tentative="0">
      <w:start w:val="1"/>
      <w:numFmt w:val="bullet"/>
      <w:lvlText w:val=""/>
      <w:lvlJc w:val="left"/>
      <w:pPr>
        <w:ind w:left="420" w:hanging="420"/>
      </w:pPr>
      <w:rPr>
        <w:rFonts w:hint="default" w:ascii="Symbol" w:hAnsi="Symbol" w:cs="Symbol"/>
      </w:rPr>
    </w:lvl>
  </w:abstractNum>
  <w:abstractNum w:abstractNumId="1">
    <w:nsid w:val="C48CAE27"/>
    <w:multiLevelType w:val="singleLevel"/>
    <w:tmpl w:val="C48CAE27"/>
    <w:lvl w:ilvl="0" w:tentative="0">
      <w:start w:val="1"/>
      <w:numFmt w:val="bullet"/>
      <w:lvlText w:val=""/>
      <w:lvlJc w:val="left"/>
      <w:pPr>
        <w:ind w:left="420" w:hanging="420"/>
      </w:pPr>
      <w:rPr>
        <w:rFonts w:hint="default" w:ascii="Symbol" w:hAnsi="Symbol" w:cs="Symbol"/>
      </w:rPr>
    </w:lvl>
  </w:abstractNum>
  <w:abstractNum w:abstractNumId="2">
    <w:nsid w:val="D033D7EC"/>
    <w:multiLevelType w:val="singleLevel"/>
    <w:tmpl w:val="D033D7EC"/>
    <w:lvl w:ilvl="0" w:tentative="0">
      <w:start w:val="1"/>
      <w:numFmt w:val="bullet"/>
      <w:lvlText w:val=""/>
      <w:lvlJc w:val="left"/>
      <w:pPr>
        <w:ind w:left="420" w:hanging="420"/>
      </w:pPr>
      <w:rPr>
        <w:rFonts w:hint="default" w:ascii="Symbol" w:hAnsi="Symbol" w:cs="Symbol"/>
      </w:rPr>
    </w:lvl>
  </w:abstractNum>
  <w:abstractNum w:abstractNumId="3">
    <w:nsid w:val="EC52AACF"/>
    <w:multiLevelType w:val="singleLevel"/>
    <w:tmpl w:val="EC52AACF"/>
    <w:lvl w:ilvl="0" w:tentative="0">
      <w:start w:val="1"/>
      <w:numFmt w:val="bullet"/>
      <w:lvlText w:val=""/>
      <w:lvlJc w:val="left"/>
      <w:pPr>
        <w:ind w:left="420" w:hanging="420"/>
      </w:pPr>
      <w:rPr>
        <w:rFonts w:hint="default" w:ascii="Symbol" w:hAnsi="Symbol" w:cs="Symbol"/>
      </w:rPr>
    </w:lvl>
  </w:abstractNum>
  <w:abstractNum w:abstractNumId="4">
    <w:nsid w:val="001E7909"/>
    <w:multiLevelType w:val="singleLevel"/>
    <w:tmpl w:val="001E7909"/>
    <w:lvl w:ilvl="0" w:tentative="0">
      <w:start w:val="1"/>
      <w:numFmt w:val="bullet"/>
      <w:lvlText w:val=""/>
      <w:lvlJc w:val="left"/>
      <w:pPr>
        <w:ind w:left="420" w:hanging="420"/>
      </w:pPr>
      <w:rPr>
        <w:rFonts w:hint="default" w:ascii="Symbol" w:hAnsi="Symbol" w:cs="Symbol"/>
      </w:rPr>
    </w:lvl>
  </w:abstractNum>
  <w:abstractNum w:abstractNumId="5">
    <w:nsid w:val="0BD47AC5"/>
    <w:multiLevelType w:val="multilevel"/>
    <w:tmpl w:val="0BD47AC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8707A8F"/>
    <w:multiLevelType w:val="multilevel"/>
    <w:tmpl w:val="28707A8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AA0D67E"/>
    <w:multiLevelType w:val="multilevel"/>
    <w:tmpl w:val="2AA0D67E"/>
    <w:lvl w:ilvl="0" w:tentative="0">
      <w:start w:val="1"/>
      <w:numFmt w:val="bullet"/>
      <w:pStyle w:val="16"/>
      <w:lvlText w:val=""/>
      <w:lvlJc w:val="left"/>
      <w:pPr>
        <w:tabs>
          <w:tab w:val="left" w:pos="360"/>
        </w:tabs>
        <w:ind w:left="360" w:hanging="36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
    <w:nsid w:val="30501E44"/>
    <w:multiLevelType w:val="multilevel"/>
    <w:tmpl w:val="30501E44"/>
    <w:lvl w:ilvl="0" w:tentative="0">
      <w:start w:val="1"/>
      <w:numFmt w:val="decimal"/>
      <w:pStyle w:val="142"/>
      <w:lvlText w:val="Proposal %1:  "/>
      <w:lvlJc w:val="left"/>
      <w:pPr>
        <w:ind w:left="720"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3101698F"/>
    <w:multiLevelType w:val="singleLevel"/>
    <w:tmpl w:val="3101698F"/>
    <w:lvl w:ilvl="0" w:tentative="0">
      <w:start w:val="1"/>
      <w:numFmt w:val="bullet"/>
      <w:lvlText w:val=""/>
      <w:lvlJc w:val="left"/>
      <w:pPr>
        <w:ind w:left="420" w:hanging="420"/>
      </w:pPr>
      <w:rPr>
        <w:rFonts w:hint="default" w:ascii="Symbol" w:hAnsi="Symbol" w:cs="Symbol"/>
      </w:rPr>
    </w:lvl>
  </w:abstractNum>
  <w:abstractNum w:abstractNumId="10">
    <w:nsid w:val="350A46CC"/>
    <w:multiLevelType w:val="singleLevel"/>
    <w:tmpl w:val="350A46CC"/>
    <w:lvl w:ilvl="0" w:tentative="0">
      <w:start w:val="1"/>
      <w:numFmt w:val="bullet"/>
      <w:lvlText w:val=""/>
      <w:lvlJc w:val="left"/>
      <w:pPr>
        <w:ind w:left="420" w:hanging="420"/>
      </w:pPr>
      <w:rPr>
        <w:rFonts w:hint="default" w:ascii="Symbol" w:hAnsi="Symbol" w:cs="Symbol"/>
      </w:rPr>
    </w:lvl>
  </w:abstractNum>
  <w:abstractNum w:abstractNumId="11">
    <w:nsid w:val="3A877D64"/>
    <w:multiLevelType w:val="singleLevel"/>
    <w:tmpl w:val="3A877D64"/>
    <w:lvl w:ilvl="0" w:tentative="0">
      <w:start w:val="1"/>
      <w:numFmt w:val="decimal"/>
      <w:pStyle w:val="133"/>
      <w:lvlText w:val="[%1]"/>
      <w:lvlJc w:val="left"/>
      <w:pPr>
        <w:tabs>
          <w:tab w:val="left" w:pos="360"/>
        </w:tabs>
        <w:ind w:left="360" w:hanging="360"/>
      </w:pPr>
    </w:lvl>
  </w:abstractNum>
  <w:abstractNum w:abstractNumId="12">
    <w:nsid w:val="5101505E"/>
    <w:multiLevelType w:val="multilevel"/>
    <w:tmpl w:val="5101505E"/>
    <w:lvl w:ilvl="0" w:tentative="0">
      <w:start w:val="1"/>
      <w:numFmt w:val="decimal"/>
      <w:pStyle w:val="11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58B73482"/>
    <w:multiLevelType w:val="multilevel"/>
    <w:tmpl w:val="58B73482"/>
    <w:lvl w:ilvl="0" w:tentative="0">
      <w:start w:val="1"/>
      <w:numFmt w:val="bullet"/>
      <w:lvlText w:val=""/>
      <w:lvlJc w:val="left"/>
      <w:pPr>
        <w:ind w:left="936" w:hanging="360"/>
      </w:pPr>
      <w:rPr>
        <w:rFonts w:hint="default" w:ascii="Symbol" w:hAnsi="Symbol"/>
        <w:lang w:val="en-US"/>
      </w:rPr>
    </w:lvl>
    <w:lvl w:ilvl="1" w:tentative="0">
      <w:start w:val="1"/>
      <w:numFmt w:val="bullet"/>
      <w:lvlText w:val=""/>
      <w:lvlJc w:val="left"/>
      <w:pPr>
        <w:ind w:left="1656" w:hanging="360"/>
      </w:pPr>
      <w:rPr>
        <w:rFonts w:hint="default" w:ascii="Wingdings" w:hAnsi="Wingdings"/>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4">
    <w:nsid w:val="6222DBC6"/>
    <w:multiLevelType w:val="multilevel"/>
    <w:tmpl w:val="6222DBC6"/>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ascii="Arial" w:hAnsi="Arial" w:eastAsia="宋体" w:cs="宋体"/>
        <w:bCs/>
        <w:sz w:val="24"/>
      </w:rPr>
    </w:lvl>
    <w:lvl w:ilvl="2" w:tentative="0">
      <w:start w:val="1"/>
      <w:numFmt w:val="decimal"/>
      <w:pStyle w:val="4"/>
      <w:lvlText w:val="%1.%2.%3."/>
      <w:lvlJc w:val="left"/>
      <w:pPr>
        <w:ind w:left="720" w:hanging="720"/>
      </w:pPr>
      <w:rPr>
        <w:rFonts w:hint="default" w:ascii="Arial" w:hAnsi="Arial" w:eastAsia="宋体" w:cs="宋体"/>
        <w:sz w:val="21"/>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576"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5">
    <w:nsid w:val="70146DC0"/>
    <w:multiLevelType w:val="multilevel"/>
    <w:tmpl w:val="70146DC0"/>
    <w:lvl w:ilvl="0" w:tentative="0">
      <w:start w:val="1"/>
      <w:numFmt w:val="bullet"/>
      <w:pStyle w:val="13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592409D"/>
    <w:multiLevelType w:val="multilevel"/>
    <w:tmpl w:val="7592409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673699D"/>
    <w:multiLevelType w:val="multilevel"/>
    <w:tmpl w:val="7673699D"/>
    <w:lvl w:ilvl="0" w:tentative="0">
      <w:start w:val="1"/>
      <w:numFmt w:val="bullet"/>
      <w:lvlText w:val="-"/>
      <w:lvlJc w:val="left"/>
      <w:pPr>
        <w:tabs>
          <w:tab w:val="left" w:pos="720"/>
        </w:tabs>
        <w:ind w:left="720" w:hanging="360"/>
      </w:pPr>
      <w:rPr>
        <w:rFonts w:hint="default" w:ascii="Times" w:hAnsi="Times"/>
      </w:rPr>
    </w:lvl>
    <w:lvl w:ilvl="1" w:tentative="0">
      <w:start w:val="1"/>
      <w:numFmt w:val="bullet"/>
      <w:lvlText w:val="-"/>
      <w:lvlJc w:val="left"/>
      <w:pPr>
        <w:tabs>
          <w:tab w:val="left" w:pos="1440"/>
        </w:tabs>
        <w:ind w:left="1440" w:hanging="360"/>
      </w:pPr>
      <w:rPr>
        <w:rFonts w:hint="default" w:ascii="Times" w:hAnsi="Times"/>
      </w:rPr>
    </w:lvl>
    <w:lvl w:ilvl="2" w:tentative="0">
      <w:start w:val="1"/>
      <w:numFmt w:val="bullet"/>
      <w:lvlText w:val="-"/>
      <w:lvlJc w:val="left"/>
      <w:pPr>
        <w:tabs>
          <w:tab w:val="left" w:pos="2160"/>
        </w:tabs>
        <w:ind w:left="2160" w:hanging="360"/>
      </w:pPr>
      <w:rPr>
        <w:rFonts w:hint="default" w:ascii="Times" w:hAnsi="Times"/>
      </w:rPr>
    </w:lvl>
    <w:lvl w:ilvl="3" w:tentative="0">
      <w:start w:val="1"/>
      <w:numFmt w:val="bullet"/>
      <w:lvlText w:val="-"/>
      <w:lvlJc w:val="left"/>
      <w:pPr>
        <w:tabs>
          <w:tab w:val="left" w:pos="2880"/>
        </w:tabs>
        <w:ind w:left="2880" w:hanging="360"/>
      </w:pPr>
      <w:rPr>
        <w:rFonts w:hint="default" w:ascii="Times" w:hAnsi="Times"/>
      </w:rPr>
    </w:lvl>
    <w:lvl w:ilvl="4" w:tentative="0">
      <w:start w:val="1"/>
      <w:numFmt w:val="bullet"/>
      <w:lvlText w:val="-"/>
      <w:lvlJc w:val="left"/>
      <w:pPr>
        <w:tabs>
          <w:tab w:val="left" w:pos="3600"/>
        </w:tabs>
        <w:ind w:left="3600" w:hanging="360"/>
      </w:pPr>
      <w:rPr>
        <w:rFonts w:hint="default" w:ascii="Times" w:hAnsi="Times"/>
      </w:rPr>
    </w:lvl>
    <w:lvl w:ilvl="5" w:tentative="0">
      <w:start w:val="1"/>
      <w:numFmt w:val="bullet"/>
      <w:lvlText w:val="-"/>
      <w:lvlJc w:val="left"/>
      <w:pPr>
        <w:tabs>
          <w:tab w:val="left" w:pos="4320"/>
        </w:tabs>
        <w:ind w:left="4320" w:hanging="360"/>
      </w:pPr>
      <w:rPr>
        <w:rFonts w:hint="default" w:ascii="Times" w:hAnsi="Times"/>
      </w:rPr>
    </w:lvl>
    <w:lvl w:ilvl="6" w:tentative="0">
      <w:start w:val="1"/>
      <w:numFmt w:val="bullet"/>
      <w:lvlText w:val="-"/>
      <w:lvlJc w:val="left"/>
      <w:pPr>
        <w:tabs>
          <w:tab w:val="left" w:pos="5040"/>
        </w:tabs>
        <w:ind w:left="5040" w:hanging="360"/>
      </w:pPr>
      <w:rPr>
        <w:rFonts w:hint="default" w:ascii="Times" w:hAnsi="Times"/>
      </w:rPr>
    </w:lvl>
    <w:lvl w:ilvl="7" w:tentative="0">
      <w:start w:val="1"/>
      <w:numFmt w:val="bullet"/>
      <w:lvlText w:val="-"/>
      <w:lvlJc w:val="left"/>
      <w:pPr>
        <w:tabs>
          <w:tab w:val="left" w:pos="5760"/>
        </w:tabs>
        <w:ind w:left="5760" w:hanging="360"/>
      </w:pPr>
      <w:rPr>
        <w:rFonts w:hint="default" w:ascii="Times" w:hAnsi="Times"/>
      </w:rPr>
    </w:lvl>
    <w:lvl w:ilvl="8" w:tentative="0">
      <w:start w:val="1"/>
      <w:numFmt w:val="bullet"/>
      <w:lvlText w:val="-"/>
      <w:lvlJc w:val="left"/>
      <w:pPr>
        <w:tabs>
          <w:tab w:val="left" w:pos="6480"/>
        </w:tabs>
        <w:ind w:left="6480" w:hanging="360"/>
      </w:pPr>
      <w:rPr>
        <w:rFonts w:hint="default" w:ascii="Times" w:hAnsi="Times"/>
      </w:rPr>
    </w:lvl>
  </w:abstractNum>
  <w:abstractNum w:abstractNumId="18">
    <w:nsid w:val="7B8A42A4"/>
    <w:multiLevelType w:val="multilevel"/>
    <w:tmpl w:val="7B8A42A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4"/>
  </w:num>
  <w:num w:numId="2">
    <w:abstractNumId w:val="7"/>
  </w:num>
  <w:num w:numId="3">
    <w:abstractNumId w:val="12"/>
  </w:num>
  <w:num w:numId="4">
    <w:abstractNumId w:val="11"/>
  </w:num>
  <w:num w:numId="5">
    <w:abstractNumId w:val="15"/>
  </w:num>
  <w:num w:numId="6">
    <w:abstractNumId w:val="8"/>
  </w:num>
  <w:num w:numId="7">
    <w:abstractNumId w:val="5"/>
  </w:num>
  <w:num w:numId="8">
    <w:abstractNumId w:val="18"/>
  </w:num>
  <w:num w:numId="9">
    <w:abstractNumId w:val="16"/>
  </w:num>
  <w:num w:numId="10">
    <w:abstractNumId w:val="13"/>
  </w:num>
  <w:num w:numId="11">
    <w:abstractNumId w:val="17"/>
  </w:num>
  <w:num w:numId="12">
    <w:abstractNumId w:val="10"/>
  </w:num>
  <w:num w:numId="13">
    <w:abstractNumId w:val="9"/>
  </w:num>
  <w:num w:numId="14">
    <w:abstractNumId w:val="4"/>
  </w:num>
  <w:num w:numId="15">
    <w:abstractNumId w:val="1"/>
  </w:num>
  <w:num w:numId="16">
    <w:abstractNumId w:val="6"/>
  </w:num>
  <w:num w:numId="17">
    <w:abstractNumId w:val="0"/>
  </w:num>
  <w:num w:numId="18">
    <w:abstractNumId w:val="3"/>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79"/>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71"/>
    <w:rsid w:val="000042BE"/>
    <w:rsid w:val="0000478C"/>
    <w:rsid w:val="000047CE"/>
    <w:rsid w:val="00004B20"/>
    <w:rsid w:val="00004C4A"/>
    <w:rsid w:val="00004CEF"/>
    <w:rsid w:val="00004D41"/>
    <w:rsid w:val="00004D8D"/>
    <w:rsid w:val="000054B4"/>
    <w:rsid w:val="0000558A"/>
    <w:rsid w:val="00005635"/>
    <w:rsid w:val="000059CA"/>
    <w:rsid w:val="00005A5C"/>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89A"/>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3F8"/>
    <w:rsid w:val="00021825"/>
    <w:rsid w:val="000219E6"/>
    <w:rsid w:val="000221D5"/>
    <w:rsid w:val="000222E3"/>
    <w:rsid w:val="00022458"/>
    <w:rsid w:val="000225C7"/>
    <w:rsid w:val="00022C10"/>
    <w:rsid w:val="00023019"/>
    <w:rsid w:val="00023043"/>
    <w:rsid w:val="0002338B"/>
    <w:rsid w:val="000234BF"/>
    <w:rsid w:val="00023534"/>
    <w:rsid w:val="00023604"/>
    <w:rsid w:val="000236EB"/>
    <w:rsid w:val="00023951"/>
    <w:rsid w:val="000239CB"/>
    <w:rsid w:val="000239E7"/>
    <w:rsid w:val="000240D2"/>
    <w:rsid w:val="000242BB"/>
    <w:rsid w:val="000243C7"/>
    <w:rsid w:val="000244B9"/>
    <w:rsid w:val="000244CA"/>
    <w:rsid w:val="00024520"/>
    <w:rsid w:val="0002481F"/>
    <w:rsid w:val="0002489B"/>
    <w:rsid w:val="0002494C"/>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0F4B"/>
    <w:rsid w:val="0003128F"/>
    <w:rsid w:val="00031837"/>
    <w:rsid w:val="00031CF6"/>
    <w:rsid w:val="000322B0"/>
    <w:rsid w:val="000323AD"/>
    <w:rsid w:val="000325A9"/>
    <w:rsid w:val="00032741"/>
    <w:rsid w:val="0003291B"/>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96"/>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80"/>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BBE"/>
    <w:rsid w:val="00045D77"/>
    <w:rsid w:val="00045DB6"/>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495"/>
    <w:rsid w:val="000515E3"/>
    <w:rsid w:val="00051606"/>
    <w:rsid w:val="0005197D"/>
    <w:rsid w:val="000519BD"/>
    <w:rsid w:val="00051A81"/>
    <w:rsid w:val="00051ABA"/>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BB2"/>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6F"/>
    <w:rsid w:val="000602D2"/>
    <w:rsid w:val="000605D2"/>
    <w:rsid w:val="0006068C"/>
    <w:rsid w:val="000606EB"/>
    <w:rsid w:val="000607CE"/>
    <w:rsid w:val="00060D2E"/>
    <w:rsid w:val="00060E25"/>
    <w:rsid w:val="00060F75"/>
    <w:rsid w:val="00061173"/>
    <w:rsid w:val="0006125B"/>
    <w:rsid w:val="00061403"/>
    <w:rsid w:val="00061449"/>
    <w:rsid w:val="00061553"/>
    <w:rsid w:val="00061786"/>
    <w:rsid w:val="00061898"/>
    <w:rsid w:val="000619B8"/>
    <w:rsid w:val="00061B5B"/>
    <w:rsid w:val="0006241D"/>
    <w:rsid w:val="000624B4"/>
    <w:rsid w:val="00062642"/>
    <w:rsid w:val="0006284A"/>
    <w:rsid w:val="00062A3C"/>
    <w:rsid w:val="00062BEF"/>
    <w:rsid w:val="00062DBD"/>
    <w:rsid w:val="00062E0A"/>
    <w:rsid w:val="00063481"/>
    <w:rsid w:val="000637EB"/>
    <w:rsid w:val="00063836"/>
    <w:rsid w:val="00064081"/>
    <w:rsid w:val="0006414C"/>
    <w:rsid w:val="000644E4"/>
    <w:rsid w:val="00064753"/>
    <w:rsid w:val="0006483C"/>
    <w:rsid w:val="000648A4"/>
    <w:rsid w:val="00064AB2"/>
    <w:rsid w:val="00064C8D"/>
    <w:rsid w:val="00064F34"/>
    <w:rsid w:val="00065243"/>
    <w:rsid w:val="00065689"/>
    <w:rsid w:val="00065928"/>
    <w:rsid w:val="000659EE"/>
    <w:rsid w:val="00065C32"/>
    <w:rsid w:val="00065CD5"/>
    <w:rsid w:val="00065D29"/>
    <w:rsid w:val="00065D9E"/>
    <w:rsid w:val="00065DEC"/>
    <w:rsid w:val="00065EA1"/>
    <w:rsid w:val="00065F77"/>
    <w:rsid w:val="000660CB"/>
    <w:rsid w:val="000662B5"/>
    <w:rsid w:val="00066405"/>
    <w:rsid w:val="000664CB"/>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E14"/>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77EA9"/>
    <w:rsid w:val="000804FD"/>
    <w:rsid w:val="000806BB"/>
    <w:rsid w:val="00080730"/>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3B2"/>
    <w:rsid w:val="00082B43"/>
    <w:rsid w:val="00082B44"/>
    <w:rsid w:val="00082B5B"/>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28A"/>
    <w:rsid w:val="00087839"/>
    <w:rsid w:val="000879F7"/>
    <w:rsid w:val="00087F65"/>
    <w:rsid w:val="00090126"/>
    <w:rsid w:val="00090408"/>
    <w:rsid w:val="00090479"/>
    <w:rsid w:val="0009070F"/>
    <w:rsid w:val="000907F4"/>
    <w:rsid w:val="0009098A"/>
    <w:rsid w:val="00090A6A"/>
    <w:rsid w:val="00091243"/>
    <w:rsid w:val="00091473"/>
    <w:rsid w:val="00091643"/>
    <w:rsid w:val="00091A1F"/>
    <w:rsid w:val="00091AEC"/>
    <w:rsid w:val="00091B56"/>
    <w:rsid w:val="00091B58"/>
    <w:rsid w:val="00091CE9"/>
    <w:rsid w:val="000920C9"/>
    <w:rsid w:val="0009215C"/>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5E0F"/>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ED1"/>
    <w:rsid w:val="000A1161"/>
    <w:rsid w:val="000A129C"/>
    <w:rsid w:val="000A13C8"/>
    <w:rsid w:val="000A14DE"/>
    <w:rsid w:val="000A1619"/>
    <w:rsid w:val="000A17EC"/>
    <w:rsid w:val="000A1D48"/>
    <w:rsid w:val="000A1DEF"/>
    <w:rsid w:val="000A1E29"/>
    <w:rsid w:val="000A2499"/>
    <w:rsid w:val="000A24F6"/>
    <w:rsid w:val="000A2662"/>
    <w:rsid w:val="000A2789"/>
    <w:rsid w:val="000A27FC"/>
    <w:rsid w:val="000A29F0"/>
    <w:rsid w:val="000A2B7F"/>
    <w:rsid w:val="000A2C04"/>
    <w:rsid w:val="000A317B"/>
    <w:rsid w:val="000A3204"/>
    <w:rsid w:val="000A4165"/>
    <w:rsid w:val="000A42B6"/>
    <w:rsid w:val="000A448B"/>
    <w:rsid w:val="000A483C"/>
    <w:rsid w:val="000A490A"/>
    <w:rsid w:val="000A4AD9"/>
    <w:rsid w:val="000A4F00"/>
    <w:rsid w:val="000A4F0B"/>
    <w:rsid w:val="000A4FE3"/>
    <w:rsid w:val="000A5024"/>
    <w:rsid w:val="000A5285"/>
    <w:rsid w:val="000A52CA"/>
    <w:rsid w:val="000A57F3"/>
    <w:rsid w:val="000A5A88"/>
    <w:rsid w:val="000A5ED0"/>
    <w:rsid w:val="000A6052"/>
    <w:rsid w:val="000A6303"/>
    <w:rsid w:val="000A67D7"/>
    <w:rsid w:val="000A6A7A"/>
    <w:rsid w:val="000A6BBF"/>
    <w:rsid w:val="000A6CEC"/>
    <w:rsid w:val="000A74B7"/>
    <w:rsid w:val="000A7AA5"/>
    <w:rsid w:val="000A7B23"/>
    <w:rsid w:val="000A7CE6"/>
    <w:rsid w:val="000B0104"/>
    <w:rsid w:val="000B01BE"/>
    <w:rsid w:val="000B0214"/>
    <w:rsid w:val="000B059A"/>
    <w:rsid w:val="000B0922"/>
    <w:rsid w:val="000B09C4"/>
    <w:rsid w:val="000B1696"/>
    <w:rsid w:val="000B18E5"/>
    <w:rsid w:val="000B1908"/>
    <w:rsid w:val="000B1BC4"/>
    <w:rsid w:val="000B2006"/>
    <w:rsid w:val="000B207B"/>
    <w:rsid w:val="000B2576"/>
    <w:rsid w:val="000B2627"/>
    <w:rsid w:val="000B2E28"/>
    <w:rsid w:val="000B2E6C"/>
    <w:rsid w:val="000B2EFD"/>
    <w:rsid w:val="000B3071"/>
    <w:rsid w:val="000B3231"/>
    <w:rsid w:val="000B354B"/>
    <w:rsid w:val="000B3705"/>
    <w:rsid w:val="000B38BA"/>
    <w:rsid w:val="000B3A64"/>
    <w:rsid w:val="000B3FDC"/>
    <w:rsid w:val="000B40FD"/>
    <w:rsid w:val="000B416F"/>
    <w:rsid w:val="000B44FE"/>
    <w:rsid w:val="000B4871"/>
    <w:rsid w:val="000B48FC"/>
    <w:rsid w:val="000B495B"/>
    <w:rsid w:val="000B4BA3"/>
    <w:rsid w:val="000B5665"/>
    <w:rsid w:val="000B5993"/>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1DE6"/>
    <w:rsid w:val="000D211B"/>
    <w:rsid w:val="000D325B"/>
    <w:rsid w:val="000D32B5"/>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16"/>
    <w:rsid w:val="000E2096"/>
    <w:rsid w:val="000E20DC"/>
    <w:rsid w:val="000E2524"/>
    <w:rsid w:val="000E290F"/>
    <w:rsid w:val="000E29FF"/>
    <w:rsid w:val="000E2C1C"/>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027"/>
    <w:rsid w:val="000F0169"/>
    <w:rsid w:val="000F0674"/>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7A"/>
    <w:rsid w:val="000F46E6"/>
    <w:rsid w:val="000F4AA2"/>
    <w:rsid w:val="000F4E7F"/>
    <w:rsid w:val="000F4FEC"/>
    <w:rsid w:val="000F5303"/>
    <w:rsid w:val="000F58AA"/>
    <w:rsid w:val="000F5B5D"/>
    <w:rsid w:val="000F5D1C"/>
    <w:rsid w:val="000F5D36"/>
    <w:rsid w:val="000F5F26"/>
    <w:rsid w:val="000F6112"/>
    <w:rsid w:val="000F6199"/>
    <w:rsid w:val="000F627C"/>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D8"/>
    <w:rsid w:val="001012F4"/>
    <w:rsid w:val="001013D8"/>
    <w:rsid w:val="00101C8E"/>
    <w:rsid w:val="0010229B"/>
    <w:rsid w:val="00102D2B"/>
    <w:rsid w:val="00102F2D"/>
    <w:rsid w:val="001030EF"/>
    <w:rsid w:val="00103771"/>
    <w:rsid w:val="00103E74"/>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46D"/>
    <w:rsid w:val="00107BE0"/>
    <w:rsid w:val="001100A5"/>
    <w:rsid w:val="00110103"/>
    <w:rsid w:val="001102B4"/>
    <w:rsid w:val="001102E6"/>
    <w:rsid w:val="00110925"/>
    <w:rsid w:val="00110E7D"/>
    <w:rsid w:val="0011123E"/>
    <w:rsid w:val="00111251"/>
    <w:rsid w:val="00111492"/>
    <w:rsid w:val="0011189E"/>
    <w:rsid w:val="001121E8"/>
    <w:rsid w:val="00112302"/>
    <w:rsid w:val="001124F9"/>
    <w:rsid w:val="0011277E"/>
    <w:rsid w:val="00112AD1"/>
    <w:rsid w:val="00113305"/>
    <w:rsid w:val="00113A0C"/>
    <w:rsid w:val="00113ACF"/>
    <w:rsid w:val="00113B8A"/>
    <w:rsid w:val="00113E57"/>
    <w:rsid w:val="00113E60"/>
    <w:rsid w:val="00114336"/>
    <w:rsid w:val="0011447D"/>
    <w:rsid w:val="0011494B"/>
    <w:rsid w:val="00114A7F"/>
    <w:rsid w:val="00114CDD"/>
    <w:rsid w:val="001154B0"/>
    <w:rsid w:val="00115981"/>
    <w:rsid w:val="00115F22"/>
    <w:rsid w:val="00116306"/>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9D0"/>
    <w:rsid w:val="00133C49"/>
    <w:rsid w:val="00134082"/>
    <w:rsid w:val="001341AA"/>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C02"/>
    <w:rsid w:val="00136FA8"/>
    <w:rsid w:val="0013770A"/>
    <w:rsid w:val="00137AFD"/>
    <w:rsid w:val="00140281"/>
    <w:rsid w:val="001404CF"/>
    <w:rsid w:val="00140783"/>
    <w:rsid w:val="001407BE"/>
    <w:rsid w:val="001409CC"/>
    <w:rsid w:val="00140ABC"/>
    <w:rsid w:val="00140B12"/>
    <w:rsid w:val="00140B27"/>
    <w:rsid w:val="00140CCF"/>
    <w:rsid w:val="00140FAF"/>
    <w:rsid w:val="0014108D"/>
    <w:rsid w:val="0014115F"/>
    <w:rsid w:val="00141171"/>
    <w:rsid w:val="001411CE"/>
    <w:rsid w:val="001417C1"/>
    <w:rsid w:val="0014255E"/>
    <w:rsid w:val="0014269E"/>
    <w:rsid w:val="001428E8"/>
    <w:rsid w:val="0014294F"/>
    <w:rsid w:val="00143003"/>
    <w:rsid w:val="0014324F"/>
    <w:rsid w:val="0014396C"/>
    <w:rsid w:val="00143FFD"/>
    <w:rsid w:val="00144606"/>
    <w:rsid w:val="00144A16"/>
    <w:rsid w:val="001456D3"/>
    <w:rsid w:val="0014596A"/>
    <w:rsid w:val="001459F3"/>
    <w:rsid w:val="00145A0C"/>
    <w:rsid w:val="00145A5F"/>
    <w:rsid w:val="00145D1E"/>
    <w:rsid w:val="00145D53"/>
    <w:rsid w:val="00145FC6"/>
    <w:rsid w:val="001464F0"/>
    <w:rsid w:val="00146A62"/>
    <w:rsid w:val="00146BA8"/>
    <w:rsid w:val="00146C0B"/>
    <w:rsid w:val="00146DC9"/>
    <w:rsid w:val="00147542"/>
    <w:rsid w:val="00147653"/>
    <w:rsid w:val="001478A4"/>
    <w:rsid w:val="001478C0"/>
    <w:rsid w:val="00147AAB"/>
    <w:rsid w:val="00147E93"/>
    <w:rsid w:val="00150084"/>
    <w:rsid w:val="00150ED9"/>
    <w:rsid w:val="00150F77"/>
    <w:rsid w:val="00150FC7"/>
    <w:rsid w:val="00151838"/>
    <w:rsid w:val="00151A54"/>
    <w:rsid w:val="001522BF"/>
    <w:rsid w:val="00152307"/>
    <w:rsid w:val="00152354"/>
    <w:rsid w:val="0015268C"/>
    <w:rsid w:val="0015279E"/>
    <w:rsid w:val="00152AC8"/>
    <w:rsid w:val="00152DF5"/>
    <w:rsid w:val="00153112"/>
    <w:rsid w:val="001536AD"/>
    <w:rsid w:val="00153774"/>
    <w:rsid w:val="00153E9A"/>
    <w:rsid w:val="00154048"/>
    <w:rsid w:val="001541B6"/>
    <w:rsid w:val="0015438F"/>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097A"/>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BE9"/>
    <w:rsid w:val="00171EE9"/>
    <w:rsid w:val="00172053"/>
    <w:rsid w:val="001722FC"/>
    <w:rsid w:val="001725E9"/>
    <w:rsid w:val="00172715"/>
    <w:rsid w:val="00172752"/>
    <w:rsid w:val="00172814"/>
    <w:rsid w:val="00172A27"/>
    <w:rsid w:val="00172ACA"/>
    <w:rsid w:val="00172B51"/>
    <w:rsid w:val="00172C9C"/>
    <w:rsid w:val="00173095"/>
    <w:rsid w:val="00173383"/>
    <w:rsid w:val="00173748"/>
    <w:rsid w:val="001737E6"/>
    <w:rsid w:val="0017388B"/>
    <w:rsid w:val="001738F8"/>
    <w:rsid w:val="0017392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093"/>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952"/>
    <w:rsid w:val="00184BE9"/>
    <w:rsid w:val="00184BF0"/>
    <w:rsid w:val="00184C17"/>
    <w:rsid w:val="0018514E"/>
    <w:rsid w:val="00185424"/>
    <w:rsid w:val="00185564"/>
    <w:rsid w:val="0018577F"/>
    <w:rsid w:val="001859D6"/>
    <w:rsid w:val="00185B40"/>
    <w:rsid w:val="0018607D"/>
    <w:rsid w:val="001861C5"/>
    <w:rsid w:val="0018669B"/>
    <w:rsid w:val="0018682D"/>
    <w:rsid w:val="00186936"/>
    <w:rsid w:val="00187097"/>
    <w:rsid w:val="00187144"/>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E2F"/>
    <w:rsid w:val="00193F9A"/>
    <w:rsid w:val="00194206"/>
    <w:rsid w:val="00194B5B"/>
    <w:rsid w:val="00194D22"/>
    <w:rsid w:val="00194F64"/>
    <w:rsid w:val="00194F70"/>
    <w:rsid w:val="0019508B"/>
    <w:rsid w:val="00195AC9"/>
    <w:rsid w:val="0019637B"/>
    <w:rsid w:val="00196639"/>
    <w:rsid w:val="0019675D"/>
    <w:rsid w:val="00196896"/>
    <w:rsid w:val="00196EF1"/>
    <w:rsid w:val="00197298"/>
    <w:rsid w:val="0019730B"/>
    <w:rsid w:val="00197317"/>
    <w:rsid w:val="00197590"/>
    <w:rsid w:val="0019764F"/>
    <w:rsid w:val="00197CBE"/>
    <w:rsid w:val="00197E43"/>
    <w:rsid w:val="001A03C0"/>
    <w:rsid w:val="001A0537"/>
    <w:rsid w:val="001A0E1A"/>
    <w:rsid w:val="001A11AE"/>
    <w:rsid w:val="001A177D"/>
    <w:rsid w:val="001A17B1"/>
    <w:rsid w:val="001A18F3"/>
    <w:rsid w:val="001A19AE"/>
    <w:rsid w:val="001A1A0D"/>
    <w:rsid w:val="001A2192"/>
    <w:rsid w:val="001A22A6"/>
    <w:rsid w:val="001A24B5"/>
    <w:rsid w:val="001A27A1"/>
    <w:rsid w:val="001A2C97"/>
    <w:rsid w:val="001A2D75"/>
    <w:rsid w:val="001A2FCA"/>
    <w:rsid w:val="001A3350"/>
    <w:rsid w:val="001A43E1"/>
    <w:rsid w:val="001A4524"/>
    <w:rsid w:val="001A45D5"/>
    <w:rsid w:val="001A46C0"/>
    <w:rsid w:val="001A4785"/>
    <w:rsid w:val="001A4A05"/>
    <w:rsid w:val="001A4D58"/>
    <w:rsid w:val="001A513E"/>
    <w:rsid w:val="001A5331"/>
    <w:rsid w:val="001A549E"/>
    <w:rsid w:val="001A558C"/>
    <w:rsid w:val="001A55B8"/>
    <w:rsid w:val="001A5635"/>
    <w:rsid w:val="001A5654"/>
    <w:rsid w:val="001A6053"/>
    <w:rsid w:val="001A626B"/>
    <w:rsid w:val="001A6509"/>
    <w:rsid w:val="001A6745"/>
    <w:rsid w:val="001A69B1"/>
    <w:rsid w:val="001A6A2A"/>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0F9"/>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5F27"/>
    <w:rsid w:val="001C615C"/>
    <w:rsid w:val="001C6363"/>
    <w:rsid w:val="001C6426"/>
    <w:rsid w:val="001C65D0"/>
    <w:rsid w:val="001C6779"/>
    <w:rsid w:val="001C6834"/>
    <w:rsid w:val="001C6E4B"/>
    <w:rsid w:val="001C6FD2"/>
    <w:rsid w:val="001C717F"/>
    <w:rsid w:val="001C73AD"/>
    <w:rsid w:val="001C76D1"/>
    <w:rsid w:val="001C7F50"/>
    <w:rsid w:val="001C7F58"/>
    <w:rsid w:val="001D023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099"/>
    <w:rsid w:val="001D3203"/>
    <w:rsid w:val="001D324F"/>
    <w:rsid w:val="001D39B3"/>
    <w:rsid w:val="001D3F5E"/>
    <w:rsid w:val="001D4074"/>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21A7"/>
    <w:rsid w:val="001F2782"/>
    <w:rsid w:val="001F28BB"/>
    <w:rsid w:val="001F2AD7"/>
    <w:rsid w:val="001F2FD1"/>
    <w:rsid w:val="001F3084"/>
    <w:rsid w:val="001F31EA"/>
    <w:rsid w:val="001F3AB5"/>
    <w:rsid w:val="001F3BDA"/>
    <w:rsid w:val="001F3D5D"/>
    <w:rsid w:val="001F425E"/>
    <w:rsid w:val="001F4441"/>
    <w:rsid w:val="001F46F9"/>
    <w:rsid w:val="001F47D1"/>
    <w:rsid w:val="001F4906"/>
    <w:rsid w:val="001F4941"/>
    <w:rsid w:val="001F4945"/>
    <w:rsid w:val="001F4AAD"/>
    <w:rsid w:val="001F4C52"/>
    <w:rsid w:val="001F4F0B"/>
    <w:rsid w:val="001F504C"/>
    <w:rsid w:val="001F5305"/>
    <w:rsid w:val="001F53F9"/>
    <w:rsid w:val="001F58DD"/>
    <w:rsid w:val="001F59D7"/>
    <w:rsid w:val="001F5CE6"/>
    <w:rsid w:val="001F5E9B"/>
    <w:rsid w:val="001F603A"/>
    <w:rsid w:val="001F61CF"/>
    <w:rsid w:val="001F642F"/>
    <w:rsid w:val="001F67BA"/>
    <w:rsid w:val="001F6AE8"/>
    <w:rsid w:val="001F6DCF"/>
    <w:rsid w:val="001F721E"/>
    <w:rsid w:val="001F7278"/>
    <w:rsid w:val="001F7435"/>
    <w:rsid w:val="001F7499"/>
    <w:rsid w:val="001F7A20"/>
    <w:rsid w:val="001F7BB8"/>
    <w:rsid w:val="001F7C72"/>
    <w:rsid w:val="001F7DA5"/>
    <w:rsid w:val="001F7DD8"/>
    <w:rsid w:val="00200087"/>
    <w:rsid w:val="0020008C"/>
    <w:rsid w:val="0020063F"/>
    <w:rsid w:val="00200833"/>
    <w:rsid w:val="00200ADA"/>
    <w:rsid w:val="00200CB0"/>
    <w:rsid w:val="0020100A"/>
    <w:rsid w:val="00201128"/>
    <w:rsid w:val="002014CA"/>
    <w:rsid w:val="002015D8"/>
    <w:rsid w:val="002016F0"/>
    <w:rsid w:val="00201794"/>
    <w:rsid w:val="00201AD9"/>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8"/>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D0B"/>
    <w:rsid w:val="00211F20"/>
    <w:rsid w:val="002122C1"/>
    <w:rsid w:val="002124EA"/>
    <w:rsid w:val="00212525"/>
    <w:rsid w:val="00212528"/>
    <w:rsid w:val="00212906"/>
    <w:rsid w:val="002129CC"/>
    <w:rsid w:val="002129F1"/>
    <w:rsid w:val="00212C2B"/>
    <w:rsid w:val="00212DE4"/>
    <w:rsid w:val="00213057"/>
    <w:rsid w:val="00213144"/>
    <w:rsid w:val="002131C8"/>
    <w:rsid w:val="002132B6"/>
    <w:rsid w:val="002135EA"/>
    <w:rsid w:val="0021370F"/>
    <w:rsid w:val="002139F0"/>
    <w:rsid w:val="00213B35"/>
    <w:rsid w:val="00213B4F"/>
    <w:rsid w:val="00213C90"/>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6C9"/>
    <w:rsid w:val="00217BEC"/>
    <w:rsid w:val="0022028A"/>
    <w:rsid w:val="002204C8"/>
    <w:rsid w:val="00220618"/>
    <w:rsid w:val="0022062D"/>
    <w:rsid w:val="00220BF7"/>
    <w:rsid w:val="00220C11"/>
    <w:rsid w:val="00220ED6"/>
    <w:rsid w:val="00220EEA"/>
    <w:rsid w:val="0022134C"/>
    <w:rsid w:val="00221537"/>
    <w:rsid w:val="002216DB"/>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B6"/>
    <w:rsid w:val="00223BE5"/>
    <w:rsid w:val="00223D0F"/>
    <w:rsid w:val="00223F67"/>
    <w:rsid w:val="0022401F"/>
    <w:rsid w:val="00224163"/>
    <w:rsid w:val="00224289"/>
    <w:rsid w:val="00224633"/>
    <w:rsid w:val="00224914"/>
    <w:rsid w:val="00224AED"/>
    <w:rsid w:val="00224D5C"/>
    <w:rsid w:val="00224DCB"/>
    <w:rsid w:val="002250B2"/>
    <w:rsid w:val="002256C9"/>
    <w:rsid w:val="00225B78"/>
    <w:rsid w:val="00225C03"/>
    <w:rsid w:val="00225E20"/>
    <w:rsid w:val="00225E4E"/>
    <w:rsid w:val="00225F0D"/>
    <w:rsid w:val="002261C0"/>
    <w:rsid w:val="00226627"/>
    <w:rsid w:val="002268E2"/>
    <w:rsid w:val="002268F2"/>
    <w:rsid w:val="002270F3"/>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907"/>
    <w:rsid w:val="00240A90"/>
    <w:rsid w:val="00240C3D"/>
    <w:rsid w:val="00240C4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4F7C"/>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8BE"/>
    <w:rsid w:val="00277C35"/>
    <w:rsid w:val="00280041"/>
    <w:rsid w:val="00280C49"/>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065"/>
    <w:rsid w:val="00284384"/>
    <w:rsid w:val="0028476A"/>
    <w:rsid w:val="002851A4"/>
    <w:rsid w:val="00285713"/>
    <w:rsid w:val="00285AEF"/>
    <w:rsid w:val="00285CE1"/>
    <w:rsid w:val="002860A4"/>
    <w:rsid w:val="00286362"/>
    <w:rsid w:val="00286366"/>
    <w:rsid w:val="00286527"/>
    <w:rsid w:val="00286920"/>
    <w:rsid w:val="00286A00"/>
    <w:rsid w:val="00286AFA"/>
    <w:rsid w:val="00286D84"/>
    <w:rsid w:val="0028711D"/>
    <w:rsid w:val="00287148"/>
    <w:rsid w:val="002877C6"/>
    <w:rsid w:val="00287855"/>
    <w:rsid w:val="00287959"/>
    <w:rsid w:val="00287B6A"/>
    <w:rsid w:val="00287D3B"/>
    <w:rsid w:val="00287EA0"/>
    <w:rsid w:val="0029056E"/>
    <w:rsid w:val="00290B90"/>
    <w:rsid w:val="0029112B"/>
    <w:rsid w:val="00291166"/>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47F"/>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BAC"/>
    <w:rsid w:val="002A2DEF"/>
    <w:rsid w:val="002A2FAC"/>
    <w:rsid w:val="002A300C"/>
    <w:rsid w:val="002A3042"/>
    <w:rsid w:val="002A30FC"/>
    <w:rsid w:val="002A310B"/>
    <w:rsid w:val="002A3207"/>
    <w:rsid w:val="002A33AB"/>
    <w:rsid w:val="002A3460"/>
    <w:rsid w:val="002A34AD"/>
    <w:rsid w:val="002A355D"/>
    <w:rsid w:val="002A38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5F08"/>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AF2"/>
    <w:rsid w:val="002B5DCF"/>
    <w:rsid w:val="002B602D"/>
    <w:rsid w:val="002B6230"/>
    <w:rsid w:val="002B636F"/>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4A1"/>
    <w:rsid w:val="002C1646"/>
    <w:rsid w:val="002C16CF"/>
    <w:rsid w:val="002C1867"/>
    <w:rsid w:val="002C1EA8"/>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C69"/>
    <w:rsid w:val="002C6D68"/>
    <w:rsid w:val="002C70E2"/>
    <w:rsid w:val="002C7123"/>
    <w:rsid w:val="002C7209"/>
    <w:rsid w:val="002C75E5"/>
    <w:rsid w:val="002C782F"/>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2CC"/>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1D0"/>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E7D26"/>
    <w:rsid w:val="002F0052"/>
    <w:rsid w:val="002F0222"/>
    <w:rsid w:val="002F049D"/>
    <w:rsid w:val="002F04FE"/>
    <w:rsid w:val="002F0657"/>
    <w:rsid w:val="002F139E"/>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137"/>
    <w:rsid w:val="002F4367"/>
    <w:rsid w:val="002F45FE"/>
    <w:rsid w:val="002F48D4"/>
    <w:rsid w:val="002F4A61"/>
    <w:rsid w:val="002F4C39"/>
    <w:rsid w:val="002F4EA5"/>
    <w:rsid w:val="002F566B"/>
    <w:rsid w:val="002F5731"/>
    <w:rsid w:val="002F58A8"/>
    <w:rsid w:val="002F5FB7"/>
    <w:rsid w:val="002F66DA"/>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68"/>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9A5"/>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1287"/>
    <w:rsid w:val="0031223C"/>
    <w:rsid w:val="00312853"/>
    <w:rsid w:val="00312B66"/>
    <w:rsid w:val="00312F0F"/>
    <w:rsid w:val="00313774"/>
    <w:rsid w:val="00313929"/>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31"/>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D7"/>
    <w:rsid w:val="0031793B"/>
    <w:rsid w:val="00317A87"/>
    <w:rsid w:val="00317C9F"/>
    <w:rsid w:val="00317D4D"/>
    <w:rsid w:val="00317FEA"/>
    <w:rsid w:val="00320084"/>
    <w:rsid w:val="0032018D"/>
    <w:rsid w:val="00320294"/>
    <w:rsid w:val="003202FC"/>
    <w:rsid w:val="00320635"/>
    <w:rsid w:val="00320740"/>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8B1"/>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1CA"/>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0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AF0"/>
    <w:rsid w:val="0034627D"/>
    <w:rsid w:val="003462D4"/>
    <w:rsid w:val="003468F3"/>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2CDD"/>
    <w:rsid w:val="003534D6"/>
    <w:rsid w:val="00353542"/>
    <w:rsid w:val="003535F0"/>
    <w:rsid w:val="0035366E"/>
    <w:rsid w:val="003536B9"/>
    <w:rsid w:val="00353729"/>
    <w:rsid w:val="00353C14"/>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088"/>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08"/>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E1"/>
    <w:rsid w:val="00377725"/>
    <w:rsid w:val="00377E50"/>
    <w:rsid w:val="00377F90"/>
    <w:rsid w:val="00377F99"/>
    <w:rsid w:val="003800BF"/>
    <w:rsid w:val="00380215"/>
    <w:rsid w:val="0038074D"/>
    <w:rsid w:val="00380856"/>
    <w:rsid w:val="00380B59"/>
    <w:rsid w:val="00380E6D"/>
    <w:rsid w:val="00381CA0"/>
    <w:rsid w:val="00381E8A"/>
    <w:rsid w:val="00382208"/>
    <w:rsid w:val="00382284"/>
    <w:rsid w:val="0038271A"/>
    <w:rsid w:val="0038280E"/>
    <w:rsid w:val="00382982"/>
    <w:rsid w:val="003829BC"/>
    <w:rsid w:val="00382C26"/>
    <w:rsid w:val="003831D5"/>
    <w:rsid w:val="003840EF"/>
    <w:rsid w:val="0038425E"/>
    <w:rsid w:val="003842AA"/>
    <w:rsid w:val="003842D8"/>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83"/>
    <w:rsid w:val="003875CF"/>
    <w:rsid w:val="003877D1"/>
    <w:rsid w:val="003878DD"/>
    <w:rsid w:val="00387A3F"/>
    <w:rsid w:val="00387AC1"/>
    <w:rsid w:val="00387B49"/>
    <w:rsid w:val="003905E8"/>
    <w:rsid w:val="003906EF"/>
    <w:rsid w:val="003908BC"/>
    <w:rsid w:val="00390A8F"/>
    <w:rsid w:val="00390B6E"/>
    <w:rsid w:val="00390D2F"/>
    <w:rsid w:val="00390D93"/>
    <w:rsid w:val="00390E44"/>
    <w:rsid w:val="00390F2A"/>
    <w:rsid w:val="0039114D"/>
    <w:rsid w:val="003912F9"/>
    <w:rsid w:val="003913F6"/>
    <w:rsid w:val="0039182E"/>
    <w:rsid w:val="003918C9"/>
    <w:rsid w:val="00391A6C"/>
    <w:rsid w:val="00391BE9"/>
    <w:rsid w:val="00391D99"/>
    <w:rsid w:val="00392021"/>
    <w:rsid w:val="00392119"/>
    <w:rsid w:val="00392444"/>
    <w:rsid w:val="00392636"/>
    <w:rsid w:val="0039269C"/>
    <w:rsid w:val="00392B29"/>
    <w:rsid w:val="00392B8C"/>
    <w:rsid w:val="00392C21"/>
    <w:rsid w:val="00392CA6"/>
    <w:rsid w:val="003931B9"/>
    <w:rsid w:val="003934E2"/>
    <w:rsid w:val="003938DF"/>
    <w:rsid w:val="00393EEE"/>
    <w:rsid w:val="00393F9A"/>
    <w:rsid w:val="00394121"/>
    <w:rsid w:val="003945E3"/>
    <w:rsid w:val="00394630"/>
    <w:rsid w:val="003948ED"/>
    <w:rsid w:val="00394A26"/>
    <w:rsid w:val="00394C1A"/>
    <w:rsid w:val="00394C3A"/>
    <w:rsid w:val="00395195"/>
    <w:rsid w:val="00395648"/>
    <w:rsid w:val="0039591A"/>
    <w:rsid w:val="00395B98"/>
    <w:rsid w:val="00395E6D"/>
    <w:rsid w:val="003965D1"/>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21E"/>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684"/>
    <w:rsid w:val="003A69B5"/>
    <w:rsid w:val="003A69EF"/>
    <w:rsid w:val="003A6DD1"/>
    <w:rsid w:val="003A6F00"/>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8BF"/>
    <w:rsid w:val="003B39F3"/>
    <w:rsid w:val="003B3A12"/>
    <w:rsid w:val="003B3BD4"/>
    <w:rsid w:val="003B3EF1"/>
    <w:rsid w:val="003B4094"/>
    <w:rsid w:val="003B4164"/>
    <w:rsid w:val="003B43F1"/>
    <w:rsid w:val="003B44A5"/>
    <w:rsid w:val="003B4703"/>
    <w:rsid w:val="003B48A8"/>
    <w:rsid w:val="003B496B"/>
    <w:rsid w:val="003B49AB"/>
    <w:rsid w:val="003B4C61"/>
    <w:rsid w:val="003B4E52"/>
    <w:rsid w:val="003B4F99"/>
    <w:rsid w:val="003B5450"/>
    <w:rsid w:val="003B5506"/>
    <w:rsid w:val="003B554C"/>
    <w:rsid w:val="003B575F"/>
    <w:rsid w:val="003B58C8"/>
    <w:rsid w:val="003B5CE7"/>
    <w:rsid w:val="003B5D06"/>
    <w:rsid w:val="003B5F67"/>
    <w:rsid w:val="003B5FEE"/>
    <w:rsid w:val="003B6D0A"/>
    <w:rsid w:val="003B6DD3"/>
    <w:rsid w:val="003B6DD7"/>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BCF"/>
    <w:rsid w:val="003C2CF9"/>
    <w:rsid w:val="003C322E"/>
    <w:rsid w:val="003C3396"/>
    <w:rsid w:val="003C3583"/>
    <w:rsid w:val="003C3911"/>
    <w:rsid w:val="003C3BCC"/>
    <w:rsid w:val="003C40FB"/>
    <w:rsid w:val="003C4137"/>
    <w:rsid w:val="003C428D"/>
    <w:rsid w:val="003C44E0"/>
    <w:rsid w:val="003C4581"/>
    <w:rsid w:val="003C461B"/>
    <w:rsid w:val="003C4723"/>
    <w:rsid w:val="003C4C47"/>
    <w:rsid w:val="003C527F"/>
    <w:rsid w:val="003C56BF"/>
    <w:rsid w:val="003C5714"/>
    <w:rsid w:val="003C597E"/>
    <w:rsid w:val="003C5E02"/>
    <w:rsid w:val="003C602A"/>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3BB1"/>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4BC"/>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2BA"/>
    <w:rsid w:val="003E6895"/>
    <w:rsid w:val="003E6A88"/>
    <w:rsid w:val="003E6B51"/>
    <w:rsid w:val="003E7193"/>
    <w:rsid w:val="003E7A0E"/>
    <w:rsid w:val="003F0279"/>
    <w:rsid w:val="003F0332"/>
    <w:rsid w:val="003F050B"/>
    <w:rsid w:val="003F06D3"/>
    <w:rsid w:val="003F06DD"/>
    <w:rsid w:val="003F0941"/>
    <w:rsid w:val="003F09B4"/>
    <w:rsid w:val="003F09EB"/>
    <w:rsid w:val="003F0A9A"/>
    <w:rsid w:val="003F150A"/>
    <w:rsid w:val="003F15B4"/>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6DD"/>
    <w:rsid w:val="003F47BA"/>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CA0"/>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010"/>
    <w:rsid w:val="00411304"/>
    <w:rsid w:val="0041171F"/>
    <w:rsid w:val="00411ADF"/>
    <w:rsid w:val="00411BCC"/>
    <w:rsid w:val="00412606"/>
    <w:rsid w:val="0041265A"/>
    <w:rsid w:val="00412687"/>
    <w:rsid w:val="004126C8"/>
    <w:rsid w:val="0041294A"/>
    <w:rsid w:val="00413208"/>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570"/>
    <w:rsid w:val="00416594"/>
    <w:rsid w:val="004167A6"/>
    <w:rsid w:val="004167EA"/>
    <w:rsid w:val="004168DB"/>
    <w:rsid w:val="004169E8"/>
    <w:rsid w:val="00416DCC"/>
    <w:rsid w:val="00417BD3"/>
    <w:rsid w:val="00417E1A"/>
    <w:rsid w:val="0042021F"/>
    <w:rsid w:val="0042044A"/>
    <w:rsid w:val="00420481"/>
    <w:rsid w:val="004204E1"/>
    <w:rsid w:val="00420FE5"/>
    <w:rsid w:val="00421055"/>
    <w:rsid w:val="0042113D"/>
    <w:rsid w:val="0042114E"/>
    <w:rsid w:val="00421227"/>
    <w:rsid w:val="00421498"/>
    <w:rsid w:val="0042163C"/>
    <w:rsid w:val="004218BD"/>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871"/>
    <w:rsid w:val="00433909"/>
    <w:rsid w:val="00433A6A"/>
    <w:rsid w:val="00433E6D"/>
    <w:rsid w:val="004340C6"/>
    <w:rsid w:val="004345CE"/>
    <w:rsid w:val="0043467D"/>
    <w:rsid w:val="00434766"/>
    <w:rsid w:val="0043490D"/>
    <w:rsid w:val="00434B8E"/>
    <w:rsid w:val="00434F82"/>
    <w:rsid w:val="00434FFB"/>
    <w:rsid w:val="004352CF"/>
    <w:rsid w:val="00435701"/>
    <w:rsid w:val="004360BD"/>
    <w:rsid w:val="0043622F"/>
    <w:rsid w:val="004363DF"/>
    <w:rsid w:val="004365B3"/>
    <w:rsid w:val="004366D9"/>
    <w:rsid w:val="00436E83"/>
    <w:rsid w:val="004373DC"/>
    <w:rsid w:val="00437608"/>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499"/>
    <w:rsid w:val="004436D0"/>
    <w:rsid w:val="00443CA1"/>
    <w:rsid w:val="00443E2D"/>
    <w:rsid w:val="00443F31"/>
    <w:rsid w:val="00444760"/>
    <w:rsid w:val="004448BA"/>
    <w:rsid w:val="00444949"/>
    <w:rsid w:val="00444BC9"/>
    <w:rsid w:val="004452C0"/>
    <w:rsid w:val="00445382"/>
    <w:rsid w:val="004458AA"/>
    <w:rsid w:val="004459BE"/>
    <w:rsid w:val="00445B43"/>
    <w:rsid w:val="00445E54"/>
    <w:rsid w:val="00445E65"/>
    <w:rsid w:val="00445EA2"/>
    <w:rsid w:val="00445FF5"/>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309"/>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B22"/>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0F2B"/>
    <w:rsid w:val="00461071"/>
    <w:rsid w:val="004610F0"/>
    <w:rsid w:val="004612F7"/>
    <w:rsid w:val="0046177F"/>
    <w:rsid w:val="00461C36"/>
    <w:rsid w:val="00461D4A"/>
    <w:rsid w:val="00461EBD"/>
    <w:rsid w:val="0046210D"/>
    <w:rsid w:val="00462672"/>
    <w:rsid w:val="00462985"/>
    <w:rsid w:val="00462C92"/>
    <w:rsid w:val="00462D0F"/>
    <w:rsid w:val="00462F2D"/>
    <w:rsid w:val="0046302F"/>
    <w:rsid w:val="00463284"/>
    <w:rsid w:val="004637F5"/>
    <w:rsid w:val="00463C7E"/>
    <w:rsid w:val="00463E7D"/>
    <w:rsid w:val="0046414F"/>
    <w:rsid w:val="0046440B"/>
    <w:rsid w:val="004649ED"/>
    <w:rsid w:val="00464A49"/>
    <w:rsid w:val="00464D03"/>
    <w:rsid w:val="00464D42"/>
    <w:rsid w:val="00464F0D"/>
    <w:rsid w:val="0046538D"/>
    <w:rsid w:val="0046550B"/>
    <w:rsid w:val="00465AF0"/>
    <w:rsid w:val="00465C78"/>
    <w:rsid w:val="00465DDD"/>
    <w:rsid w:val="00466468"/>
    <w:rsid w:val="00466864"/>
    <w:rsid w:val="00466D3A"/>
    <w:rsid w:val="00466DA8"/>
    <w:rsid w:val="00466E9B"/>
    <w:rsid w:val="00467744"/>
    <w:rsid w:val="00467AAF"/>
    <w:rsid w:val="00467B04"/>
    <w:rsid w:val="00467B05"/>
    <w:rsid w:val="00467D6B"/>
    <w:rsid w:val="004707E8"/>
    <w:rsid w:val="00470A75"/>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69"/>
    <w:rsid w:val="00473C75"/>
    <w:rsid w:val="00474037"/>
    <w:rsid w:val="00474306"/>
    <w:rsid w:val="00474349"/>
    <w:rsid w:val="00474607"/>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61F"/>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855"/>
    <w:rsid w:val="004909A2"/>
    <w:rsid w:val="004909B5"/>
    <w:rsid w:val="00490B2A"/>
    <w:rsid w:val="00490CE9"/>
    <w:rsid w:val="004912E3"/>
    <w:rsid w:val="00491602"/>
    <w:rsid w:val="004919B1"/>
    <w:rsid w:val="00491A81"/>
    <w:rsid w:val="00491B4B"/>
    <w:rsid w:val="00491BAA"/>
    <w:rsid w:val="00491C68"/>
    <w:rsid w:val="00491E4F"/>
    <w:rsid w:val="00491FD3"/>
    <w:rsid w:val="004928AB"/>
    <w:rsid w:val="00492F91"/>
    <w:rsid w:val="004931E5"/>
    <w:rsid w:val="00493377"/>
    <w:rsid w:val="004933C6"/>
    <w:rsid w:val="0049359B"/>
    <w:rsid w:val="00493614"/>
    <w:rsid w:val="004937A4"/>
    <w:rsid w:val="004937BF"/>
    <w:rsid w:val="00493E08"/>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72"/>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498"/>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EC9"/>
    <w:rsid w:val="004A5F98"/>
    <w:rsid w:val="004A6461"/>
    <w:rsid w:val="004A64D8"/>
    <w:rsid w:val="004A65AD"/>
    <w:rsid w:val="004A65DA"/>
    <w:rsid w:val="004A65EB"/>
    <w:rsid w:val="004A6657"/>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31B"/>
    <w:rsid w:val="004B3470"/>
    <w:rsid w:val="004B37C7"/>
    <w:rsid w:val="004B39B1"/>
    <w:rsid w:val="004B3E1E"/>
    <w:rsid w:val="004B3F3F"/>
    <w:rsid w:val="004B3F78"/>
    <w:rsid w:val="004B3FDA"/>
    <w:rsid w:val="004B42E7"/>
    <w:rsid w:val="004B484D"/>
    <w:rsid w:val="004B4EDF"/>
    <w:rsid w:val="004B548C"/>
    <w:rsid w:val="004B5526"/>
    <w:rsid w:val="004B55C5"/>
    <w:rsid w:val="004B5733"/>
    <w:rsid w:val="004B58EE"/>
    <w:rsid w:val="004B5A09"/>
    <w:rsid w:val="004B5A87"/>
    <w:rsid w:val="004B5D27"/>
    <w:rsid w:val="004B5F60"/>
    <w:rsid w:val="004B61E0"/>
    <w:rsid w:val="004B64FA"/>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1D4"/>
    <w:rsid w:val="004C1285"/>
    <w:rsid w:val="004C12F3"/>
    <w:rsid w:val="004C1525"/>
    <w:rsid w:val="004C19B8"/>
    <w:rsid w:val="004C1C1B"/>
    <w:rsid w:val="004C1FD0"/>
    <w:rsid w:val="004C2C01"/>
    <w:rsid w:val="004C2C8B"/>
    <w:rsid w:val="004C2C99"/>
    <w:rsid w:val="004C2E3F"/>
    <w:rsid w:val="004C2E46"/>
    <w:rsid w:val="004C2E70"/>
    <w:rsid w:val="004C376B"/>
    <w:rsid w:val="004C3919"/>
    <w:rsid w:val="004C3C3E"/>
    <w:rsid w:val="004C3CBF"/>
    <w:rsid w:val="004C3ED2"/>
    <w:rsid w:val="004C3FE9"/>
    <w:rsid w:val="004C4389"/>
    <w:rsid w:val="004C4732"/>
    <w:rsid w:val="004C475D"/>
    <w:rsid w:val="004C4965"/>
    <w:rsid w:val="004C4A76"/>
    <w:rsid w:val="004C4C87"/>
    <w:rsid w:val="004C511F"/>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236"/>
    <w:rsid w:val="004D35AD"/>
    <w:rsid w:val="004D3A47"/>
    <w:rsid w:val="004D3E8A"/>
    <w:rsid w:val="004D3F29"/>
    <w:rsid w:val="004D40E4"/>
    <w:rsid w:val="004D4459"/>
    <w:rsid w:val="004D4931"/>
    <w:rsid w:val="004D4BA5"/>
    <w:rsid w:val="004D52A2"/>
    <w:rsid w:val="004D5395"/>
    <w:rsid w:val="004D5552"/>
    <w:rsid w:val="004D5803"/>
    <w:rsid w:val="004D58F7"/>
    <w:rsid w:val="004D5B92"/>
    <w:rsid w:val="004D5E36"/>
    <w:rsid w:val="004D5E67"/>
    <w:rsid w:val="004D6111"/>
    <w:rsid w:val="004D614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5D14"/>
    <w:rsid w:val="004E6442"/>
    <w:rsid w:val="004E658F"/>
    <w:rsid w:val="004E6864"/>
    <w:rsid w:val="004E6A7A"/>
    <w:rsid w:val="004E6C94"/>
    <w:rsid w:val="004E6D0B"/>
    <w:rsid w:val="004E6DB9"/>
    <w:rsid w:val="004E73F2"/>
    <w:rsid w:val="004E7AA8"/>
    <w:rsid w:val="004E7B9E"/>
    <w:rsid w:val="004F0375"/>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4F6"/>
    <w:rsid w:val="004F55DD"/>
    <w:rsid w:val="004F561F"/>
    <w:rsid w:val="004F570C"/>
    <w:rsid w:val="004F57E3"/>
    <w:rsid w:val="004F59B4"/>
    <w:rsid w:val="004F5A8C"/>
    <w:rsid w:val="004F6316"/>
    <w:rsid w:val="004F65A7"/>
    <w:rsid w:val="004F6653"/>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73"/>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1F1"/>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1B5"/>
    <w:rsid w:val="0052255A"/>
    <w:rsid w:val="005228C0"/>
    <w:rsid w:val="005229C7"/>
    <w:rsid w:val="00523466"/>
    <w:rsid w:val="00523572"/>
    <w:rsid w:val="00523DD2"/>
    <w:rsid w:val="00523E1B"/>
    <w:rsid w:val="00523F10"/>
    <w:rsid w:val="00523FB9"/>
    <w:rsid w:val="005242AF"/>
    <w:rsid w:val="00524CB1"/>
    <w:rsid w:val="0052514B"/>
    <w:rsid w:val="0052539D"/>
    <w:rsid w:val="00525833"/>
    <w:rsid w:val="005258C1"/>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1FC"/>
    <w:rsid w:val="0053030C"/>
    <w:rsid w:val="005304F9"/>
    <w:rsid w:val="00530540"/>
    <w:rsid w:val="005308B1"/>
    <w:rsid w:val="005309B2"/>
    <w:rsid w:val="00530A79"/>
    <w:rsid w:val="00530CF6"/>
    <w:rsid w:val="0053106B"/>
    <w:rsid w:val="00531682"/>
    <w:rsid w:val="0053195F"/>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2B8"/>
    <w:rsid w:val="005344F1"/>
    <w:rsid w:val="00534502"/>
    <w:rsid w:val="005347F8"/>
    <w:rsid w:val="00534806"/>
    <w:rsid w:val="005348DE"/>
    <w:rsid w:val="00534A0D"/>
    <w:rsid w:val="00535000"/>
    <w:rsid w:val="005352B5"/>
    <w:rsid w:val="00535402"/>
    <w:rsid w:val="005355F0"/>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29"/>
    <w:rsid w:val="005403AC"/>
    <w:rsid w:val="0054060F"/>
    <w:rsid w:val="005407E0"/>
    <w:rsid w:val="0054093F"/>
    <w:rsid w:val="0054099D"/>
    <w:rsid w:val="00540A60"/>
    <w:rsid w:val="00540ABD"/>
    <w:rsid w:val="00540D67"/>
    <w:rsid w:val="00541179"/>
    <w:rsid w:val="00541687"/>
    <w:rsid w:val="005416F2"/>
    <w:rsid w:val="00542251"/>
    <w:rsid w:val="005427F3"/>
    <w:rsid w:val="00542E03"/>
    <w:rsid w:val="00543381"/>
    <w:rsid w:val="00543391"/>
    <w:rsid w:val="00543778"/>
    <w:rsid w:val="00543988"/>
    <w:rsid w:val="00543FDB"/>
    <w:rsid w:val="00544030"/>
    <w:rsid w:val="00544229"/>
    <w:rsid w:val="00544235"/>
    <w:rsid w:val="00544665"/>
    <w:rsid w:val="00544757"/>
    <w:rsid w:val="005449DC"/>
    <w:rsid w:val="00544F41"/>
    <w:rsid w:val="00545086"/>
    <w:rsid w:val="00545112"/>
    <w:rsid w:val="0054513A"/>
    <w:rsid w:val="005451A9"/>
    <w:rsid w:val="00545386"/>
    <w:rsid w:val="005456D0"/>
    <w:rsid w:val="00545887"/>
    <w:rsid w:val="00546014"/>
    <w:rsid w:val="00546355"/>
    <w:rsid w:val="00546ADB"/>
    <w:rsid w:val="00546EF8"/>
    <w:rsid w:val="00546F8B"/>
    <w:rsid w:val="0054722F"/>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3F48"/>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7BE"/>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43F"/>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EB4"/>
    <w:rsid w:val="00567FF8"/>
    <w:rsid w:val="00570114"/>
    <w:rsid w:val="005704AB"/>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8F2"/>
    <w:rsid w:val="00585F09"/>
    <w:rsid w:val="0058617B"/>
    <w:rsid w:val="005862E6"/>
    <w:rsid w:val="00586666"/>
    <w:rsid w:val="00586706"/>
    <w:rsid w:val="005867D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736"/>
    <w:rsid w:val="0059385F"/>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6F2"/>
    <w:rsid w:val="005967D1"/>
    <w:rsid w:val="00596A38"/>
    <w:rsid w:val="00596DA9"/>
    <w:rsid w:val="00596E03"/>
    <w:rsid w:val="0059705E"/>
    <w:rsid w:val="00597203"/>
    <w:rsid w:val="005972B6"/>
    <w:rsid w:val="00597878"/>
    <w:rsid w:val="00597B5B"/>
    <w:rsid w:val="005A012A"/>
    <w:rsid w:val="005A01D8"/>
    <w:rsid w:val="005A0222"/>
    <w:rsid w:val="005A039A"/>
    <w:rsid w:val="005A0501"/>
    <w:rsid w:val="005A075D"/>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2D7"/>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318"/>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6F63"/>
    <w:rsid w:val="005B7547"/>
    <w:rsid w:val="005B7778"/>
    <w:rsid w:val="005B7859"/>
    <w:rsid w:val="005B7AA7"/>
    <w:rsid w:val="005B7B1B"/>
    <w:rsid w:val="005B7BA7"/>
    <w:rsid w:val="005B7C70"/>
    <w:rsid w:val="005B7F02"/>
    <w:rsid w:val="005C0337"/>
    <w:rsid w:val="005C05EA"/>
    <w:rsid w:val="005C080B"/>
    <w:rsid w:val="005C0928"/>
    <w:rsid w:val="005C0D2E"/>
    <w:rsid w:val="005C128E"/>
    <w:rsid w:val="005C14F7"/>
    <w:rsid w:val="005C1F69"/>
    <w:rsid w:val="005C25A7"/>
    <w:rsid w:val="005C2A06"/>
    <w:rsid w:val="005C306F"/>
    <w:rsid w:val="005C35A0"/>
    <w:rsid w:val="005C38B5"/>
    <w:rsid w:val="005C3C5A"/>
    <w:rsid w:val="005C3DD3"/>
    <w:rsid w:val="005C3F99"/>
    <w:rsid w:val="005C456E"/>
    <w:rsid w:val="005C47F7"/>
    <w:rsid w:val="005C4D2E"/>
    <w:rsid w:val="005C504D"/>
    <w:rsid w:val="005C5095"/>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3F67"/>
    <w:rsid w:val="005D41A3"/>
    <w:rsid w:val="005D47C0"/>
    <w:rsid w:val="005D47C6"/>
    <w:rsid w:val="005D4A73"/>
    <w:rsid w:val="005D4B76"/>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D22"/>
    <w:rsid w:val="005D7EE4"/>
    <w:rsid w:val="005E075D"/>
    <w:rsid w:val="005E090A"/>
    <w:rsid w:val="005E0964"/>
    <w:rsid w:val="005E0D94"/>
    <w:rsid w:val="005E0DB8"/>
    <w:rsid w:val="005E1521"/>
    <w:rsid w:val="005E1769"/>
    <w:rsid w:val="005E1888"/>
    <w:rsid w:val="005E1B4D"/>
    <w:rsid w:val="005E1E12"/>
    <w:rsid w:val="005E1E47"/>
    <w:rsid w:val="005E1EB1"/>
    <w:rsid w:val="005E1EC5"/>
    <w:rsid w:val="005E2122"/>
    <w:rsid w:val="005E29E6"/>
    <w:rsid w:val="005E2C4C"/>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0C"/>
    <w:rsid w:val="005E7D2D"/>
    <w:rsid w:val="005E7ED4"/>
    <w:rsid w:val="005F0DE3"/>
    <w:rsid w:val="005F0F67"/>
    <w:rsid w:val="005F1003"/>
    <w:rsid w:val="005F10EA"/>
    <w:rsid w:val="005F13AA"/>
    <w:rsid w:val="005F14C2"/>
    <w:rsid w:val="005F1567"/>
    <w:rsid w:val="005F1C64"/>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63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17F"/>
    <w:rsid w:val="00600357"/>
    <w:rsid w:val="0060051C"/>
    <w:rsid w:val="006009D9"/>
    <w:rsid w:val="00600E3F"/>
    <w:rsid w:val="00600E95"/>
    <w:rsid w:val="0060147C"/>
    <w:rsid w:val="006014DF"/>
    <w:rsid w:val="00601B27"/>
    <w:rsid w:val="00601D1B"/>
    <w:rsid w:val="00601E17"/>
    <w:rsid w:val="00601E85"/>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5E"/>
    <w:rsid w:val="006053C3"/>
    <w:rsid w:val="006053D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79F"/>
    <w:rsid w:val="00615AF6"/>
    <w:rsid w:val="00615CA0"/>
    <w:rsid w:val="00615D17"/>
    <w:rsid w:val="00615E76"/>
    <w:rsid w:val="00615FC2"/>
    <w:rsid w:val="00616144"/>
    <w:rsid w:val="00616295"/>
    <w:rsid w:val="00616388"/>
    <w:rsid w:val="00616491"/>
    <w:rsid w:val="006165A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2F54"/>
    <w:rsid w:val="006333B6"/>
    <w:rsid w:val="0063418C"/>
    <w:rsid w:val="00634224"/>
    <w:rsid w:val="006342C4"/>
    <w:rsid w:val="00634407"/>
    <w:rsid w:val="0063467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A44"/>
    <w:rsid w:val="00640F68"/>
    <w:rsid w:val="00641064"/>
    <w:rsid w:val="006416F4"/>
    <w:rsid w:val="0064198C"/>
    <w:rsid w:val="00641E93"/>
    <w:rsid w:val="00641EA9"/>
    <w:rsid w:val="00641ED1"/>
    <w:rsid w:val="0064257E"/>
    <w:rsid w:val="00642649"/>
    <w:rsid w:val="0064276F"/>
    <w:rsid w:val="00642BEC"/>
    <w:rsid w:val="00642E2E"/>
    <w:rsid w:val="00642E6E"/>
    <w:rsid w:val="006431B0"/>
    <w:rsid w:val="00643B28"/>
    <w:rsid w:val="00643BD1"/>
    <w:rsid w:val="0064403A"/>
    <w:rsid w:val="0064408E"/>
    <w:rsid w:val="006443BD"/>
    <w:rsid w:val="006445A8"/>
    <w:rsid w:val="006445E7"/>
    <w:rsid w:val="00644A2E"/>
    <w:rsid w:val="00644B9C"/>
    <w:rsid w:val="00644EC7"/>
    <w:rsid w:val="006450B9"/>
    <w:rsid w:val="006454E3"/>
    <w:rsid w:val="00645525"/>
    <w:rsid w:val="00645878"/>
    <w:rsid w:val="006458BB"/>
    <w:rsid w:val="00645A59"/>
    <w:rsid w:val="00645A5F"/>
    <w:rsid w:val="00645B64"/>
    <w:rsid w:val="00645D01"/>
    <w:rsid w:val="00646421"/>
    <w:rsid w:val="00646528"/>
    <w:rsid w:val="00646665"/>
    <w:rsid w:val="0064687C"/>
    <w:rsid w:val="00646BC2"/>
    <w:rsid w:val="006471E4"/>
    <w:rsid w:val="00647F41"/>
    <w:rsid w:val="00650319"/>
    <w:rsid w:val="00650408"/>
    <w:rsid w:val="0065053D"/>
    <w:rsid w:val="006509B6"/>
    <w:rsid w:val="00650A76"/>
    <w:rsid w:val="00650F2D"/>
    <w:rsid w:val="00650F36"/>
    <w:rsid w:val="00650FE7"/>
    <w:rsid w:val="006515CB"/>
    <w:rsid w:val="00651602"/>
    <w:rsid w:val="00651AA0"/>
    <w:rsid w:val="00651AA4"/>
    <w:rsid w:val="006520DE"/>
    <w:rsid w:val="00652135"/>
    <w:rsid w:val="006525E2"/>
    <w:rsid w:val="006526F7"/>
    <w:rsid w:val="00652C30"/>
    <w:rsid w:val="00652E30"/>
    <w:rsid w:val="00652EDD"/>
    <w:rsid w:val="006530B9"/>
    <w:rsid w:val="00653540"/>
    <w:rsid w:val="00653819"/>
    <w:rsid w:val="00653921"/>
    <w:rsid w:val="0065397D"/>
    <w:rsid w:val="00653C31"/>
    <w:rsid w:val="00653E51"/>
    <w:rsid w:val="006541F2"/>
    <w:rsid w:val="00654254"/>
    <w:rsid w:val="006542E6"/>
    <w:rsid w:val="0065442F"/>
    <w:rsid w:val="00654632"/>
    <w:rsid w:val="006549B4"/>
    <w:rsid w:val="00655233"/>
    <w:rsid w:val="00655245"/>
    <w:rsid w:val="00655369"/>
    <w:rsid w:val="006556D8"/>
    <w:rsid w:val="00655911"/>
    <w:rsid w:val="006559D6"/>
    <w:rsid w:val="00655CB2"/>
    <w:rsid w:val="00655E97"/>
    <w:rsid w:val="00656198"/>
    <w:rsid w:val="00656419"/>
    <w:rsid w:val="00656B4C"/>
    <w:rsid w:val="00656BBA"/>
    <w:rsid w:val="00656C59"/>
    <w:rsid w:val="00656C9C"/>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3ED3"/>
    <w:rsid w:val="00664045"/>
    <w:rsid w:val="00664173"/>
    <w:rsid w:val="0066470E"/>
    <w:rsid w:val="00665280"/>
    <w:rsid w:val="00665822"/>
    <w:rsid w:val="00665EDD"/>
    <w:rsid w:val="00665FD1"/>
    <w:rsid w:val="00666122"/>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2ED3"/>
    <w:rsid w:val="006730F9"/>
    <w:rsid w:val="0067347C"/>
    <w:rsid w:val="006734A3"/>
    <w:rsid w:val="006737EE"/>
    <w:rsid w:val="00673B98"/>
    <w:rsid w:val="00673FA8"/>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B9B"/>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D18"/>
    <w:rsid w:val="00683130"/>
    <w:rsid w:val="006834C6"/>
    <w:rsid w:val="00683680"/>
    <w:rsid w:val="00683764"/>
    <w:rsid w:val="0068383F"/>
    <w:rsid w:val="006838AA"/>
    <w:rsid w:val="00683ABC"/>
    <w:rsid w:val="00683C91"/>
    <w:rsid w:val="006840D1"/>
    <w:rsid w:val="0068485A"/>
    <w:rsid w:val="00684C36"/>
    <w:rsid w:val="00685643"/>
    <w:rsid w:val="00685860"/>
    <w:rsid w:val="00685E78"/>
    <w:rsid w:val="00686086"/>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A13"/>
    <w:rsid w:val="00691B26"/>
    <w:rsid w:val="00691D76"/>
    <w:rsid w:val="00691DFA"/>
    <w:rsid w:val="00691ECC"/>
    <w:rsid w:val="006920F8"/>
    <w:rsid w:val="0069232B"/>
    <w:rsid w:val="0069289F"/>
    <w:rsid w:val="00692C88"/>
    <w:rsid w:val="00693304"/>
    <w:rsid w:val="006937F9"/>
    <w:rsid w:val="006938A0"/>
    <w:rsid w:val="00693B04"/>
    <w:rsid w:val="00693C6D"/>
    <w:rsid w:val="00693C7B"/>
    <w:rsid w:val="00693D32"/>
    <w:rsid w:val="00693F41"/>
    <w:rsid w:val="006943D9"/>
    <w:rsid w:val="006947F0"/>
    <w:rsid w:val="00694A0D"/>
    <w:rsid w:val="00694B98"/>
    <w:rsid w:val="0069529C"/>
    <w:rsid w:val="0069546D"/>
    <w:rsid w:val="0069576C"/>
    <w:rsid w:val="00695B80"/>
    <w:rsid w:val="00695CCB"/>
    <w:rsid w:val="00695F05"/>
    <w:rsid w:val="0069605A"/>
    <w:rsid w:val="0069610F"/>
    <w:rsid w:val="00696488"/>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387"/>
    <w:rsid w:val="006A2481"/>
    <w:rsid w:val="006A24E7"/>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9DF"/>
    <w:rsid w:val="006A5EA2"/>
    <w:rsid w:val="006A676A"/>
    <w:rsid w:val="006A6F63"/>
    <w:rsid w:val="006A7449"/>
    <w:rsid w:val="006A75E3"/>
    <w:rsid w:val="006A761B"/>
    <w:rsid w:val="006A79F6"/>
    <w:rsid w:val="006A7D20"/>
    <w:rsid w:val="006A7DC4"/>
    <w:rsid w:val="006B01E0"/>
    <w:rsid w:val="006B036C"/>
    <w:rsid w:val="006B03AE"/>
    <w:rsid w:val="006B04FD"/>
    <w:rsid w:val="006B09C0"/>
    <w:rsid w:val="006B0A44"/>
    <w:rsid w:val="006B0C12"/>
    <w:rsid w:val="006B0D33"/>
    <w:rsid w:val="006B1116"/>
    <w:rsid w:val="006B1516"/>
    <w:rsid w:val="006B1B56"/>
    <w:rsid w:val="006B1D2A"/>
    <w:rsid w:val="006B1F08"/>
    <w:rsid w:val="006B2203"/>
    <w:rsid w:val="006B2472"/>
    <w:rsid w:val="006B2586"/>
    <w:rsid w:val="006B25EA"/>
    <w:rsid w:val="006B26B9"/>
    <w:rsid w:val="006B26C3"/>
    <w:rsid w:val="006B2C91"/>
    <w:rsid w:val="006B2EEA"/>
    <w:rsid w:val="006B3391"/>
    <w:rsid w:val="006B34A9"/>
    <w:rsid w:val="006B356D"/>
    <w:rsid w:val="006B37B9"/>
    <w:rsid w:val="006B37D2"/>
    <w:rsid w:val="006B386C"/>
    <w:rsid w:val="006B38DD"/>
    <w:rsid w:val="006B41AC"/>
    <w:rsid w:val="006B4653"/>
    <w:rsid w:val="006B4699"/>
    <w:rsid w:val="006B473C"/>
    <w:rsid w:val="006B4AFF"/>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327"/>
    <w:rsid w:val="006C04D8"/>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2F6"/>
    <w:rsid w:val="006D6463"/>
    <w:rsid w:val="006D651C"/>
    <w:rsid w:val="006D6AD3"/>
    <w:rsid w:val="006D7128"/>
    <w:rsid w:val="006D760E"/>
    <w:rsid w:val="006D790F"/>
    <w:rsid w:val="006D7BB2"/>
    <w:rsid w:val="006D7DD9"/>
    <w:rsid w:val="006D7F44"/>
    <w:rsid w:val="006E001B"/>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1E0A"/>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C98"/>
    <w:rsid w:val="006E5DC1"/>
    <w:rsid w:val="006E5DF1"/>
    <w:rsid w:val="006E5E4E"/>
    <w:rsid w:val="006E639B"/>
    <w:rsid w:val="006E64BB"/>
    <w:rsid w:val="006E6F78"/>
    <w:rsid w:val="006E718B"/>
    <w:rsid w:val="006E719F"/>
    <w:rsid w:val="006E71CB"/>
    <w:rsid w:val="006E7672"/>
    <w:rsid w:val="006E79F3"/>
    <w:rsid w:val="006E7A9B"/>
    <w:rsid w:val="006E7ACD"/>
    <w:rsid w:val="006E7C0D"/>
    <w:rsid w:val="006F0190"/>
    <w:rsid w:val="006F05FE"/>
    <w:rsid w:val="006F094C"/>
    <w:rsid w:val="006F09E2"/>
    <w:rsid w:val="006F0B3A"/>
    <w:rsid w:val="006F0D13"/>
    <w:rsid w:val="006F104C"/>
    <w:rsid w:val="006F1973"/>
    <w:rsid w:val="006F1B1E"/>
    <w:rsid w:val="006F1C0F"/>
    <w:rsid w:val="006F1E8B"/>
    <w:rsid w:val="006F2426"/>
    <w:rsid w:val="006F259C"/>
    <w:rsid w:val="006F2676"/>
    <w:rsid w:val="006F2886"/>
    <w:rsid w:val="006F2DBB"/>
    <w:rsid w:val="006F31A0"/>
    <w:rsid w:val="006F3862"/>
    <w:rsid w:val="006F396F"/>
    <w:rsid w:val="006F39E4"/>
    <w:rsid w:val="006F3A0F"/>
    <w:rsid w:val="006F3C3F"/>
    <w:rsid w:val="006F3F1B"/>
    <w:rsid w:val="006F44A9"/>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3F5"/>
    <w:rsid w:val="00700621"/>
    <w:rsid w:val="007006A7"/>
    <w:rsid w:val="00700A30"/>
    <w:rsid w:val="00700DA9"/>
    <w:rsid w:val="00700E12"/>
    <w:rsid w:val="00700EA0"/>
    <w:rsid w:val="00701291"/>
    <w:rsid w:val="00701566"/>
    <w:rsid w:val="00701653"/>
    <w:rsid w:val="00701C37"/>
    <w:rsid w:val="00702434"/>
    <w:rsid w:val="00702488"/>
    <w:rsid w:val="00702690"/>
    <w:rsid w:val="00702715"/>
    <w:rsid w:val="00702760"/>
    <w:rsid w:val="0070298E"/>
    <w:rsid w:val="00702B98"/>
    <w:rsid w:val="00702BD1"/>
    <w:rsid w:val="00703395"/>
    <w:rsid w:val="00703891"/>
    <w:rsid w:val="00703A31"/>
    <w:rsid w:val="00703C5E"/>
    <w:rsid w:val="00703E8B"/>
    <w:rsid w:val="00704082"/>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71"/>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60"/>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62F"/>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316"/>
    <w:rsid w:val="007276BB"/>
    <w:rsid w:val="0072777C"/>
    <w:rsid w:val="0072790D"/>
    <w:rsid w:val="0072796B"/>
    <w:rsid w:val="00727A25"/>
    <w:rsid w:val="00727BCF"/>
    <w:rsid w:val="00727DA9"/>
    <w:rsid w:val="00727DC1"/>
    <w:rsid w:val="00727EE5"/>
    <w:rsid w:val="007304A5"/>
    <w:rsid w:val="00730C55"/>
    <w:rsid w:val="00730C5F"/>
    <w:rsid w:val="007311D3"/>
    <w:rsid w:val="007312C3"/>
    <w:rsid w:val="0073150E"/>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1E"/>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DAE"/>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0D4"/>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1D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68E"/>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09A"/>
    <w:rsid w:val="007842DA"/>
    <w:rsid w:val="00784616"/>
    <w:rsid w:val="00784723"/>
    <w:rsid w:val="007847EA"/>
    <w:rsid w:val="00784B6A"/>
    <w:rsid w:val="00784C5E"/>
    <w:rsid w:val="00784D5D"/>
    <w:rsid w:val="00784D93"/>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7C"/>
    <w:rsid w:val="00786AB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E3C"/>
    <w:rsid w:val="00791F20"/>
    <w:rsid w:val="0079229A"/>
    <w:rsid w:val="0079237F"/>
    <w:rsid w:val="0079249D"/>
    <w:rsid w:val="00792673"/>
    <w:rsid w:val="00792801"/>
    <w:rsid w:val="0079296A"/>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3A5"/>
    <w:rsid w:val="007954FA"/>
    <w:rsid w:val="00795C17"/>
    <w:rsid w:val="00795C6E"/>
    <w:rsid w:val="0079635B"/>
    <w:rsid w:val="007964EE"/>
    <w:rsid w:val="00796533"/>
    <w:rsid w:val="007966AB"/>
    <w:rsid w:val="00796977"/>
    <w:rsid w:val="007969A9"/>
    <w:rsid w:val="00796AE5"/>
    <w:rsid w:val="00796D16"/>
    <w:rsid w:val="00796E89"/>
    <w:rsid w:val="00797005"/>
    <w:rsid w:val="0079730A"/>
    <w:rsid w:val="00797597"/>
    <w:rsid w:val="00797B8E"/>
    <w:rsid w:val="00797C5A"/>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E34"/>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72A"/>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4F2C"/>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A9"/>
    <w:rsid w:val="007C27D1"/>
    <w:rsid w:val="007C28A5"/>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15C"/>
    <w:rsid w:val="007C7263"/>
    <w:rsid w:val="007C7E16"/>
    <w:rsid w:val="007D0152"/>
    <w:rsid w:val="007D035D"/>
    <w:rsid w:val="007D06B7"/>
    <w:rsid w:val="007D0A24"/>
    <w:rsid w:val="007D0B0B"/>
    <w:rsid w:val="007D0D0A"/>
    <w:rsid w:val="007D0D19"/>
    <w:rsid w:val="007D0E6C"/>
    <w:rsid w:val="007D0EE7"/>
    <w:rsid w:val="007D1096"/>
    <w:rsid w:val="007D1172"/>
    <w:rsid w:val="007D11CA"/>
    <w:rsid w:val="007D13C2"/>
    <w:rsid w:val="007D13DB"/>
    <w:rsid w:val="007D1507"/>
    <w:rsid w:val="007D15C2"/>
    <w:rsid w:val="007D17E3"/>
    <w:rsid w:val="007D1959"/>
    <w:rsid w:val="007D199C"/>
    <w:rsid w:val="007D1BF4"/>
    <w:rsid w:val="007D1C0F"/>
    <w:rsid w:val="007D1CB8"/>
    <w:rsid w:val="007D1D24"/>
    <w:rsid w:val="007D1EDA"/>
    <w:rsid w:val="007D1F56"/>
    <w:rsid w:val="007D2B2E"/>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2E5"/>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280"/>
    <w:rsid w:val="007E436F"/>
    <w:rsid w:val="007E4AC7"/>
    <w:rsid w:val="007E4DF0"/>
    <w:rsid w:val="007E517F"/>
    <w:rsid w:val="007E5214"/>
    <w:rsid w:val="007E5A4C"/>
    <w:rsid w:val="007E5D2D"/>
    <w:rsid w:val="007E6015"/>
    <w:rsid w:val="007E60D2"/>
    <w:rsid w:val="007E62AC"/>
    <w:rsid w:val="007E63FF"/>
    <w:rsid w:val="007E6474"/>
    <w:rsid w:val="007E6580"/>
    <w:rsid w:val="007E6888"/>
    <w:rsid w:val="007E691F"/>
    <w:rsid w:val="007E696C"/>
    <w:rsid w:val="007E7384"/>
    <w:rsid w:val="007E77BB"/>
    <w:rsid w:val="007E7871"/>
    <w:rsid w:val="007E7ABD"/>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9BD"/>
    <w:rsid w:val="007F3D16"/>
    <w:rsid w:val="007F3DD4"/>
    <w:rsid w:val="007F3F32"/>
    <w:rsid w:val="007F41B5"/>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5A"/>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7DB"/>
    <w:rsid w:val="00800B31"/>
    <w:rsid w:val="00800B5B"/>
    <w:rsid w:val="00800C5F"/>
    <w:rsid w:val="00800E9F"/>
    <w:rsid w:val="008010A7"/>
    <w:rsid w:val="008011B8"/>
    <w:rsid w:val="008013B3"/>
    <w:rsid w:val="00801610"/>
    <w:rsid w:val="00801864"/>
    <w:rsid w:val="0080194B"/>
    <w:rsid w:val="00801C9B"/>
    <w:rsid w:val="00801D2F"/>
    <w:rsid w:val="00801E9F"/>
    <w:rsid w:val="00801F83"/>
    <w:rsid w:val="008020AA"/>
    <w:rsid w:val="008020EF"/>
    <w:rsid w:val="0080235B"/>
    <w:rsid w:val="00802365"/>
    <w:rsid w:val="0080253E"/>
    <w:rsid w:val="00802612"/>
    <w:rsid w:val="00802BBA"/>
    <w:rsid w:val="00802DAE"/>
    <w:rsid w:val="00802F31"/>
    <w:rsid w:val="00802FAF"/>
    <w:rsid w:val="008031FD"/>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4F"/>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004"/>
    <w:rsid w:val="008143FD"/>
    <w:rsid w:val="00814596"/>
    <w:rsid w:val="00814955"/>
    <w:rsid w:val="00814CC0"/>
    <w:rsid w:val="00814F24"/>
    <w:rsid w:val="008153C6"/>
    <w:rsid w:val="0081554E"/>
    <w:rsid w:val="00815734"/>
    <w:rsid w:val="008158CC"/>
    <w:rsid w:val="00815E46"/>
    <w:rsid w:val="00815E69"/>
    <w:rsid w:val="008160C6"/>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17C"/>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177"/>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5D"/>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3AE"/>
    <w:rsid w:val="008414FC"/>
    <w:rsid w:val="00841842"/>
    <w:rsid w:val="00841861"/>
    <w:rsid w:val="00841D2A"/>
    <w:rsid w:val="00841DD6"/>
    <w:rsid w:val="00841F32"/>
    <w:rsid w:val="0084252C"/>
    <w:rsid w:val="00842B0D"/>
    <w:rsid w:val="00842D7E"/>
    <w:rsid w:val="00843BAD"/>
    <w:rsid w:val="00843BAF"/>
    <w:rsid w:val="00843C02"/>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86D"/>
    <w:rsid w:val="00850E80"/>
    <w:rsid w:val="008511E6"/>
    <w:rsid w:val="008515B3"/>
    <w:rsid w:val="008515EC"/>
    <w:rsid w:val="008516DD"/>
    <w:rsid w:val="00852038"/>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5E3"/>
    <w:rsid w:val="00855612"/>
    <w:rsid w:val="00855679"/>
    <w:rsid w:val="008556A7"/>
    <w:rsid w:val="008557AE"/>
    <w:rsid w:val="00855B54"/>
    <w:rsid w:val="00855DC1"/>
    <w:rsid w:val="008561DA"/>
    <w:rsid w:val="0085629F"/>
    <w:rsid w:val="0085633C"/>
    <w:rsid w:val="008563A8"/>
    <w:rsid w:val="00856472"/>
    <w:rsid w:val="00856523"/>
    <w:rsid w:val="0085663D"/>
    <w:rsid w:val="0085678F"/>
    <w:rsid w:val="0085697D"/>
    <w:rsid w:val="00856DCC"/>
    <w:rsid w:val="008570B1"/>
    <w:rsid w:val="008574B5"/>
    <w:rsid w:val="0085763F"/>
    <w:rsid w:val="00857966"/>
    <w:rsid w:val="00857A40"/>
    <w:rsid w:val="00857D02"/>
    <w:rsid w:val="00860496"/>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943"/>
    <w:rsid w:val="00864BB0"/>
    <w:rsid w:val="00864CB7"/>
    <w:rsid w:val="00864CF3"/>
    <w:rsid w:val="00864E83"/>
    <w:rsid w:val="00864F98"/>
    <w:rsid w:val="008650AF"/>
    <w:rsid w:val="008655D3"/>
    <w:rsid w:val="0086595D"/>
    <w:rsid w:val="008667AB"/>
    <w:rsid w:val="008667DD"/>
    <w:rsid w:val="00866A14"/>
    <w:rsid w:val="00866AEC"/>
    <w:rsid w:val="00866EA5"/>
    <w:rsid w:val="008679E3"/>
    <w:rsid w:val="00867C24"/>
    <w:rsid w:val="00867C69"/>
    <w:rsid w:val="00870214"/>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E57"/>
    <w:rsid w:val="00873F97"/>
    <w:rsid w:val="00874021"/>
    <w:rsid w:val="008742BA"/>
    <w:rsid w:val="00874714"/>
    <w:rsid w:val="00874B77"/>
    <w:rsid w:val="00874D3E"/>
    <w:rsid w:val="00875062"/>
    <w:rsid w:val="008754F9"/>
    <w:rsid w:val="00875508"/>
    <w:rsid w:val="0087612A"/>
    <w:rsid w:val="0087622F"/>
    <w:rsid w:val="00876265"/>
    <w:rsid w:val="0087650A"/>
    <w:rsid w:val="00876812"/>
    <w:rsid w:val="00876B52"/>
    <w:rsid w:val="00876EEE"/>
    <w:rsid w:val="00876F47"/>
    <w:rsid w:val="00876F52"/>
    <w:rsid w:val="00876FD4"/>
    <w:rsid w:val="00877089"/>
    <w:rsid w:val="00877330"/>
    <w:rsid w:val="00877633"/>
    <w:rsid w:val="0087774B"/>
    <w:rsid w:val="008779E8"/>
    <w:rsid w:val="00877CAC"/>
    <w:rsid w:val="00877DD1"/>
    <w:rsid w:val="008800DA"/>
    <w:rsid w:val="008801A7"/>
    <w:rsid w:val="0088065A"/>
    <w:rsid w:val="00880793"/>
    <w:rsid w:val="008809D8"/>
    <w:rsid w:val="00881049"/>
    <w:rsid w:val="00881065"/>
    <w:rsid w:val="00881128"/>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0FBB"/>
    <w:rsid w:val="0089125E"/>
    <w:rsid w:val="0089135C"/>
    <w:rsid w:val="00891899"/>
    <w:rsid w:val="0089198C"/>
    <w:rsid w:val="00891AAC"/>
    <w:rsid w:val="00891B64"/>
    <w:rsid w:val="00891C5D"/>
    <w:rsid w:val="00891CA7"/>
    <w:rsid w:val="00891D82"/>
    <w:rsid w:val="00891F0C"/>
    <w:rsid w:val="00892217"/>
    <w:rsid w:val="00892644"/>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AFB"/>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992"/>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266"/>
    <w:rsid w:val="008B72C0"/>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35E"/>
    <w:rsid w:val="008C241C"/>
    <w:rsid w:val="008C26B8"/>
    <w:rsid w:val="008C280A"/>
    <w:rsid w:val="008C2AF4"/>
    <w:rsid w:val="008C3042"/>
    <w:rsid w:val="008C3401"/>
    <w:rsid w:val="008C346D"/>
    <w:rsid w:val="008C360F"/>
    <w:rsid w:val="008C3E0B"/>
    <w:rsid w:val="008C40AE"/>
    <w:rsid w:val="008C40BC"/>
    <w:rsid w:val="008C43F5"/>
    <w:rsid w:val="008C4404"/>
    <w:rsid w:val="008C4604"/>
    <w:rsid w:val="008C481F"/>
    <w:rsid w:val="008C4A08"/>
    <w:rsid w:val="008C4ACE"/>
    <w:rsid w:val="008C4B26"/>
    <w:rsid w:val="008C533C"/>
    <w:rsid w:val="008C5357"/>
    <w:rsid w:val="008C54B3"/>
    <w:rsid w:val="008C5729"/>
    <w:rsid w:val="008C58A1"/>
    <w:rsid w:val="008C5A71"/>
    <w:rsid w:val="008C5AA9"/>
    <w:rsid w:val="008C6740"/>
    <w:rsid w:val="008C6F36"/>
    <w:rsid w:val="008C70CB"/>
    <w:rsid w:val="008C7193"/>
    <w:rsid w:val="008C7440"/>
    <w:rsid w:val="008C782C"/>
    <w:rsid w:val="008C7903"/>
    <w:rsid w:val="008C79A4"/>
    <w:rsid w:val="008C7A35"/>
    <w:rsid w:val="008C7A36"/>
    <w:rsid w:val="008C7ADE"/>
    <w:rsid w:val="008C7C75"/>
    <w:rsid w:val="008C7CF5"/>
    <w:rsid w:val="008C7D10"/>
    <w:rsid w:val="008C7FF0"/>
    <w:rsid w:val="008D0128"/>
    <w:rsid w:val="008D01D3"/>
    <w:rsid w:val="008D02B4"/>
    <w:rsid w:val="008D02F0"/>
    <w:rsid w:val="008D0356"/>
    <w:rsid w:val="008D05CD"/>
    <w:rsid w:val="008D0C6D"/>
    <w:rsid w:val="008D0E6D"/>
    <w:rsid w:val="008D133B"/>
    <w:rsid w:val="008D1512"/>
    <w:rsid w:val="008D1968"/>
    <w:rsid w:val="008D1D5E"/>
    <w:rsid w:val="008D1E21"/>
    <w:rsid w:val="008D1E95"/>
    <w:rsid w:val="008D28EF"/>
    <w:rsid w:val="008D2918"/>
    <w:rsid w:val="008D2EED"/>
    <w:rsid w:val="008D2FF2"/>
    <w:rsid w:val="008D30D0"/>
    <w:rsid w:val="008D311A"/>
    <w:rsid w:val="008D3ADA"/>
    <w:rsid w:val="008D3D41"/>
    <w:rsid w:val="008D419A"/>
    <w:rsid w:val="008D4360"/>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248"/>
    <w:rsid w:val="008E169E"/>
    <w:rsid w:val="008E18C2"/>
    <w:rsid w:val="008E1E64"/>
    <w:rsid w:val="008E22E6"/>
    <w:rsid w:val="008E238B"/>
    <w:rsid w:val="008E24AA"/>
    <w:rsid w:val="008E26F0"/>
    <w:rsid w:val="008E27B8"/>
    <w:rsid w:val="008E2E7F"/>
    <w:rsid w:val="008E304A"/>
    <w:rsid w:val="008E3799"/>
    <w:rsid w:val="008E37FD"/>
    <w:rsid w:val="008E3B9F"/>
    <w:rsid w:val="008E3BD0"/>
    <w:rsid w:val="008E406C"/>
    <w:rsid w:val="008E40F4"/>
    <w:rsid w:val="008E4454"/>
    <w:rsid w:val="008E44ED"/>
    <w:rsid w:val="008E4769"/>
    <w:rsid w:val="008E47E0"/>
    <w:rsid w:val="008E480D"/>
    <w:rsid w:val="008E48D2"/>
    <w:rsid w:val="008E4B68"/>
    <w:rsid w:val="008E4F24"/>
    <w:rsid w:val="008E512B"/>
    <w:rsid w:val="008E5796"/>
    <w:rsid w:val="008E59AC"/>
    <w:rsid w:val="008E5B3E"/>
    <w:rsid w:val="008E5EF9"/>
    <w:rsid w:val="008E6181"/>
    <w:rsid w:val="008E6188"/>
    <w:rsid w:val="008E64B4"/>
    <w:rsid w:val="008E664F"/>
    <w:rsid w:val="008E6A3C"/>
    <w:rsid w:val="008E6CD8"/>
    <w:rsid w:val="008E6EBC"/>
    <w:rsid w:val="008E6FBE"/>
    <w:rsid w:val="008E726D"/>
    <w:rsid w:val="008E728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2F6F"/>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1EC"/>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45"/>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2A3"/>
    <w:rsid w:val="009073B4"/>
    <w:rsid w:val="00907487"/>
    <w:rsid w:val="00907537"/>
    <w:rsid w:val="00907B79"/>
    <w:rsid w:val="00907BF0"/>
    <w:rsid w:val="00907CAA"/>
    <w:rsid w:val="00907D89"/>
    <w:rsid w:val="00907DDC"/>
    <w:rsid w:val="00907E84"/>
    <w:rsid w:val="00907F75"/>
    <w:rsid w:val="009101D7"/>
    <w:rsid w:val="009103D9"/>
    <w:rsid w:val="0091063E"/>
    <w:rsid w:val="00910BCA"/>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7E"/>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78"/>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A6F"/>
    <w:rsid w:val="00926C46"/>
    <w:rsid w:val="00927001"/>
    <w:rsid w:val="0092787B"/>
    <w:rsid w:val="0092791E"/>
    <w:rsid w:val="00927C55"/>
    <w:rsid w:val="00927E2B"/>
    <w:rsid w:val="00927E6D"/>
    <w:rsid w:val="00927FB4"/>
    <w:rsid w:val="00930433"/>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8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6A"/>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105"/>
    <w:rsid w:val="0094056A"/>
    <w:rsid w:val="00940874"/>
    <w:rsid w:val="0094098F"/>
    <w:rsid w:val="00940ACB"/>
    <w:rsid w:val="00941287"/>
    <w:rsid w:val="00941430"/>
    <w:rsid w:val="009417A9"/>
    <w:rsid w:val="00941D8B"/>
    <w:rsid w:val="009421ED"/>
    <w:rsid w:val="00942809"/>
    <w:rsid w:val="00942B7C"/>
    <w:rsid w:val="00942EE6"/>
    <w:rsid w:val="00942F41"/>
    <w:rsid w:val="00943004"/>
    <w:rsid w:val="009433DC"/>
    <w:rsid w:val="00943811"/>
    <w:rsid w:val="00943DC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5C5A"/>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0FAD"/>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BD"/>
    <w:rsid w:val="00962CFC"/>
    <w:rsid w:val="00962D6A"/>
    <w:rsid w:val="00962DEC"/>
    <w:rsid w:val="00963015"/>
    <w:rsid w:val="0096309D"/>
    <w:rsid w:val="009633AB"/>
    <w:rsid w:val="009639A4"/>
    <w:rsid w:val="00963C15"/>
    <w:rsid w:val="00963E98"/>
    <w:rsid w:val="00963F22"/>
    <w:rsid w:val="009647F3"/>
    <w:rsid w:val="009648B2"/>
    <w:rsid w:val="00964A17"/>
    <w:rsid w:val="00964B17"/>
    <w:rsid w:val="00964CFF"/>
    <w:rsid w:val="00964F7B"/>
    <w:rsid w:val="00965230"/>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5E5"/>
    <w:rsid w:val="009726DA"/>
    <w:rsid w:val="00972745"/>
    <w:rsid w:val="009729E5"/>
    <w:rsid w:val="00972B04"/>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8B5"/>
    <w:rsid w:val="00977AFE"/>
    <w:rsid w:val="00977CD8"/>
    <w:rsid w:val="00977D94"/>
    <w:rsid w:val="00977F4C"/>
    <w:rsid w:val="009802EE"/>
    <w:rsid w:val="0098060B"/>
    <w:rsid w:val="0098097E"/>
    <w:rsid w:val="00980BA4"/>
    <w:rsid w:val="00980E75"/>
    <w:rsid w:val="0098107F"/>
    <w:rsid w:val="009811B1"/>
    <w:rsid w:val="009811B5"/>
    <w:rsid w:val="00981273"/>
    <w:rsid w:val="0098144B"/>
    <w:rsid w:val="0098163A"/>
    <w:rsid w:val="0098199F"/>
    <w:rsid w:val="00981C9E"/>
    <w:rsid w:val="0098211D"/>
    <w:rsid w:val="009821C2"/>
    <w:rsid w:val="00982274"/>
    <w:rsid w:val="00983570"/>
    <w:rsid w:val="0098374D"/>
    <w:rsid w:val="00983958"/>
    <w:rsid w:val="00983C06"/>
    <w:rsid w:val="00983EFE"/>
    <w:rsid w:val="00984310"/>
    <w:rsid w:val="00984484"/>
    <w:rsid w:val="0098455F"/>
    <w:rsid w:val="00984712"/>
    <w:rsid w:val="009848AC"/>
    <w:rsid w:val="00984943"/>
    <w:rsid w:val="00984A20"/>
    <w:rsid w:val="00984AB1"/>
    <w:rsid w:val="00984D9D"/>
    <w:rsid w:val="00984E99"/>
    <w:rsid w:val="00984F79"/>
    <w:rsid w:val="00985361"/>
    <w:rsid w:val="00985670"/>
    <w:rsid w:val="009857F2"/>
    <w:rsid w:val="00985CBC"/>
    <w:rsid w:val="00985F95"/>
    <w:rsid w:val="00985FD0"/>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B5"/>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5C1"/>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153"/>
    <w:rsid w:val="009A1240"/>
    <w:rsid w:val="009A15C7"/>
    <w:rsid w:val="009A1B8C"/>
    <w:rsid w:val="009A2116"/>
    <w:rsid w:val="009A22B7"/>
    <w:rsid w:val="009A232F"/>
    <w:rsid w:val="009A233E"/>
    <w:rsid w:val="009A2558"/>
    <w:rsid w:val="009A257A"/>
    <w:rsid w:val="009A2B9C"/>
    <w:rsid w:val="009A3182"/>
    <w:rsid w:val="009A3292"/>
    <w:rsid w:val="009A32EC"/>
    <w:rsid w:val="009A340E"/>
    <w:rsid w:val="009A4105"/>
    <w:rsid w:val="009A4307"/>
    <w:rsid w:val="009A4580"/>
    <w:rsid w:val="009A45E4"/>
    <w:rsid w:val="009A4661"/>
    <w:rsid w:val="009A4B83"/>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D71"/>
    <w:rsid w:val="009A6E11"/>
    <w:rsid w:val="009A6E50"/>
    <w:rsid w:val="009A6F42"/>
    <w:rsid w:val="009A706B"/>
    <w:rsid w:val="009A729B"/>
    <w:rsid w:val="009A742C"/>
    <w:rsid w:val="009A7706"/>
    <w:rsid w:val="009A7911"/>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ABE"/>
    <w:rsid w:val="009B3C8F"/>
    <w:rsid w:val="009B3D01"/>
    <w:rsid w:val="009B3D21"/>
    <w:rsid w:val="009B42F7"/>
    <w:rsid w:val="009B453B"/>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A84"/>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7DA"/>
    <w:rsid w:val="009C4C8F"/>
    <w:rsid w:val="009C4E33"/>
    <w:rsid w:val="009C50F0"/>
    <w:rsid w:val="009C52F3"/>
    <w:rsid w:val="009C55C4"/>
    <w:rsid w:val="009C564D"/>
    <w:rsid w:val="009C5A8B"/>
    <w:rsid w:val="009C5B88"/>
    <w:rsid w:val="009C608C"/>
    <w:rsid w:val="009C6343"/>
    <w:rsid w:val="009C6A81"/>
    <w:rsid w:val="009C6CC9"/>
    <w:rsid w:val="009C6F57"/>
    <w:rsid w:val="009C72DE"/>
    <w:rsid w:val="009C7589"/>
    <w:rsid w:val="009D009C"/>
    <w:rsid w:val="009D019B"/>
    <w:rsid w:val="009D01A9"/>
    <w:rsid w:val="009D04FF"/>
    <w:rsid w:val="009D06D8"/>
    <w:rsid w:val="009D0982"/>
    <w:rsid w:val="009D09EB"/>
    <w:rsid w:val="009D0CA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0C"/>
    <w:rsid w:val="009D5896"/>
    <w:rsid w:val="009D5A36"/>
    <w:rsid w:val="009D5C1C"/>
    <w:rsid w:val="009D6052"/>
    <w:rsid w:val="009D60F9"/>
    <w:rsid w:val="009D62C4"/>
    <w:rsid w:val="009D6B72"/>
    <w:rsid w:val="009D6E95"/>
    <w:rsid w:val="009D6FA4"/>
    <w:rsid w:val="009D7287"/>
    <w:rsid w:val="009D7386"/>
    <w:rsid w:val="009D7426"/>
    <w:rsid w:val="009D76DC"/>
    <w:rsid w:val="009D79B8"/>
    <w:rsid w:val="009D7D83"/>
    <w:rsid w:val="009E0034"/>
    <w:rsid w:val="009E03EA"/>
    <w:rsid w:val="009E04EA"/>
    <w:rsid w:val="009E0676"/>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88"/>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11C"/>
    <w:rsid w:val="009F0134"/>
    <w:rsid w:val="009F034A"/>
    <w:rsid w:val="009F0559"/>
    <w:rsid w:val="009F0E6D"/>
    <w:rsid w:val="009F0E9B"/>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407B"/>
    <w:rsid w:val="009F40B6"/>
    <w:rsid w:val="009F4327"/>
    <w:rsid w:val="009F46FD"/>
    <w:rsid w:val="009F474F"/>
    <w:rsid w:val="009F497A"/>
    <w:rsid w:val="009F4CD8"/>
    <w:rsid w:val="009F4D81"/>
    <w:rsid w:val="009F4E31"/>
    <w:rsid w:val="009F4FC5"/>
    <w:rsid w:val="009F508E"/>
    <w:rsid w:val="009F51DE"/>
    <w:rsid w:val="009F5404"/>
    <w:rsid w:val="009F570E"/>
    <w:rsid w:val="009F5782"/>
    <w:rsid w:val="009F57B1"/>
    <w:rsid w:val="009F5820"/>
    <w:rsid w:val="009F5DA7"/>
    <w:rsid w:val="009F5EB5"/>
    <w:rsid w:val="009F5F91"/>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0B77"/>
    <w:rsid w:val="00A0113B"/>
    <w:rsid w:val="00A015B5"/>
    <w:rsid w:val="00A0163A"/>
    <w:rsid w:val="00A0177E"/>
    <w:rsid w:val="00A0186F"/>
    <w:rsid w:val="00A019A8"/>
    <w:rsid w:val="00A01C4E"/>
    <w:rsid w:val="00A01F71"/>
    <w:rsid w:val="00A021B8"/>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29"/>
    <w:rsid w:val="00A06E70"/>
    <w:rsid w:val="00A06EE9"/>
    <w:rsid w:val="00A06FDC"/>
    <w:rsid w:val="00A07146"/>
    <w:rsid w:val="00A074F3"/>
    <w:rsid w:val="00A07B18"/>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188"/>
    <w:rsid w:val="00A1223C"/>
    <w:rsid w:val="00A12651"/>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D36"/>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50"/>
    <w:rsid w:val="00A22BF7"/>
    <w:rsid w:val="00A22D49"/>
    <w:rsid w:val="00A22D5A"/>
    <w:rsid w:val="00A236CB"/>
    <w:rsid w:val="00A23B91"/>
    <w:rsid w:val="00A245F1"/>
    <w:rsid w:val="00A246BF"/>
    <w:rsid w:val="00A247E6"/>
    <w:rsid w:val="00A256DD"/>
    <w:rsid w:val="00A257B7"/>
    <w:rsid w:val="00A25A7B"/>
    <w:rsid w:val="00A25B96"/>
    <w:rsid w:val="00A2614E"/>
    <w:rsid w:val="00A262B8"/>
    <w:rsid w:val="00A2658D"/>
    <w:rsid w:val="00A2674D"/>
    <w:rsid w:val="00A2679F"/>
    <w:rsid w:val="00A26F19"/>
    <w:rsid w:val="00A2713E"/>
    <w:rsid w:val="00A2794B"/>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BD1"/>
    <w:rsid w:val="00A36D3D"/>
    <w:rsid w:val="00A36D81"/>
    <w:rsid w:val="00A36D93"/>
    <w:rsid w:val="00A36FB4"/>
    <w:rsid w:val="00A371A5"/>
    <w:rsid w:val="00A3732B"/>
    <w:rsid w:val="00A377D3"/>
    <w:rsid w:val="00A379E5"/>
    <w:rsid w:val="00A37A57"/>
    <w:rsid w:val="00A37C1C"/>
    <w:rsid w:val="00A37CD9"/>
    <w:rsid w:val="00A37EC4"/>
    <w:rsid w:val="00A401D8"/>
    <w:rsid w:val="00A40507"/>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A27"/>
    <w:rsid w:val="00A42D05"/>
    <w:rsid w:val="00A42ECE"/>
    <w:rsid w:val="00A4305C"/>
    <w:rsid w:val="00A43215"/>
    <w:rsid w:val="00A4341F"/>
    <w:rsid w:val="00A434F5"/>
    <w:rsid w:val="00A438A8"/>
    <w:rsid w:val="00A4393C"/>
    <w:rsid w:val="00A43EB6"/>
    <w:rsid w:val="00A44B5C"/>
    <w:rsid w:val="00A44B70"/>
    <w:rsid w:val="00A44C2E"/>
    <w:rsid w:val="00A4576E"/>
    <w:rsid w:val="00A45795"/>
    <w:rsid w:val="00A458D0"/>
    <w:rsid w:val="00A45A5F"/>
    <w:rsid w:val="00A45C54"/>
    <w:rsid w:val="00A45CD8"/>
    <w:rsid w:val="00A464D0"/>
    <w:rsid w:val="00A46A04"/>
    <w:rsid w:val="00A46B32"/>
    <w:rsid w:val="00A46BA7"/>
    <w:rsid w:val="00A46F81"/>
    <w:rsid w:val="00A471E6"/>
    <w:rsid w:val="00A471F6"/>
    <w:rsid w:val="00A4737A"/>
    <w:rsid w:val="00A47425"/>
    <w:rsid w:val="00A47435"/>
    <w:rsid w:val="00A475A1"/>
    <w:rsid w:val="00A47649"/>
    <w:rsid w:val="00A47678"/>
    <w:rsid w:val="00A477DD"/>
    <w:rsid w:val="00A47821"/>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5DBC"/>
    <w:rsid w:val="00A561BE"/>
    <w:rsid w:val="00A5628E"/>
    <w:rsid w:val="00A56371"/>
    <w:rsid w:val="00A567E9"/>
    <w:rsid w:val="00A56CF2"/>
    <w:rsid w:val="00A571B3"/>
    <w:rsid w:val="00A5746B"/>
    <w:rsid w:val="00A574F1"/>
    <w:rsid w:val="00A57BD8"/>
    <w:rsid w:val="00A57E25"/>
    <w:rsid w:val="00A57F03"/>
    <w:rsid w:val="00A6019D"/>
    <w:rsid w:val="00A60477"/>
    <w:rsid w:val="00A607A8"/>
    <w:rsid w:val="00A60B40"/>
    <w:rsid w:val="00A60E5C"/>
    <w:rsid w:val="00A61306"/>
    <w:rsid w:val="00A6136B"/>
    <w:rsid w:val="00A61838"/>
    <w:rsid w:val="00A618E2"/>
    <w:rsid w:val="00A61A20"/>
    <w:rsid w:val="00A6210E"/>
    <w:rsid w:val="00A62662"/>
    <w:rsid w:val="00A627D8"/>
    <w:rsid w:val="00A62C60"/>
    <w:rsid w:val="00A62EA9"/>
    <w:rsid w:val="00A62F14"/>
    <w:rsid w:val="00A63147"/>
    <w:rsid w:val="00A63150"/>
    <w:rsid w:val="00A63248"/>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27F"/>
    <w:rsid w:val="00A67523"/>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645"/>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84A"/>
    <w:rsid w:val="00A7599D"/>
    <w:rsid w:val="00A75A45"/>
    <w:rsid w:val="00A75C7F"/>
    <w:rsid w:val="00A75DF9"/>
    <w:rsid w:val="00A75FC1"/>
    <w:rsid w:val="00A7602D"/>
    <w:rsid w:val="00A76047"/>
    <w:rsid w:val="00A76236"/>
    <w:rsid w:val="00A765AD"/>
    <w:rsid w:val="00A7670C"/>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B3D"/>
    <w:rsid w:val="00A84174"/>
    <w:rsid w:val="00A8435F"/>
    <w:rsid w:val="00A845DC"/>
    <w:rsid w:val="00A84884"/>
    <w:rsid w:val="00A84E22"/>
    <w:rsid w:val="00A8516F"/>
    <w:rsid w:val="00A8521E"/>
    <w:rsid w:val="00A8559F"/>
    <w:rsid w:val="00A8593D"/>
    <w:rsid w:val="00A859A7"/>
    <w:rsid w:val="00A85A1C"/>
    <w:rsid w:val="00A85E8C"/>
    <w:rsid w:val="00A86057"/>
    <w:rsid w:val="00A8688A"/>
    <w:rsid w:val="00A8691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3E3"/>
    <w:rsid w:val="00A93683"/>
    <w:rsid w:val="00A937BC"/>
    <w:rsid w:val="00A93872"/>
    <w:rsid w:val="00A93929"/>
    <w:rsid w:val="00A939DC"/>
    <w:rsid w:val="00A93B23"/>
    <w:rsid w:val="00A94166"/>
    <w:rsid w:val="00A941BA"/>
    <w:rsid w:val="00A9445D"/>
    <w:rsid w:val="00A94816"/>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811"/>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5E6F"/>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45B"/>
    <w:rsid w:val="00AB74F2"/>
    <w:rsid w:val="00AB7604"/>
    <w:rsid w:val="00AB78CE"/>
    <w:rsid w:val="00AB7BBA"/>
    <w:rsid w:val="00AB7BF9"/>
    <w:rsid w:val="00AC025A"/>
    <w:rsid w:val="00AC0D9E"/>
    <w:rsid w:val="00AC1045"/>
    <w:rsid w:val="00AC15EF"/>
    <w:rsid w:val="00AC15F3"/>
    <w:rsid w:val="00AC172A"/>
    <w:rsid w:val="00AC18D7"/>
    <w:rsid w:val="00AC19B6"/>
    <w:rsid w:val="00AC23A5"/>
    <w:rsid w:val="00AC2712"/>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59"/>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7C"/>
    <w:rsid w:val="00AD2A87"/>
    <w:rsid w:val="00AD2C01"/>
    <w:rsid w:val="00AD2C47"/>
    <w:rsid w:val="00AD2E68"/>
    <w:rsid w:val="00AD2EA8"/>
    <w:rsid w:val="00AD3A86"/>
    <w:rsid w:val="00AD3F0E"/>
    <w:rsid w:val="00AD40B0"/>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155"/>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B1C"/>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712"/>
    <w:rsid w:val="00AE5A65"/>
    <w:rsid w:val="00AE5B7D"/>
    <w:rsid w:val="00AE5D9F"/>
    <w:rsid w:val="00AE60E5"/>
    <w:rsid w:val="00AE6415"/>
    <w:rsid w:val="00AE64EA"/>
    <w:rsid w:val="00AE6681"/>
    <w:rsid w:val="00AE6D60"/>
    <w:rsid w:val="00AE6E8A"/>
    <w:rsid w:val="00AE6E94"/>
    <w:rsid w:val="00AE6F55"/>
    <w:rsid w:val="00AE70F0"/>
    <w:rsid w:val="00AE7161"/>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25E"/>
    <w:rsid w:val="00AF56ED"/>
    <w:rsid w:val="00AF5A44"/>
    <w:rsid w:val="00AF622F"/>
    <w:rsid w:val="00AF68AB"/>
    <w:rsid w:val="00AF6ADC"/>
    <w:rsid w:val="00AF6E10"/>
    <w:rsid w:val="00AF6EDB"/>
    <w:rsid w:val="00AF70B0"/>
    <w:rsid w:val="00AF79BF"/>
    <w:rsid w:val="00AF7BAE"/>
    <w:rsid w:val="00B0010A"/>
    <w:rsid w:val="00B006CC"/>
    <w:rsid w:val="00B00850"/>
    <w:rsid w:val="00B00882"/>
    <w:rsid w:val="00B00A53"/>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5"/>
    <w:rsid w:val="00B06AFE"/>
    <w:rsid w:val="00B06D2B"/>
    <w:rsid w:val="00B0703E"/>
    <w:rsid w:val="00B07357"/>
    <w:rsid w:val="00B0785E"/>
    <w:rsid w:val="00B078D6"/>
    <w:rsid w:val="00B07AC8"/>
    <w:rsid w:val="00B07B03"/>
    <w:rsid w:val="00B1021E"/>
    <w:rsid w:val="00B10249"/>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3208"/>
    <w:rsid w:val="00B2324C"/>
    <w:rsid w:val="00B23358"/>
    <w:rsid w:val="00B23858"/>
    <w:rsid w:val="00B2422B"/>
    <w:rsid w:val="00B247C2"/>
    <w:rsid w:val="00B24BEA"/>
    <w:rsid w:val="00B24FDD"/>
    <w:rsid w:val="00B25090"/>
    <w:rsid w:val="00B250C5"/>
    <w:rsid w:val="00B25196"/>
    <w:rsid w:val="00B25738"/>
    <w:rsid w:val="00B259AC"/>
    <w:rsid w:val="00B25ADC"/>
    <w:rsid w:val="00B25E6E"/>
    <w:rsid w:val="00B26034"/>
    <w:rsid w:val="00B26125"/>
    <w:rsid w:val="00B26426"/>
    <w:rsid w:val="00B26843"/>
    <w:rsid w:val="00B268BE"/>
    <w:rsid w:val="00B26C27"/>
    <w:rsid w:val="00B26C49"/>
    <w:rsid w:val="00B26CB5"/>
    <w:rsid w:val="00B26D5C"/>
    <w:rsid w:val="00B27382"/>
    <w:rsid w:val="00B2748D"/>
    <w:rsid w:val="00B278C0"/>
    <w:rsid w:val="00B27A75"/>
    <w:rsid w:val="00B27C3F"/>
    <w:rsid w:val="00B27D2F"/>
    <w:rsid w:val="00B27ED1"/>
    <w:rsid w:val="00B30414"/>
    <w:rsid w:val="00B30B1F"/>
    <w:rsid w:val="00B30EFE"/>
    <w:rsid w:val="00B3130E"/>
    <w:rsid w:val="00B313E6"/>
    <w:rsid w:val="00B315A6"/>
    <w:rsid w:val="00B31B4F"/>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804"/>
    <w:rsid w:val="00B40997"/>
    <w:rsid w:val="00B409AB"/>
    <w:rsid w:val="00B40BB1"/>
    <w:rsid w:val="00B40D4F"/>
    <w:rsid w:val="00B4102A"/>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C0F"/>
    <w:rsid w:val="00B43DC8"/>
    <w:rsid w:val="00B440B5"/>
    <w:rsid w:val="00B4419E"/>
    <w:rsid w:val="00B44440"/>
    <w:rsid w:val="00B44B13"/>
    <w:rsid w:val="00B44CD4"/>
    <w:rsid w:val="00B44D85"/>
    <w:rsid w:val="00B44E1D"/>
    <w:rsid w:val="00B451F2"/>
    <w:rsid w:val="00B458C4"/>
    <w:rsid w:val="00B4613F"/>
    <w:rsid w:val="00B4644E"/>
    <w:rsid w:val="00B46798"/>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AFE"/>
    <w:rsid w:val="00B51BF0"/>
    <w:rsid w:val="00B51F4E"/>
    <w:rsid w:val="00B5205D"/>
    <w:rsid w:val="00B52249"/>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64A"/>
    <w:rsid w:val="00B54731"/>
    <w:rsid w:val="00B54AB9"/>
    <w:rsid w:val="00B54AFC"/>
    <w:rsid w:val="00B54F8A"/>
    <w:rsid w:val="00B550AA"/>
    <w:rsid w:val="00B552DF"/>
    <w:rsid w:val="00B55400"/>
    <w:rsid w:val="00B5560F"/>
    <w:rsid w:val="00B55817"/>
    <w:rsid w:val="00B558E6"/>
    <w:rsid w:val="00B55A22"/>
    <w:rsid w:val="00B55C1A"/>
    <w:rsid w:val="00B56D96"/>
    <w:rsid w:val="00B56DFF"/>
    <w:rsid w:val="00B56FBC"/>
    <w:rsid w:val="00B5774D"/>
    <w:rsid w:val="00B57EA1"/>
    <w:rsid w:val="00B600CE"/>
    <w:rsid w:val="00B6017B"/>
    <w:rsid w:val="00B60229"/>
    <w:rsid w:val="00B60294"/>
    <w:rsid w:val="00B602E9"/>
    <w:rsid w:val="00B6038E"/>
    <w:rsid w:val="00B60889"/>
    <w:rsid w:val="00B60CC6"/>
    <w:rsid w:val="00B60FE5"/>
    <w:rsid w:val="00B61120"/>
    <w:rsid w:val="00B6176B"/>
    <w:rsid w:val="00B617E4"/>
    <w:rsid w:val="00B6222C"/>
    <w:rsid w:val="00B6266D"/>
    <w:rsid w:val="00B62728"/>
    <w:rsid w:val="00B62880"/>
    <w:rsid w:val="00B62C47"/>
    <w:rsid w:val="00B62E36"/>
    <w:rsid w:val="00B6344A"/>
    <w:rsid w:val="00B634D6"/>
    <w:rsid w:val="00B6393A"/>
    <w:rsid w:val="00B63A3D"/>
    <w:rsid w:val="00B64026"/>
    <w:rsid w:val="00B6405F"/>
    <w:rsid w:val="00B644C4"/>
    <w:rsid w:val="00B64653"/>
    <w:rsid w:val="00B648B2"/>
    <w:rsid w:val="00B64971"/>
    <w:rsid w:val="00B649E6"/>
    <w:rsid w:val="00B64A13"/>
    <w:rsid w:val="00B64A41"/>
    <w:rsid w:val="00B64D37"/>
    <w:rsid w:val="00B64D3B"/>
    <w:rsid w:val="00B64DAC"/>
    <w:rsid w:val="00B65295"/>
    <w:rsid w:val="00B6535C"/>
    <w:rsid w:val="00B6570B"/>
    <w:rsid w:val="00B65CA2"/>
    <w:rsid w:val="00B65D7B"/>
    <w:rsid w:val="00B65E85"/>
    <w:rsid w:val="00B6632F"/>
    <w:rsid w:val="00B6637D"/>
    <w:rsid w:val="00B66383"/>
    <w:rsid w:val="00B66452"/>
    <w:rsid w:val="00B667CF"/>
    <w:rsid w:val="00B66A16"/>
    <w:rsid w:val="00B66B8F"/>
    <w:rsid w:val="00B66C76"/>
    <w:rsid w:val="00B67191"/>
    <w:rsid w:val="00B6741B"/>
    <w:rsid w:val="00B67428"/>
    <w:rsid w:val="00B676B7"/>
    <w:rsid w:val="00B677B4"/>
    <w:rsid w:val="00B67A82"/>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5CB"/>
    <w:rsid w:val="00B85800"/>
    <w:rsid w:val="00B858A2"/>
    <w:rsid w:val="00B85942"/>
    <w:rsid w:val="00B86000"/>
    <w:rsid w:val="00B8602E"/>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87D5E"/>
    <w:rsid w:val="00B90513"/>
    <w:rsid w:val="00B906B1"/>
    <w:rsid w:val="00B907A6"/>
    <w:rsid w:val="00B90C3C"/>
    <w:rsid w:val="00B91085"/>
    <w:rsid w:val="00B9133E"/>
    <w:rsid w:val="00B9134B"/>
    <w:rsid w:val="00B917D0"/>
    <w:rsid w:val="00B92129"/>
    <w:rsid w:val="00B9220E"/>
    <w:rsid w:val="00B9229E"/>
    <w:rsid w:val="00B924A7"/>
    <w:rsid w:val="00B924C4"/>
    <w:rsid w:val="00B925B3"/>
    <w:rsid w:val="00B9265D"/>
    <w:rsid w:val="00B92918"/>
    <w:rsid w:val="00B92E1F"/>
    <w:rsid w:val="00B92E2D"/>
    <w:rsid w:val="00B92F44"/>
    <w:rsid w:val="00B931F5"/>
    <w:rsid w:val="00B93246"/>
    <w:rsid w:val="00B932D7"/>
    <w:rsid w:val="00B934FA"/>
    <w:rsid w:val="00B936FE"/>
    <w:rsid w:val="00B93958"/>
    <w:rsid w:val="00B93AB4"/>
    <w:rsid w:val="00B93AF2"/>
    <w:rsid w:val="00B93CF8"/>
    <w:rsid w:val="00B93D19"/>
    <w:rsid w:val="00B93D8F"/>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E8"/>
    <w:rsid w:val="00BA0316"/>
    <w:rsid w:val="00BA059E"/>
    <w:rsid w:val="00BA05DA"/>
    <w:rsid w:val="00BA0603"/>
    <w:rsid w:val="00BA0642"/>
    <w:rsid w:val="00BA073C"/>
    <w:rsid w:val="00BA086F"/>
    <w:rsid w:val="00BA0977"/>
    <w:rsid w:val="00BA0A0B"/>
    <w:rsid w:val="00BA0A7F"/>
    <w:rsid w:val="00BA0E45"/>
    <w:rsid w:val="00BA1057"/>
    <w:rsid w:val="00BA1075"/>
    <w:rsid w:val="00BA1308"/>
    <w:rsid w:val="00BA1434"/>
    <w:rsid w:val="00BA18E8"/>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0B5"/>
    <w:rsid w:val="00BA4633"/>
    <w:rsid w:val="00BA4A40"/>
    <w:rsid w:val="00BA4C57"/>
    <w:rsid w:val="00BA4CB0"/>
    <w:rsid w:val="00BA56FF"/>
    <w:rsid w:val="00BA57EB"/>
    <w:rsid w:val="00BA5937"/>
    <w:rsid w:val="00BA5A5D"/>
    <w:rsid w:val="00BA5B75"/>
    <w:rsid w:val="00BA62B4"/>
    <w:rsid w:val="00BA63F4"/>
    <w:rsid w:val="00BA64A2"/>
    <w:rsid w:val="00BA6542"/>
    <w:rsid w:val="00BA662B"/>
    <w:rsid w:val="00BA66A4"/>
    <w:rsid w:val="00BA6870"/>
    <w:rsid w:val="00BA7407"/>
    <w:rsid w:val="00BA76D7"/>
    <w:rsid w:val="00BA7845"/>
    <w:rsid w:val="00BA7A13"/>
    <w:rsid w:val="00BA7AA5"/>
    <w:rsid w:val="00BA7C14"/>
    <w:rsid w:val="00BB015A"/>
    <w:rsid w:val="00BB0216"/>
    <w:rsid w:val="00BB0318"/>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48"/>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08"/>
    <w:rsid w:val="00BB5516"/>
    <w:rsid w:val="00BB5526"/>
    <w:rsid w:val="00BB57F8"/>
    <w:rsid w:val="00BB5835"/>
    <w:rsid w:val="00BB5843"/>
    <w:rsid w:val="00BB591E"/>
    <w:rsid w:val="00BB5A4F"/>
    <w:rsid w:val="00BB5C08"/>
    <w:rsid w:val="00BB64DD"/>
    <w:rsid w:val="00BB67F5"/>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1A9"/>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54F"/>
    <w:rsid w:val="00BE060B"/>
    <w:rsid w:val="00BE077A"/>
    <w:rsid w:val="00BE0CBF"/>
    <w:rsid w:val="00BE155D"/>
    <w:rsid w:val="00BE19B0"/>
    <w:rsid w:val="00BE1BEF"/>
    <w:rsid w:val="00BE1D6C"/>
    <w:rsid w:val="00BE20E8"/>
    <w:rsid w:val="00BE2162"/>
    <w:rsid w:val="00BE248B"/>
    <w:rsid w:val="00BE2629"/>
    <w:rsid w:val="00BE2825"/>
    <w:rsid w:val="00BE31DD"/>
    <w:rsid w:val="00BE36E1"/>
    <w:rsid w:val="00BE3870"/>
    <w:rsid w:val="00BE38F5"/>
    <w:rsid w:val="00BE398A"/>
    <w:rsid w:val="00BE3AEC"/>
    <w:rsid w:val="00BE3D93"/>
    <w:rsid w:val="00BE3E61"/>
    <w:rsid w:val="00BE3ED2"/>
    <w:rsid w:val="00BE49F9"/>
    <w:rsid w:val="00BE4E22"/>
    <w:rsid w:val="00BE50E7"/>
    <w:rsid w:val="00BE510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09D7"/>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0D3"/>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7D1"/>
    <w:rsid w:val="00C05A30"/>
    <w:rsid w:val="00C05E3E"/>
    <w:rsid w:val="00C060FD"/>
    <w:rsid w:val="00C0632F"/>
    <w:rsid w:val="00C063BF"/>
    <w:rsid w:val="00C06408"/>
    <w:rsid w:val="00C064F7"/>
    <w:rsid w:val="00C06A58"/>
    <w:rsid w:val="00C06D81"/>
    <w:rsid w:val="00C06E11"/>
    <w:rsid w:val="00C06ECE"/>
    <w:rsid w:val="00C06F5F"/>
    <w:rsid w:val="00C07571"/>
    <w:rsid w:val="00C07915"/>
    <w:rsid w:val="00C07950"/>
    <w:rsid w:val="00C07A37"/>
    <w:rsid w:val="00C07B97"/>
    <w:rsid w:val="00C07C8C"/>
    <w:rsid w:val="00C102D1"/>
    <w:rsid w:val="00C10B72"/>
    <w:rsid w:val="00C10F10"/>
    <w:rsid w:val="00C1121C"/>
    <w:rsid w:val="00C11527"/>
    <w:rsid w:val="00C117D0"/>
    <w:rsid w:val="00C11845"/>
    <w:rsid w:val="00C11D41"/>
    <w:rsid w:val="00C11E44"/>
    <w:rsid w:val="00C120D2"/>
    <w:rsid w:val="00C1218E"/>
    <w:rsid w:val="00C12820"/>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0A"/>
    <w:rsid w:val="00C17957"/>
    <w:rsid w:val="00C1796D"/>
    <w:rsid w:val="00C17E82"/>
    <w:rsid w:val="00C203F4"/>
    <w:rsid w:val="00C20640"/>
    <w:rsid w:val="00C20D77"/>
    <w:rsid w:val="00C20EC4"/>
    <w:rsid w:val="00C21146"/>
    <w:rsid w:val="00C211B9"/>
    <w:rsid w:val="00C2128F"/>
    <w:rsid w:val="00C21687"/>
    <w:rsid w:val="00C21772"/>
    <w:rsid w:val="00C2178B"/>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229"/>
    <w:rsid w:val="00C25319"/>
    <w:rsid w:val="00C25338"/>
    <w:rsid w:val="00C25850"/>
    <w:rsid w:val="00C25B2E"/>
    <w:rsid w:val="00C25B9B"/>
    <w:rsid w:val="00C26079"/>
    <w:rsid w:val="00C2657B"/>
    <w:rsid w:val="00C266A8"/>
    <w:rsid w:val="00C26A79"/>
    <w:rsid w:val="00C26E1B"/>
    <w:rsid w:val="00C272D4"/>
    <w:rsid w:val="00C2737B"/>
    <w:rsid w:val="00C274FC"/>
    <w:rsid w:val="00C278FC"/>
    <w:rsid w:val="00C27986"/>
    <w:rsid w:val="00C279DC"/>
    <w:rsid w:val="00C279E4"/>
    <w:rsid w:val="00C27BA9"/>
    <w:rsid w:val="00C27D4E"/>
    <w:rsid w:val="00C27DB9"/>
    <w:rsid w:val="00C27ED7"/>
    <w:rsid w:val="00C27F5B"/>
    <w:rsid w:val="00C3013E"/>
    <w:rsid w:val="00C301C7"/>
    <w:rsid w:val="00C303D8"/>
    <w:rsid w:val="00C3047D"/>
    <w:rsid w:val="00C306CD"/>
    <w:rsid w:val="00C30A76"/>
    <w:rsid w:val="00C30BE0"/>
    <w:rsid w:val="00C30CDD"/>
    <w:rsid w:val="00C30DFB"/>
    <w:rsid w:val="00C30F49"/>
    <w:rsid w:val="00C30FA2"/>
    <w:rsid w:val="00C312B4"/>
    <w:rsid w:val="00C31544"/>
    <w:rsid w:val="00C31624"/>
    <w:rsid w:val="00C316AB"/>
    <w:rsid w:val="00C31BD6"/>
    <w:rsid w:val="00C3210E"/>
    <w:rsid w:val="00C3274C"/>
    <w:rsid w:val="00C32A9A"/>
    <w:rsid w:val="00C32D74"/>
    <w:rsid w:val="00C32D99"/>
    <w:rsid w:val="00C32E1C"/>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3A3"/>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D89"/>
    <w:rsid w:val="00C47F82"/>
    <w:rsid w:val="00C50222"/>
    <w:rsid w:val="00C505EC"/>
    <w:rsid w:val="00C50640"/>
    <w:rsid w:val="00C50BB4"/>
    <w:rsid w:val="00C51D43"/>
    <w:rsid w:val="00C522AB"/>
    <w:rsid w:val="00C5238F"/>
    <w:rsid w:val="00C52395"/>
    <w:rsid w:val="00C524CB"/>
    <w:rsid w:val="00C52CB1"/>
    <w:rsid w:val="00C52ED0"/>
    <w:rsid w:val="00C53188"/>
    <w:rsid w:val="00C532CD"/>
    <w:rsid w:val="00C534F1"/>
    <w:rsid w:val="00C5371A"/>
    <w:rsid w:val="00C539A5"/>
    <w:rsid w:val="00C53A47"/>
    <w:rsid w:val="00C541F7"/>
    <w:rsid w:val="00C5440E"/>
    <w:rsid w:val="00C544C8"/>
    <w:rsid w:val="00C54ABB"/>
    <w:rsid w:val="00C54CD5"/>
    <w:rsid w:val="00C55005"/>
    <w:rsid w:val="00C55072"/>
    <w:rsid w:val="00C550A8"/>
    <w:rsid w:val="00C55185"/>
    <w:rsid w:val="00C555B9"/>
    <w:rsid w:val="00C55CE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E7E"/>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3FC"/>
    <w:rsid w:val="00C664B1"/>
    <w:rsid w:val="00C664D2"/>
    <w:rsid w:val="00C66730"/>
    <w:rsid w:val="00C66773"/>
    <w:rsid w:val="00C6684D"/>
    <w:rsid w:val="00C66928"/>
    <w:rsid w:val="00C669FC"/>
    <w:rsid w:val="00C66D24"/>
    <w:rsid w:val="00C673B9"/>
    <w:rsid w:val="00C67431"/>
    <w:rsid w:val="00C6768E"/>
    <w:rsid w:val="00C67746"/>
    <w:rsid w:val="00C67CA6"/>
    <w:rsid w:val="00C70040"/>
    <w:rsid w:val="00C702C9"/>
    <w:rsid w:val="00C703B8"/>
    <w:rsid w:val="00C704E2"/>
    <w:rsid w:val="00C704FC"/>
    <w:rsid w:val="00C70B13"/>
    <w:rsid w:val="00C70B84"/>
    <w:rsid w:val="00C70E8C"/>
    <w:rsid w:val="00C70EDC"/>
    <w:rsid w:val="00C71291"/>
    <w:rsid w:val="00C7149E"/>
    <w:rsid w:val="00C714B6"/>
    <w:rsid w:val="00C715E7"/>
    <w:rsid w:val="00C71756"/>
    <w:rsid w:val="00C71A28"/>
    <w:rsid w:val="00C71A40"/>
    <w:rsid w:val="00C71D1B"/>
    <w:rsid w:val="00C71EA8"/>
    <w:rsid w:val="00C72051"/>
    <w:rsid w:val="00C720C2"/>
    <w:rsid w:val="00C724D9"/>
    <w:rsid w:val="00C724F4"/>
    <w:rsid w:val="00C72B3B"/>
    <w:rsid w:val="00C72D0F"/>
    <w:rsid w:val="00C731D5"/>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2B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3"/>
    <w:rsid w:val="00C82D23"/>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0A3"/>
    <w:rsid w:val="00C86C5C"/>
    <w:rsid w:val="00C86D51"/>
    <w:rsid w:val="00C86DC7"/>
    <w:rsid w:val="00C86FEC"/>
    <w:rsid w:val="00C870EA"/>
    <w:rsid w:val="00C87375"/>
    <w:rsid w:val="00C87ADF"/>
    <w:rsid w:val="00C87C20"/>
    <w:rsid w:val="00C9001D"/>
    <w:rsid w:val="00C901E8"/>
    <w:rsid w:val="00C90212"/>
    <w:rsid w:val="00C904D3"/>
    <w:rsid w:val="00C90530"/>
    <w:rsid w:val="00C90D46"/>
    <w:rsid w:val="00C90DEF"/>
    <w:rsid w:val="00C90F68"/>
    <w:rsid w:val="00C91006"/>
    <w:rsid w:val="00C910A5"/>
    <w:rsid w:val="00C91569"/>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6E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033"/>
    <w:rsid w:val="00CA2201"/>
    <w:rsid w:val="00CA333B"/>
    <w:rsid w:val="00CA3599"/>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AE7"/>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DBB"/>
    <w:rsid w:val="00CB4DEA"/>
    <w:rsid w:val="00CB4EFA"/>
    <w:rsid w:val="00CB55BA"/>
    <w:rsid w:val="00CB62E1"/>
    <w:rsid w:val="00CB6317"/>
    <w:rsid w:val="00CB631C"/>
    <w:rsid w:val="00CB6532"/>
    <w:rsid w:val="00CB6562"/>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71"/>
    <w:rsid w:val="00CC2DBF"/>
    <w:rsid w:val="00CC2E3E"/>
    <w:rsid w:val="00CC3024"/>
    <w:rsid w:val="00CC3743"/>
    <w:rsid w:val="00CC3769"/>
    <w:rsid w:val="00CC38F1"/>
    <w:rsid w:val="00CC3AAD"/>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876"/>
    <w:rsid w:val="00CD0A0B"/>
    <w:rsid w:val="00CD0CB3"/>
    <w:rsid w:val="00CD0D87"/>
    <w:rsid w:val="00CD0EB7"/>
    <w:rsid w:val="00CD0F45"/>
    <w:rsid w:val="00CD1130"/>
    <w:rsid w:val="00CD12A6"/>
    <w:rsid w:val="00CD15C4"/>
    <w:rsid w:val="00CD1777"/>
    <w:rsid w:val="00CD1848"/>
    <w:rsid w:val="00CD1D4D"/>
    <w:rsid w:val="00CD1D5B"/>
    <w:rsid w:val="00CD2057"/>
    <w:rsid w:val="00CD21AD"/>
    <w:rsid w:val="00CD21B1"/>
    <w:rsid w:val="00CD24D8"/>
    <w:rsid w:val="00CD2A12"/>
    <w:rsid w:val="00CD30D1"/>
    <w:rsid w:val="00CD33EA"/>
    <w:rsid w:val="00CD361A"/>
    <w:rsid w:val="00CD3706"/>
    <w:rsid w:val="00CD3844"/>
    <w:rsid w:val="00CD388E"/>
    <w:rsid w:val="00CD3A5C"/>
    <w:rsid w:val="00CD3A72"/>
    <w:rsid w:val="00CD3D69"/>
    <w:rsid w:val="00CD3D81"/>
    <w:rsid w:val="00CD3E16"/>
    <w:rsid w:val="00CD426C"/>
    <w:rsid w:val="00CD46CB"/>
    <w:rsid w:val="00CD47FB"/>
    <w:rsid w:val="00CD4810"/>
    <w:rsid w:val="00CD48E0"/>
    <w:rsid w:val="00CD49CD"/>
    <w:rsid w:val="00CD4A0F"/>
    <w:rsid w:val="00CD4CB5"/>
    <w:rsid w:val="00CD4D55"/>
    <w:rsid w:val="00CD5032"/>
    <w:rsid w:val="00CD52DE"/>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2B2"/>
    <w:rsid w:val="00CE0553"/>
    <w:rsid w:val="00CE0577"/>
    <w:rsid w:val="00CE0A3C"/>
    <w:rsid w:val="00CE0AC5"/>
    <w:rsid w:val="00CE0C8E"/>
    <w:rsid w:val="00CE1057"/>
    <w:rsid w:val="00CE124D"/>
    <w:rsid w:val="00CE13AA"/>
    <w:rsid w:val="00CE153B"/>
    <w:rsid w:val="00CE1609"/>
    <w:rsid w:val="00CE1ACB"/>
    <w:rsid w:val="00CE1BC7"/>
    <w:rsid w:val="00CE2547"/>
    <w:rsid w:val="00CE25A3"/>
    <w:rsid w:val="00CE2752"/>
    <w:rsid w:val="00CE2ADA"/>
    <w:rsid w:val="00CE2C44"/>
    <w:rsid w:val="00CE353F"/>
    <w:rsid w:val="00CE361A"/>
    <w:rsid w:val="00CE363A"/>
    <w:rsid w:val="00CE36DF"/>
    <w:rsid w:val="00CE37CF"/>
    <w:rsid w:val="00CE3922"/>
    <w:rsid w:val="00CE39D8"/>
    <w:rsid w:val="00CE3E28"/>
    <w:rsid w:val="00CE3EFA"/>
    <w:rsid w:val="00CE407D"/>
    <w:rsid w:val="00CE41E5"/>
    <w:rsid w:val="00CE4495"/>
    <w:rsid w:val="00CE4586"/>
    <w:rsid w:val="00CE45F0"/>
    <w:rsid w:val="00CE4B5F"/>
    <w:rsid w:val="00CE55CB"/>
    <w:rsid w:val="00CE55F8"/>
    <w:rsid w:val="00CE5660"/>
    <w:rsid w:val="00CE566F"/>
    <w:rsid w:val="00CE579A"/>
    <w:rsid w:val="00CE59B4"/>
    <w:rsid w:val="00CE5BB6"/>
    <w:rsid w:val="00CE60E7"/>
    <w:rsid w:val="00CE617B"/>
    <w:rsid w:val="00CE61D6"/>
    <w:rsid w:val="00CE655B"/>
    <w:rsid w:val="00CE6846"/>
    <w:rsid w:val="00CE6D12"/>
    <w:rsid w:val="00CE6E08"/>
    <w:rsid w:val="00CE6E64"/>
    <w:rsid w:val="00CE6FF9"/>
    <w:rsid w:val="00CE70D1"/>
    <w:rsid w:val="00CE73C6"/>
    <w:rsid w:val="00CE7622"/>
    <w:rsid w:val="00CE7BCE"/>
    <w:rsid w:val="00CE7CCE"/>
    <w:rsid w:val="00CE7EC2"/>
    <w:rsid w:val="00CE7F21"/>
    <w:rsid w:val="00CF013B"/>
    <w:rsid w:val="00CF0206"/>
    <w:rsid w:val="00CF0295"/>
    <w:rsid w:val="00CF0366"/>
    <w:rsid w:val="00CF0530"/>
    <w:rsid w:val="00CF0802"/>
    <w:rsid w:val="00CF089E"/>
    <w:rsid w:val="00CF0E8F"/>
    <w:rsid w:val="00CF0F31"/>
    <w:rsid w:val="00CF0F70"/>
    <w:rsid w:val="00CF0FEA"/>
    <w:rsid w:val="00CF18EE"/>
    <w:rsid w:val="00CF1915"/>
    <w:rsid w:val="00CF1F37"/>
    <w:rsid w:val="00CF20F7"/>
    <w:rsid w:val="00CF2282"/>
    <w:rsid w:val="00CF2773"/>
    <w:rsid w:val="00CF27F7"/>
    <w:rsid w:val="00CF2E44"/>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D09"/>
    <w:rsid w:val="00CF708C"/>
    <w:rsid w:val="00CF73B4"/>
    <w:rsid w:val="00CF7699"/>
    <w:rsid w:val="00CF76A4"/>
    <w:rsid w:val="00CF7713"/>
    <w:rsid w:val="00CF79FB"/>
    <w:rsid w:val="00CF7D71"/>
    <w:rsid w:val="00CF7E6E"/>
    <w:rsid w:val="00CF7FE5"/>
    <w:rsid w:val="00D000F3"/>
    <w:rsid w:val="00D00125"/>
    <w:rsid w:val="00D0014C"/>
    <w:rsid w:val="00D00188"/>
    <w:rsid w:val="00D00735"/>
    <w:rsid w:val="00D008AA"/>
    <w:rsid w:val="00D009D9"/>
    <w:rsid w:val="00D00DE3"/>
    <w:rsid w:val="00D01388"/>
    <w:rsid w:val="00D01593"/>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969"/>
    <w:rsid w:val="00D06DB7"/>
    <w:rsid w:val="00D0743E"/>
    <w:rsid w:val="00D075AD"/>
    <w:rsid w:val="00D077C7"/>
    <w:rsid w:val="00D07941"/>
    <w:rsid w:val="00D07B83"/>
    <w:rsid w:val="00D07C24"/>
    <w:rsid w:val="00D07F46"/>
    <w:rsid w:val="00D1030C"/>
    <w:rsid w:val="00D1050C"/>
    <w:rsid w:val="00D10619"/>
    <w:rsid w:val="00D1069C"/>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909"/>
    <w:rsid w:val="00D14C04"/>
    <w:rsid w:val="00D1539E"/>
    <w:rsid w:val="00D1561B"/>
    <w:rsid w:val="00D1583A"/>
    <w:rsid w:val="00D15B5F"/>
    <w:rsid w:val="00D15C2B"/>
    <w:rsid w:val="00D16136"/>
    <w:rsid w:val="00D16841"/>
    <w:rsid w:val="00D16911"/>
    <w:rsid w:val="00D16937"/>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DC"/>
    <w:rsid w:val="00D24D6C"/>
    <w:rsid w:val="00D24D8C"/>
    <w:rsid w:val="00D24DF8"/>
    <w:rsid w:val="00D2523C"/>
    <w:rsid w:val="00D252CF"/>
    <w:rsid w:val="00D253D9"/>
    <w:rsid w:val="00D2564C"/>
    <w:rsid w:val="00D25D8A"/>
    <w:rsid w:val="00D26150"/>
    <w:rsid w:val="00D26A2B"/>
    <w:rsid w:val="00D26A6B"/>
    <w:rsid w:val="00D26AD4"/>
    <w:rsid w:val="00D26BAE"/>
    <w:rsid w:val="00D26D3C"/>
    <w:rsid w:val="00D27AC7"/>
    <w:rsid w:val="00D27C20"/>
    <w:rsid w:val="00D27DDE"/>
    <w:rsid w:val="00D3019E"/>
    <w:rsid w:val="00D302D0"/>
    <w:rsid w:val="00D30431"/>
    <w:rsid w:val="00D3049B"/>
    <w:rsid w:val="00D305AB"/>
    <w:rsid w:val="00D3081A"/>
    <w:rsid w:val="00D308D3"/>
    <w:rsid w:val="00D30B98"/>
    <w:rsid w:val="00D30D38"/>
    <w:rsid w:val="00D31866"/>
    <w:rsid w:val="00D3188F"/>
    <w:rsid w:val="00D31B41"/>
    <w:rsid w:val="00D32363"/>
    <w:rsid w:val="00D32408"/>
    <w:rsid w:val="00D324B2"/>
    <w:rsid w:val="00D32643"/>
    <w:rsid w:val="00D3274F"/>
    <w:rsid w:val="00D32B3C"/>
    <w:rsid w:val="00D33465"/>
    <w:rsid w:val="00D33606"/>
    <w:rsid w:val="00D3366C"/>
    <w:rsid w:val="00D339C6"/>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947"/>
    <w:rsid w:val="00D37F07"/>
    <w:rsid w:val="00D40737"/>
    <w:rsid w:val="00D40766"/>
    <w:rsid w:val="00D409F7"/>
    <w:rsid w:val="00D40AF0"/>
    <w:rsid w:val="00D40D83"/>
    <w:rsid w:val="00D40FFD"/>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5F45"/>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F93"/>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31"/>
    <w:rsid w:val="00D65754"/>
    <w:rsid w:val="00D65F9D"/>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081"/>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7FC"/>
    <w:rsid w:val="00D77B3B"/>
    <w:rsid w:val="00D77CDC"/>
    <w:rsid w:val="00D807A4"/>
    <w:rsid w:val="00D80802"/>
    <w:rsid w:val="00D8083E"/>
    <w:rsid w:val="00D80E57"/>
    <w:rsid w:val="00D80EB2"/>
    <w:rsid w:val="00D8103A"/>
    <w:rsid w:val="00D81256"/>
    <w:rsid w:val="00D81653"/>
    <w:rsid w:val="00D81E43"/>
    <w:rsid w:val="00D81FC7"/>
    <w:rsid w:val="00D82458"/>
    <w:rsid w:val="00D82498"/>
    <w:rsid w:val="00D829B6"/>
    <w:rsid w:val="00D82BE8"/>
    <w:rsid w:val="00D82E64"/>
    <w:rsid w:val="00D82EEC"/>
    <w:rsid w:val="00D83327"/>
    <w:rsid w:val="00D838B1"/>
    <w:rsid w:val="00D838DB"/>
    <w:rsid w:val="00D83A6E"/>
    <w:rsid w:val="00D83BEF"/>
    <w:rsid w:val="00D84013"/>
    <w:rsid w:val="00D84029"/>
    <w:rsid w:val="00D84070"/>
    <w:rsid w:val="00D840E1"/>
    <w:rsid w:val="00D8419D"/>
    <w:rsid w:val="00D843F9"/>
    <w:rsid w:val="00D8454C"/>
    <w:rsid w:val="00D8490F"/>
    <w:rsid w:val="00D84B52"/>
    <w:rsid w:val="00D84F85"/>
    <w:rsid w:val="00D851B4"/>
    <w:rsid w:val="00D853AA"/>
    <w:rsid w:val="00D85631"/>
    <w:rsid w:val="00D85744"/>
    <w:rsid w:val="00D858CE"/>
    <w:rsid w:val="00D8644A"/>
    <w:rsid w:val="00D866FA"/>
    <w:rsid w:val="00D86CB4"/>
    <w:rsid w:val="00D87276"/>
    <w:rsid w:val="00D87296"/>
    <w:rsid w:val="00D87516"/>
    <w:rsid w:val="00D876A6"/>
    <w:rsid w:val="00D878F8"/>
    <w:rsid w:val="00D87941"/>
    <w:rsid w:val="00D87A1F"/>
    <w:rsid w:val="00D87B1D"/>
    <w:rsid w:val="00D90119"/>
    <w:rsid w:val="00D90213"/>
    <w:rsid w:val="00D902DC"/>
    <w:rsid w:val="00D90358"/>
    <w:rsid w:val="00D903E3"/>
    <w:rsid w:val="00D903E8"/>
    <w:rsid w:val="00D908A9"/>
    <w:rsid w:val="00D90E74"/>
    <w:rsid w:val="00D90FAF"/>
    <w:rsid w:val="00D91067"/>
    <w:rsid w:val="00D9107F"/>
    <w:rsid w:val="00D91261"/>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D18"/>
    <w:rsid w:val="00D92EB2"/>
    <w:rsid w:val="00D92F0E"/>
    <w:rsid w:val="00D92F34"/>
    <w:rsid w:val="00D92FF3"/>
    <w:rsid w:val="00D9316A"/>
    <w:rsid w:val="00D931FC"/>
    <w:rsid w:val="00D932D1"/>
    <w:rsid w:val="00D933F0"/>
    <w:rsid w:val="00D934B8"/>
    <w:rsid w:val="00D9350F"/>
    <w:rsid w:val="00D93898"/>
    <w:rsid w:val="00D938DC"/>
    <w:rsid w:val="00D93A95"/>
    <w:rsid w:val="00D93F18"/>
    <w:rsid w:val="00D945E6"/>
    <w:rsid w:val="00D94AA2"/>
    <w:rsid w:val="00D94FB3"/>
    <w:rsid w:val="00D951BD"/>
    <w:rsid w:val="00D95487"/>
    <w:rsid w:val="00D95B49"/>
    <w:rsid w:val="00D95C43"/>
    <w:rsid w:val="00D95E46"/>
    <w:rsid w:val="00D96119"/>
    <w:rsid w:val="00D96765"/>
    <w:rsid w:val="00D9679F"/>
    <w:rsid w:val="00D9697E"/>
    <w:rsid w:val="00D974F0"/>
    <w:rsid w:val="00D9764A"/>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26C2"/>
    <w:rsid w:val="00DA32E5"/>
    <w:rsid w:val="00DA3377"/>
    <w:rsid w:val="00DA3481"/>
    <w:rsid w:val="00DA36C9"/>
    <w:rsid w:val="00DA3B5C"/>
    <w:rsid w:val="00DA4119"/>
    <w:rsid w:val="00DA41EA"/>
    <w:rsid w:val="00DA4270"/>
    <w:rsid w:val="00DA43A5"/>
    <w:rsid w:val="00DA4435"/>
    <w:rsid w:val="00DA4453"/>
    <w:rsid w:val="00DA4476"/>
    <w:rsid w:val="00DA44A0"/>
    <w:rsid w:val="00DA4684"/>
    <w:rsid w:val="00DA47CC"/>
    <w:rsid w:val="00DA4A59"/>
    <w:rsid w:val="00DA4BF2"/>
    <w:rsid w:val="00DA52BC"/>
    <w:rsid w:val="00DA5489"/>
    <w:rsid w:val="00DA56FA"/>
    <w:rsid w:val="00DA5BF7"/>
    <w:rsid w:val="00DA5D6F"/>
    <w:rsid w:val="00DA5EA3"/>
    <w:rsid w:val="00DA629C"/>
    <w:rsid w:val="00DA6492"/>
    <w:rsid w:val="00DA6A6A"/>
    <w:rsid w:val="00DA6B1B"/>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709"/>
    <w:rsid w:val="00DB18FF"/>
    <w:rsid w:val="00DB1992"/>
    <w:rsid w:val="00DB1C93"/>
    <w:rsid w:val="00DB2062"/>
    <w:rsid w:val="00DB219E"/>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1D5"/>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C56"/>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C65"/>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4FA"/>
    <w:rsid w:val="00DE08CC"/>
    <w:rsid w:val="00DE0B62"/>
    <w:rsid w:val="00DE0C2E"/>
    <w:rsid w:val="00DE0CFE"/>
    <w:rsid w:val="00DE1311"/>
    <w:rsid w:val="00DE1803"/>
    <w:rsid w:val="00DE1C38"/>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5CD"/>
    <w:rsid w:val="00DE6809"/>
    <w:rsid w:val="00DE68AB"/>
    <w:rsid w:val="00DE6AF2"/>
    <w:rsid w:val="00DE70EE"/>
    <w:rsid w:val="00DE7D92"/>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001"/>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3E5"/>
    <w:rsid w:val="00DF5BB7"/>
    <w:rsid w:val="00DF5BFF"/>
    <w:rsid w:val="00DF5C15"/>
    <w:rsid w:val="00DF5D34"/>
    <w:rsid w:val="00DF6089"/>
    <w:rsid w:val="00DF6164"/>
    <w:rsid w:val="00DF620D"/>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39C"/>
    <w:rsid w:val="00E0652B"/>
    <w:rsid w:val="00E067A4"/>
    <w:rsid w:val="00E0696B"/>
    <w:rsid w:val="00E06FAE"/>
    <w:rsid w:val="00E0713A"/>
    <w:rsid w:val="00E071AA"/>
    <w:rsid w:val="00E075B7"/>
    <w:rsid w:val="00E07795"/>
    <w:rsid w:val="00E0780F"/>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B25"/>
    <w:rsid w:val="00E12CAB"/>
    <w:rsid w:val="00E12F38"/>
    <w:rsid w:val="00E131A1"/>
    <w:rsid w:val="00E13209"/>
    <w:rsid w:val="00E13DBA"/>
    <w:rsid w:val="00E13F9F"/>
    <w:rsid w:val="00E1446D"/>
    <w:rsid w:val="00E1454B"/>
    <w:rsid w:val="00E14CF8"/>
    <w:rsid w:val="00E14E07"/>
    <w:rsid w:val="00E14EE4"/>
    <w:rsid w:val="00E14F04"/>
    <w:rsid w:val="00E14FDE"/>
    <w:rsid w:val="00E15370"/>
    <w:rsid w:val="00E15622"/>
    <w:rsid w:val="00E1562A"/>
    <w:rsid w:val="00E162BF"/>
    <w:rsid w:val="00E16407"/>
    <w:rsid w:val="00E1687C"/>
    <w:rsid w:val="00E16A38"/>
    <w:rsid w:val="00E16A5A"/>
    <w:rsid w:val="00E16EC1"/>
    <w:rsid w:val="00E16FB2"/>
    <w:rsid w:val="00E16FB8"/>
    <w:rsid w:val="00E1709D"/>
    <w:rsid w:val="00E17415"/>
    <w:rsid w:val="00E1795F"/>
    <w:rsid w:val="00E17B30"/>
    <w:rsid w:val="00E208D9"/>
    <w:rsid w:val="00E20935"/>
    <w:rsid w:val="00E20A96"/>
    <w:rsid w:val="00E20B0C"/>
    <w:rsid w:val="00E20B52"/>
    <w:rsid w:val="00E20C0A"/>
    <w:rsid w:val="00E20CB6"/>
    <w:rsid w:val="00E20F2C"/>
    <w:rsid w:val="00E2165B"/>
    <w:rsid w:val="00E218C0"/>
    <w:rsid w:val="00E219A8"/>
    <w:rsid w:val="00E21BA2"/>
    <w:rsid w:val="00E21C27"/>
    <w:rsid w:val="00E21E8C"/>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AA"/>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DDC"/>
    <w:rsid w:val="00E32F9C"/>
    <w:rsid w:val="00E33150"/>
    <w:rsid w:val="00E336D3"/>
    <w:rsid w:val="00E3382C"/>
    <w:rsid w:val="00E33D57"/>
    <w:rsid w:val="00E3411A"/>
    <w:rsid w:val="00E34522"/>
    <w:rsid w:val="00E34AAB"/>
    <w:rsid w:val="00E34D0D"/>
    <w:rsid w:val="00E34E3F"/>
    <w:rsid w:val="00E34F8B"/>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7FE"/>
    <w:rsid w:val="00E408B9"/>
    <w:rsid w:val="00E40C59"/>
    <w:rsid w:val="00E4110E"/>
    <w:rsid w:val="00E41B18"/>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56A"/>
    <w:rsid w:val="00E6179B"/>
    <w:rsid w:val="00E61C12"/>
    <w:rsid w:val="00E61D4C"/>
    <w:rsid w:val="00E61DE6"/>
    <w:rsid w:val="00E62439"/>
    <w:rsid w:val="00E62942"/>
    <w:rsid w:val="00E62A0B"/>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50"/>
    <w:rsid w:val="00E64ECF"/>
    <w:rsid w:val="00E65201"/>
    <w:rsid w:val="00E65252"/>
    <w:rsid w:val="00E652B5"/>
    <w:rsid w:val="00E653F7"/>
    <w:rsid w:val="00E656AE"/>
    <w:rsid w:val="00E656BF"/>
    <w:rsid w:val="00E65909"/>
    <w:rsid w:val="00E65AE8"/>
    <w:rsid w:val="00E65C65"/>
    <w:rsid w:val="00E66053"/>
    <w:rsid w:val="00E662FD"/>
    <w:rsid w:val="00E664A1"/>
    <w:rsid w:val="00E668FF"/>
    <w:rsid w:val="00E66B94"/>
    <w:rsid w:val="00E66D6A"/>
    <w:rsid w:val="00E66DD8"/>
    <w:rsid w:val="00E67391"/>
    <w:rsid w:val="00E67437"/>
    <w:rsid w:val="00E674CA"/>
    <w:rsid w:val="00E675C3"/>
    <w:rsid w:val="00E67776"/>
    <w:rsid w:val="00E67F8A"/>
    <w:rsid w:val="00E7002F"/>
    <w:rsid w:val="00E70348"/>
    <w:rsid w:val="00E7091D"/>
    <w:rsid w:val="00E713BF"/>
    <w:rsid w:val="00E71996"/>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E1C"/>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7BB"/>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C58"/>
    <w:rsid w:val="00E85EAA"/>
    <w:rsid w:val="00E86126"/>
    <w:rsid w:val="00E86144"/>
    <w:rsid w:val="00E86662"/>
    <w:rsid w:val="00E8673A"/>
    <w:rsid w:val="00E86AC8"/>
    <w:rsid w:val="00E86AEA"/>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0B8"/>
    <w:rsid w:val="00E95193"/>
    <w:rsid w:val="00E95B13"/>
    <w:rsid w:val="00E95E76"/>
    <w:rsid w:val="00E95EB4"/>
    <w:rsid w:val="00E95FF1"/>
    <w:rsid w:val="00E960E6"/>
    <w:rsid w:val="00E9616D"/>
    <w:rsid w:val="00E967ED"/>
    <w:rsid w:val="00E96F9C"/>
    <w:rsid w:val="00E97098"/>
    <w:rsid w:val="00E97B74"/>
    <w:rsid w:val="00E97B9A"/>
    <w:rsid w:val="00EA0482"/>
    <w:rsid w:val="00EA04A5"/>
    <w:rsid w:val="00EA05DB"/>
    <w:rsid w:val="00EA08D2"/>
    <w:rsid w:val="00EA10E9"/>
    <w:rsid w:val="00EA14C9"/>
    <w:rsid w:val="00EA173B"/>
    <w:rsid w:val="00EA1CFC"/>
    <w:rsid w:val="00EA1E93"/>
    <w:rsid w:val="00EA23FD"/>
    <w:rsid w:val="00EA24EE"/>
    <w:rsid w:val="00EA250D"/>
    <w:rsid w:val="00EA2554"/>
    <w:rsid w:val="00EA2619"/>
    <w:rsid w:val="00EA2661"/>
    <w:rsid w:val="00EA2AE0"/>
    <w:rsid w:val="00EA3110"/>
    <w:rsid w:val="00EA33A6"/>
    <w:rsid w:val="00EA3A2D"/>
    <w:rsid w:val="00EA3C6A"/>
    <w:rsid w:val="00EA3F07"/>
    <w:rsid w:val="00EA3F21"/>
    <w:rsid w:val="00EA41DE"/>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2C1"/>
    <w:rsid w:val="00EB05E4"/>
    <w:rsid w:val="00EB0896"/>
    <w:rsid w:val="00EB0E79"/>
    <w:rsid w:val="00EB175A"/>
    <w:rsid w:val="00EB18FC"/>
    <w:rsid w:val="00EB196C"/>
    <w:rsid w:val="00EB197F"/>
    <w:rsid w:val="00EB19C6"/>
    <w:rsid w:val="00EB2034"/>
    <w:rsid w:val="00EB204E"/>
    <w:rsid w:val="00EB286D"/>
    <w:rsid w:val="00EB2AC0"/>
    <w:rsid w:val="00EB2CC8"/>
    <w:rsid w:val="00EB2CD4"/>
    <w:rsid w:val="00EB2D68"/>
    <w:rsid w:val="00EB2E9D"/>
    <w:rsid w:val="00EB2F36"/>
    <w:rsid w:val="00EB311E"/>
    <w:rsid w:val="00EB32E0"/>
    <w:rsid w:val="00EB359A"/>
    <w:rsid w:val="00EB3745"/>
    <w:rsid w:val="00EB3A6F"/>
    <w:rsid w:val="00EB434D"/>
    <w:rsid w:val="00EB452A"/>
    <w:rsid w:val="00EB4691"/>
    <w:rsid w:val="00EB47C6"/>
    <w:rsid w:val="00EB481F"/>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5C3"/>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065"/>
    <w:rsid w:val="00EC51B5"/>
    <w:rsid w:val="00EC5528"/>
    <w:rsid w:val="00EC5581"/>
    <w:rsid w:val="00EC57CA"/>
    <w:rsid w:val="00EC6055"/>
    <w:rsid w:val="00EC621D"/>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C3"/>
    <w:rsid w:val="00ED30A5"/>
    <w:rsid w:val="00ED3623"/>
    <w:rsid w:val="00ED37A1"/>
    <w:rsid w:val="00ED3B88"/>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4E0"/>
    <w:rsid w:val="00EE3590"/>
    <w:rsid w:val="00EE3A5C"/>
    <w:rsid w:val="00EE3CB5"/>
    <w:rsid w:val="00EE3F8A"/>
    <w:rsid w:val="00EE415F"/>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6F"/>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688"/>
    <w:rsid w:val="00EF5763"/>
    <w:rsid w:val="00EF596F"/>
    <w:rsid w:val="00EF5B2E"/>
    <w:rsid w:val="00EF5B83"/>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2A4C"/>
    <w:rsid w:val="00F032B3"/>
    <w:rsid w:val="00F0369D"/>
    <w:rsid w:val="00F03A11"/>
    <w:rsid w:val="00F03A9B"/>
    <w:rsid w:val="00F03B46"/>
    <w:rsid w:val="00F03BEF"/>
    <w:rsid w:val="00F03DC7"/>
    <w:rsid w:val="00F04287"/>
    <w:rsid w:val="00F04609"/>
    <w:rsid w:val="00F047C7"/>
    <w:rsid w:val="00F047F2"/>
    <w:rsid w:val="00F0497E"/>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09C"/>
    <w:rsid w:val="00F10D20"/>
    <w:rsid w:val="00F11035"/>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4E58"/>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A78"/>
    <w:rsid w:val="00F22FB0"/>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6C5"/>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1CFD"/>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C1E"/>
    <w:rsid w:val="00F34D39"/>
    <w:rsid w:val="00F34DC0"/>
    <w:rsid w:val="00F34DEC"/>
    <w:rsid w:val="00F35241"/>
    <w:rsid w:val="00F35638"/>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2DB1"/>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CD"/>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AF8"/>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A4"/>
    <w:rsid w:val="00F602F6"/>
    <w:rsid w:val="00F605F0"/>
    <w:rsid w:val="00F60747"/>
    <w:rsid w:val="00F60786"/>
    <w:rsid w:val="00F607C3"/>
    <w:rsid w:val="00F607E6"/>
    <w:rsid w:val="00F60BF5"/>
    <w:rsid w:val="00F60C6B"/>
    <w:rsid w:val="00F60D8E"/>
    <w:rsid w:val="00F60E09"/>
    <w:rsid w:val="00F60EDC"/>
    <w:rsid w:val="00F60FAA"/>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E2D"/>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10B"/>
    <w:rsid w:val="00F74877"/>
    <w:rsid w:val="00F748CF"/>
    <w:rsid w:val="00F74ADE"/>
    <w:rsid w:val="00F74BB2"/>
    <w:rsid w:val="00F753F5"/>
    <w:rsid w:val="00F75424"/>
    <w:rsid w:val="00F75612"/>
    <w:rsid w:val="00F7566C"/>
    <w:rsid w:val="00F75674"/>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BFB"/>
    <w:rsid w:val="00F77C8A"/>
    <w:rsid w:val="00F77D90"/>
    <w:rsid w:val="00F8022F"/>
    <w:rsid w:val="00F80535"/>
    <w:rsid w:val="00F807D3"/>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949"/>
    <w:rsid w:val="00F86AEB"/>
    <w:rsid w:val="00F86C72"/>
    <w:rsid w:val="00F86D8B"/>
    <w:rsid w:val="00F86DA0"/>
    <w:rsid w:val="00F86E16"/>
    <w:rsid w:val="00F870D8"/>
    <w:rsid w:val="00F8717C"/>
    <w:rsid w:val="00F874E8"/>
    <w:rsid w:val="00F875CB"/>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293"/>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AE8"/>
    <w:rsid w:val="00F96B61"/>
    <w:rsid w:val="00F96E5E"/>
    <w:rsid w:val="00F96ECD"/>
    <w:rsid w:val="00F96F39"/>
    <w:rsid w:val="00F9735C"/>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3C5"/>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B20"/>
    <w:rsid w:val="00FA7B90"/>
    <w:rsid w:val="00FA7C68"/>
    <w:rsid w:val="00FA7D09"/>
    <w:rsid w:val="00FB0363"/>
    <w:rsid w:val="00FB049D"/>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A4"/>
    <w:rsid w:val="00FC1CCB"/>
    <w:rsid w:val="00FC1D86"/>
    <w:rsid w:val="00FC21C4"/>
    <w:rsid w:val="00FC223A"/>
    <w:rsid w:val="00FC2305"/>
    <w:rsid w:val="00FC3422"/>
    <w:rsid w:val="00FC354F"/>
    <w:rsid w:val="00FC3F5E"/>
    <w:rsid w:val="00FC47AA"/>
    <w:rsid w:val="00FC48C8"/>
    <w:rsid w:val="00FC4ABA"/>
    <w:rsid w:val="00FC4BFC"/>
    <w:rsid w:val="00FC4C65"/>
    <w:rsid w:val="00FC4DD3"/>
    <w:rsid w:val="00FC4EE3"/>
    <w:rsid w:val="00FC4EF9"/>
    <w:rsid w:val="00FC4FE2"/>
    <w:rsid w:val="00FC52D4"/>
    <w:rsid w:val="00FC534C"/>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191"/>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B9A"/>
    <w:rsid w:val="00FD6D51"/>
    <w:rsid w:val="00FD7283"/>
    <w:rsid w:val="00FD72C9"/>
    <w:rsid w:val="00FD7351"/>
    <w:rsid w:val="00FD7B94"/>
    <w:rsid w:val="00FD7D03"/>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8F"/>
    <w:rsid w:val="00FE2F92"/>
    <w:rsid w:val="00FE307A"/>
    <w:rsid w:val="00FE31E1"/>
    <w:rsid w:val="00FE3521"/>
    <w:rsid w:val="00FE35B8"/>
    <w:rsid w:val="00FE35C0"/>
    <w:rsid w:val="00FE36C4"/>
    <w:rsid w:val="00FE38E3"/>
    <w:rsid w:val="00FE394F"/>
    <w:rsid w:val="00FE3B26"/>
    <w:rsid w:val="00FE4091"/>
    <w:rsid w:val="00FE40BD"/>
    <w:rsid w:val="00FE425A"/>
    <w:rsid w:val="00FE444D"/>
    <w:rsid w:val="00FE46F1"/>
    <w:rsid w:val="00FE4743"/>
    <w:rsid w:val="00FE47CC"/>
    <w:rsid w:val="00FE4A71"/>
    <w:rsid w:val="00FE4E4B"/>
    <w:rsid w:val="00FE4F17"/>
    <w:rsid w:val="00FE5062"/>
    <w:rsid w:val="00FE52D0"/>
    <w:rsid w:val="00FE5469"/>
    <w:rsid w:val="00FE5906"/>
    <w:rsid w:val="00FE5C6A"/>
    <w:rsid w:val="00FE5DE8"/>
    <w:rsid w:val="00FE6172"/>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9EC"/>
    <w:rsid w:val="00FF2A45"/>
    <w:rsid w:val="00FF2B4B"/>
    <w:rsid w:val="00FF2C4B"/>
    <w:rsid w:val="00FF2EB9"/>
    <w:rsid w:val="00FF31E4"/>
    <w:rsid w:val="00FF3305"/>
    <w:rsid w:val="00FF34DD"/>
    <w:rsid w:val="00FF36C1"/>
    <w:rsid w:val="00FF38BF"/>
    <w:rsid w:val="00FF3C26"/>
    <w:rsid w:val="00FF46E1"/>
    <w:rsid w:val="00FF498E"/>
    <w:rsid w:val="00FF49AC"/>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25A51"/>
    <w:rsid w:val="01054522"/>
    <w:rsid w:val="01095101"/>
    <w:rsid w:val="01106970"/>
    <w:rsid w:val="0115039C"/>
    <w:rsid w:val="01193CE9"/>
    <w:rsid w:val="01203F01"/>
    <w:rsid w:val="01220FB6"/>
    <w:rsid w:val="01250BFA"/>
    <w:rsid w:val="012640DD"/>
    <w:rsid w:val="012B33D5"/>
    <w:rsid w:val="012D5C64"/>
    <w:rsid w:val="01317886"/>
    <w:rsid w:val="013752CD"/>
    <w:rsid w:val="013A5064"/>
    <w:rsid w:val="013D172C"/>
    <w:rsid w:val="0144135B"/>
    <w:rsid w:val="01467895"/>
    <w:rsid w:val="014A7A71"/>
    <w:rsid w:val="014F79AA"/>
    <w:rsid w:val="015249FD"/>
    <w:rsid w:val="015264A0"/>
    <w:rsid w:val="01604DC0"/>
    <w:rsid w:val="0167471E"/>
    <w:rsid w:val="016C53E8"/>
    <w:rsid w:val="016F1A2E"/>
    <w:rsid w:val="01707D67"/>
    <w:rsid w:val="0179796A"/>
    <w:rsid w:val="017D2B3B"/>
    <w:rsid w:val="01877E8E"/>
    <w:rsid w:val="018D5C04"/>
    <w:rsid w:val="019B5B19"/>
    <w:rsid w:val="019D2B5F"/>
    <w:rsid w:val="019F2143"/>
    <w:rsid w:val="01AA45E9"/>
    <w:rsid w:val="01B04005"/>
    <w:rsid w:val="01B81AF2"/>
    <w:rsid w:val="01B8347F"/>
    <w:rsid w:val="01BA32CC"/>
    <w:rsid w:val="01BC425F"/>
    <w:rsid w:val="01CD3F24"/>
    <w:rsid w:val="01D77ED7"/>
    <w:rsid w:val="01E61A06"/>
    <w:rsid w:val="01E92270"/>
    <w:rsid w:val="01F1660E"/>
    <w:rsid w:val="01F43309"/>
    <w:rsid w:val="020834C3"/>
    <w:rsid w:val="020C2DCB"/>
    <w:rsid w:val="021501BD"/>
    <w:rsid w:val="0216677E"/>
    <w:rsid w:val="021C4991"/>
    <w:rsid w:val="02206671"/>
    <w:rsid w:val="02207D73"/>
    <w:rsid w:val="0222608E"/>
    <w:rsid w:val="02265D55"/>
    <w:rsid w:val="02266E5D"/>
    <w:rsid w:val="0227664A"/>
    <w:rsid w:val="023245FA"/>
    <w:rsid w:val="02365154"/>
    <w:rsid w:val="02373DC2"/>
    <w:rsid w:val="024020B7"/>
    <w:rsid w:val="024954F8"/>
    <w:rsid w:val="02517A58"/>
    <w:rsid w:val="025622C9"/>
    <w:rsid w:val="02571143"/>
    <w:rsid w:val="025779F1"/>
    <w:rsid w:val="026022C9"/>
    <w:rsid w:val="02607F96"/>
    <w:rsid w:val="02644657"/>
    <w:rsid w:val="026B0F71"/>
    <w:rsid w:val="026B397E"/>
    <w:rsid w:val="02747219"/>
    <w:rsid w:val="02793093"/>
    <w:rsid w:val="027C240E"/>
    <w:rsid w:val="027D027C"/>
    <w:rsid w:val="02807ABD"/>
    <w:rsid w:val="02825FB2"/>
    <w:rsid w:val="02837BB9"/>
    <w:rsid w:val="028D2B07"/>
    <w:rsid w:val="028E24FC"/>
    <w:rsid w:val="028E2B6D"/>
    <w:rsid w:val="028E74C9"/>
    <w:rsid w:val="02935BFE"/>
    <w:rsid w:val="02944BA6"/>
    <w:rsid w:val="029772A7"/>
    <w:rsid w:val="029B5329"/>
    <w:rsid w:val="02A24EAC"/>
    <w:rsid w:val="02A65ED7"/>
    <w:rsid w:val="02AB3FFB"/>
    <w:rsid w:val="02AF57BA"/>
    <w:rsid w:val="02B30715"/>
    <w:rsid w:val="02B477E1"/>
    <w:rsid w:val="02B73965"/>
    <w:rsid w:val="02B752F4"/>
    <w:rsid w:val="02B91C51"/>
    <w:rsid w:val="02C31FE8"/>
    <w:rsid w:val="02C41336"/>
    <w:rsid w:val="02CB566D"/>
    <w:rsid w:val="02CD3FE0"/>
    <w:rsid w:val="02D15DD7"/>
    <w:rsid w:val="02D34FF1"/>
    <w:rsid w:val="02D50C5C"/>
    <w:rsid w:val="02DA7333"/>
    <w:rsid w:val="02DF32E1"/>
    <w:rsid w:val="02E60FAD"/>
    <w:rsid w:val="02F11E59"/>
    <w:rsid w:val="02F24C80"/>
    <w:rsid w:val="02F400B3"/>
    <w:rsid w:val="02F43FD5"/>
    <w:rsid w:val="02F520A6"/>
    <w:rsid w:val="02FE7720"/>
    <w:rsid w:val="02FF24ED"/>
    <w:rsid w:val="03034770"/>
    <w:rsid w:val="030622C5"/>
    <w:rsid w:val="0309724D"/>
    <w:rsid w:val="030F13EA"/>
    <w:rsid w:val="03124B47"/>
    <w:rsid w:val="03144CE8"/>
    <w:rsid w:val="03166FA7"/>
    <w:rsid w:val="0318052D"/>
    <w:rsid w:val="031A5A41"/>
    <w:rsid w:val="031E68E0"/>
    <w:rsid w:val="032018C8"/>
    <w:rsid w:val="0324444A"/>
    <w:rsid w:val="033802F5"/>
    <w:rsid w:val="033F24AC"/>
    <w:rsid w:val="034B245A"/>
    <w:rsid w:val="0352534A"/>
    <w:rsid w:val="03527A17"/>
    <w:rsid w:val="035335FA"/>
    <w:rsid w:val="0356450F"/>
    <w:rsid w:val="03565327"/>
    <w:rsid w:val="03593D16"/>
    <w:rsid w:val="035A6F75"/>
    <w:rsid w:val="035A7C1B"/>
    <w:rsid w:val="035F290B"/>
    <w:rsid w:val="035F3252"/>
    <w:rsid w:val="036A3BD0"/>
    <w:rsid w:val="037B5058"/>
    <w:rsid w:val="03807DAB"/>
    <w:rsid w:val="03873A54"/>
    <w:rsid w:val="03892ABA"/>
    <w:rsid w:val="038A6707"/>
    <w:rsid w:val="03952D20"/>
    <w:rsid w:val="03965F9F"/>
    <w:rsid w:val="039C7DEF"/>
    <w:rsid w:val="03A147F7"/>
    <w:rsid w:val="03A244B5"/>
    <w:rsid w:val="03AB7D12"/>
    <w:rsid w:val="03AF6161"/>
    <w:rsid w:val="03B33D91"/>
    <w:rsid w:val="03B76643"/>
    <w:rsid w:val="03BC7AC0"/>
    <w:rsid w:val="03D87489"/>
    <w:rsid w:val="03DA35F3"/>
    <w:rsid w:val="03DC09B2"/>
    <w:rsid w:val="03E43410"/>
    <w:rsid w:val="03F558F1"/>
    <w:rsid w:val="03FE0879"/>
    <w:rsid w:val="04004D99"/>
    <w:rsid w:val="04027497"/>
    <w:rsid w:val="04047236"/>
    <w:rsid w:val="040B5E04"/>
    <w:rsid w:val="040E50DA"/>
    <w:rsid w:val="041212F7"/>
    <w:rsid w:val="04176A57"/>
    <w:rsid w:val="0420621C"/>
    <w:rsid w:val="043174B0"/>
    <w:rsid w:val="043E4011"/>
    <w:rsid w:val="04414BAE"/>
    <w:rsid w:val="044E4AA1"/>
    <w:rsid w:val="04664EE1"/>
    <w:rsid w:val="04706CD7"/>
    <w:rsid w:val="04756487"/>
    <w:rsid w:val="047E4672"/>
    <w:rsid w:val="04801064"/>
    <w:rsid w:val="04830488"/>
    <w:rsid w:val="04842FF2"/>
    <w:rsid w:val="048E06FC"/>
    <w:rsid w:val="04947443"/>
    <w:rsid w:val="049534BA"/>
    <w:rsid w:val="049766A6"/>
    <w:rsid w:val="04A11ADB"/>
    <w:rsid w:val="04A31E3A"/>
    <w:rsid w:val="04A34073"/>
    <w:rsid w:val="04A66C6A"/>
    <w:rsid w:val="04A93804"/>
    <w:rsid w:val="04AB0590"/>
    <w:rsid w:val="04AC3F1E"/>
    <w:rsid w:val="04B42AAF"/>
    <w:rsid w:val="04B51667"/>
    <w:rsid w:val="04CB127E"/>
    <w:rsid w:val="04DE7C00"/>
    <w:rsid w:val="04DF69BC"/>
    <w:rsid w:val="04E226B3"/>
    <w:rsid w:val="04E7515D"/>
    <w:rsid w:val="04E93366"/>
    <w:rsid w:val="04EF68C9"/>
    <w:rsid w:val="04F43D09"/>
    <w:rsid w:val="04F564FF"/>
    <w:rsid w:val="04F713E5"/>
    <w:rsid w:val="04F7195B"/>
    <w:rsid w:val="04FC7151"/>
    <w:rsid w:val="050350F8"/>
    <w:rsid w:val="05161870"/>
    <w:rsid w:val="05170BBC"/>
    <w:rsid w:val="05184428"/>
    <w:rsid w:val="051A5574"/>
    <w:rsid w:val="05230410"/>
    <w:rsid w:val="052445C5"/>
    <w:rsid w:val="05315285"/>
    <w:rsid w:val="053C4F29"/>
    <w:rsid w:val="05412018"/>
    <w:rsid w:val="054B5430"/>
    <w:rsid w:val="05574EC8"/>
    <w:rsid w:val="055E0D42"/>
    <w:rsid w:val="055E53F1"/>
    <w:rsid w:val="055E5CFF"/>
    <w:rsid w:val="05614226"/>
    <w:rsid w:val="05663426"/>
    <w:rsid w:val="05693F8C"/>
    <w:rsid w:val="05743112"/>
    <w:rsid w:val="05792786"/>
    <w:rsid w:val="057A3E53"/>
    <w:rsid w:val="057D0F08"/>
    <w:rsid w:val="05801B11"/>
    <w:rsid w:val="0587265C"/>
    <w:rsid w:val="058F1989"/>
    <w:rsid w:val="05920980"/>
    <w:rsid w:val="05986C25"/>
    <w:rsid w:val="05A11C07"/>
    <w:rsid w:val="05A1376A"/>
    <w:rsid w:val="05A14873"/>
    <w:rsid w:val="05A572A8"/>
    <w:rsid w:val="05A6076A"/>
    <w:rsid w:val="05A67A7B"/>
    <w:rsid w:val="05AA3DD4"/>
    <w:rsid w:val="05AF4D49"/>
    <w:rsid w:val="05B01635"/>
    <w:rsid w:val="05B75055"/>
    <w:rsid w:val="05BA5EF0"/>
    <w:rsid w:val="05BC5506"/>
    <w:rsid w:val="05C949FB"/>
    <w:rsid w:val="05D2520B"/>
    <w:rsid w:val="05D85B25"/>
    <w:rsid w:val="05E625E2"/>
    <w:rsid w:val="05EF29B1"/>
    <w:rsid w:val="05F01E2F"/>
    <w:rsid w:val="05F447F5"/>
    <w:rsid w:val="05F53335"/>
    <w:rsid w:val="05FF451B"/>
    <w:rsid w:val="060361C4"/>
    <w:rsid w:val="06072B25"/>
    <w:rsid w:val="06073107"/>
    <w:rsid w:val="060C1575"/>
    <w:rsid w:val="061C10CF"/>
    <w:rsid w:val="06222386"/>
    <w:rsid w:val="062D3B55"/>
    <w:rsid w:val="062E76F9"/>
    <w:rsid w:val="06301A1D"/>
    <w:rsid w:val="0635512F"/>
    <w:rsid w:val="063F0605"/>
    <w:rsid w:val="064279D2"/>
    <w:rsid w:val="06441644"/>
    <w:rsid w:val="06484875"/>
    <w:rsid w:val="06510ADC"/>
    <w:rsid w:val="065633BC"/>
    <w:rsid w:val="065936D5"/>
    <w:rsid w:val="065A7630"/>
    <w:rsid w:val="066314F5"/>
    <w:rsid w:val="0663157F"/>
    <w:rsid w:val="066427D5"/>
    <w:rsid w:val="067A3049"/>
    <w:rsid w:val="06826A46"/>
    <w:rsid w:val="06847D7D"/>
    <w:rsid w:val="068B4232"/>
    <w:rsid w:val="06914453"/>
    <w:rsid w:val="06925CEE"/>
    <w:rsid w:val="0696637A"/>
    <w:rsid w:val="06A871BD"/>
    <w:rsid w:val="06B33312"/>
    <w:rsid w:val="06B84F2B"/>
    <w:rsid w:val="06C349D5"/>
    <w:rsid w:val="06C47F0F"/>
    <w:rsid w:val="06C64DC2"/>
    <w:rsid w:val="06C824F0"/>
    <w:rsid w:val="06C95F58"/>
    <w:rsid w:val="06D50ECC"/>
    <w:rsid w:val="06D541A8"/>
    <w:rsid w:val="06D63647"/>
    <w:rsid w:val="06D85059"/>
    <w:rsid w:val="06D97305"/>
    <w:rsid w:val="06E44298"/>
    <w:rsid w:val="06E45B8E"/>
    <w:rsid w:val="06E62399"/>
    <w:rsid w:val="06EA47C2"/>
    <w:rsid w:val="06EB3DBC"/>
    <w:rsid w:val="07043657"/>
    <w:rsid w:val="070902E0"/>
    <w:rsid w:val="070C2762"/>
    <w:rsid w:val="07197EC4"/>
    <w:rsid w:val="072437B4"/>
    <w:rsid w:val="072E22EE"/>
    <w:rsid w:val="072F7EE0"/>
    <w:rsid w:val="073606DB"/>
    <w:rsid w:val="073966E8"/>
    <w:rsid w:val="07396B8A"/>
    <w:rsid w:val="07443056"/>
    <w:rsid w:val="07445372"/>
    <w:rsid w:val="0746505C"/>
    <w:rsid w:val="074E10D5"/>
    <w:rsid w:val="075D38EB"/>
    <w:rsid w:val="076977E4"/>
    <w:rsid w:val="076C58B9"/>
    <w:rsid w:val="07711E12"/>
    <w:rsid w:val="07760BF1"/>
    <w:rsid w:val="07765848"/>
    <w:rsid w:val="077D0637"/>
    <w:rsid w:val="07837045"/>
    <w:rsid w:val="07842814"/>
    <w:rsid w:val="07860886"/>
    <w:rsid w:val="07866004"/>
    <w:rsid w:val="078A2DBA"/>
    <w:rsid w:val="078C505F"/>
    <w:rsid w:val="078D0F6F"/>
    <w:rsid w:val="079F4BBC"/>
    <w:rsid w:val="07AE279F"/>
    <w:rsid w:val="07B04FBA"/>
    <w:rsid w:val="07B22D71"/>
    <w:rsid w:val="07B35316"/>
    <w:rsid w:val="07B50461"/>
    <w:rsid w:val="07B6661D"/>
    <w:rsid w:val="07B9334A"/>
    <w:rsid w:val="07BA1371"/>
    <w:rsid w:val="07BE30FF"/>
    <w:rsid w:val="07C46B94"/>
    <w:rsid w:val="07CF283A"/>
    <w:rsid w:val="07D236A3"/>
    <w:rsid w:val="07D31E6A"/>
    <w:rsid w:val="07D83F95"/>
    <w:rsid w:val="07E421DD"/>
    <w:rsid w:val="07E45CD3"/>
    <w:rsid w:val="07E8690E"/>
    <w:rsid w:val="07F22CA1"/>
    <w:rsid w:val="07F326C5"/>
    <w:rsid w:val="07F85A7A"/>
    <w:rsid w:val="07FE365F"/>
    <w:rsid w:val="07FF7CEA"/>
    <w:rsid w:val="08002E51"/>
    <w:rsid w:val="08015370"/>
    <w:rsid w:val="080336F5"/>
    <w:rsid w:val="080462BF"/>
    <w:rsid w:val="08054515"/>
    <w:rsid w:val="080912E8"/>
    <w:rsid w:val="080D7636"/>
    <w:rsid w:val="080E260A"/>
    <w:rsid w:val="080F069F"/>
    <w:rsid w:val="08144360"/>
    <w:rsid w:val="081649D6"/>
    <w:rsid w:val="081E260E"/>
    <w:rsid w:val="08312CAD"/>
    <w:rsid w:val="083256C2"/>
    <w:rsid w:val="08364F60"/>
    <w:rsid w:val="083A107C"/>
    <w:rsid w:val="083B6FD7"/>
    <w:rsid w:val="083D5C17"/>
    <w:rsid w:val="08456A02"/>
    <w:rsid w:val="08496D27"/>
    <w:rsid w:val="08550511"/>
    <w:rsid w:val="085554B6"/>
    <w:rsid w:val="08555F4F"/>
    <w:rsid w:val="085A327F"/>
    <w:rsid w:val="085A7F73"/>
    <w:rsid w:val="085C4043"/>
    <w:rsid w:val="0863266D"/>
    <w:rsid w:val="08657BB7"/>
    <w:rsid w:val="086730AF"/>
    <w:rsid w:val="086E242C"/>
    <w:rsid w:val="0873143F"/>
    <w:rsid w:val="087D41CA"/>
    <w:rsid w:val="088469C4"/>
    <w:rsid w:val="0891400A"/>
    <w:rsid w:val="08925983"/>
    <w:rsid w:val="089674C7"/>
    <w:rsid w:val="089F1422"/>
    <w:rsid w:val="08A860E6"/>
    <w:rsid w:val="08AB0479"/>
    <w:rsid w:val="08B37166"/>
    <w:rsid w:val="08B77A81"/>
    <w:rsid w:val="08B82642"/>
    <w:rsid w:val="08C0320F"/>
    <w:rsid w:val="08C2072B"/>
    <w:rsid w:val="08C24691"/>
    <w:rsid w:val="08CB62DF"/>
    <w:rsid w:val="08CD0222"/>
    <w:rsid w:val="08D079F7"/>
    <w:rsid w:val="08D91C5D"/>
    <w:rsid w:val="08E80EB1"/>
    <w:rsid w:val="08E968D8"/>
    <w:rsid w:val="08ED243B"/>
    <w:rsid w:val="08EF26B2"/>
    <w:rsid w:val="08F808F8"/>
    <w:rsid w:val="090304DE"/>
    <w:rsid w:val="090341C1"/>
    <w:rsid w:val="0904269C"/>
    <w:rsid w:val="091254BA"/>
    <w:rsid w:val="091619D6"/>
    <w:rsid w:val="091B7BE0"/>
    <w:rsid w:val="09203AED"/>
    <w:rsid w:val="09352021"/>
    <w:rsid w:val="09395883"/>
    <w:rsid w:val="093C12D3"/>
    <w:rsid w:val="093C303C"/>
    <w:rsid w:val="093C6509"/>
    <w:rsid w:val="09417C10"/>
    <w:rsid w:val="09477F2D"/>
    <w:rsid w:val="094C56ED"/>
    <w:rsid w:val="094E297A"/>
    <w:rsid w:val="095A5849"/>
    <w:rsid w:val="097731C0"/>
    <w:rsid w:val="097D0261"/>
    <w:rsid w:val="097D7FFF"/>
    <w:rsid w:val="097F7C39"/>
    <w:rsid w:val="09A14CEE"/>
    <w:rsid w:val="09A75ED7"/>
    <w:rsid w:val="09AD363A"/>
    <w:rsid w:val="09AE5936"/>
    <w:rsid w:val="09B169D7"/>
    <w:rsid w:val="09B351A4"/>
    <w:rsid w:val="09BC4895"/>
    <w:rsid w:val="09CD188C"/>
    <w:rsid w:val="09D25BD1"/>
    <w:rsid w:val="09D272A3"/>
    <w:rsid w:val="09DB5A04"/>
    <w:rsid w:val="09E77A34"/>
    <w:rsid w:val="09F42449"/>
    <w:rsid w:val="09F71AA2"/>
    <w:rsid w:val="09FB29F2"/>
    <w:rsid w:val="09FE046E"/>
    <w:rsid w:val="0A0C0C06"/>
    <w:rsid w:val="0A0D1879"/>
    <w:rsid w:val="0A1A09D5"/>
    <w:rsid w:val="0A1F3A9B"/>
    <w:rsid w:val="0A213D44"/>
    <w:rsid w:val="0A2278D3"/>
    <w:rsid w:val="0A253B43"/>
    <w:rsid w:val="0A256377"/>
    <w:rsid w:val="0A256C53"/>
    <w:rsid w:val="0A34296C"/>
    <w:rsid w:val="0A370408"/>
    <w:rsid w:val="0A3E1048"/>
    <w:rsid w:val="0A431615"/>
    <w:rsid w:val="0A4613B1"/>
    <w:rsid w:val="0A5B43BC"/>
    <w:rsid w:val="0A5F71CD"/>
    <w:rsid w:val="0A660DD4"/>
    <w:rsid w:val="0A664FFC"/>
    <w:rsid w:val="0A83691D"/>
    <w:rsid w:val="0A8F2CE3"/>
    <w:rsid w:val="0A9A1A8B"/>
    <w:rsid w:val="0AA87B2B"/>
    <w:rsid w:val="0AAB24F7"/>
    <w:rsid w:val="0AAB60D8"/>
    <w:rsid w:val="0AAC6652"/>
    <w:rsid w:val="0AB515C6"/>
    <w:rsid w:val="0AB73257"/>
    <w:rsid w:val="0AB878BC"/>
    <w:rsid w:val="0AD35C59"/>
    <w:rsid w:val="0AD36BE6"/>
    <w:rsid w:val="0AD43CEC"/>
    <w:rsid w:val="0AD64E17"/>
    <w:rsid w:val="0AD8082A"/>
    <w:rsid w:val="0ADC0F4B"/>
    <w:rsid w:val="0ADC17BB"/>
    <w:rsid w:val="0AE54077"/>
    <w:rsid w:val="0AE70AE7"/>
    <w:rsid w:val="0AEE4BFC"/>
    <w:rsid w:val="0AF0716A"/>
    <w:rsid w:val="0B03601B"/>
    <w:rsid w:val="0B0D567B"/>
    <w:rsid w:val="0B1308EF"/>
    <w:rsid w:val="0B292D30"/>
    <w:rsid w:val="0B2F3694"/>
    <w:rsid w:val="0B304FB1"/>
    <w:rsid w:val="0B3C4010"/>
    <w:rsid w:val="0B3F22DA"/>
    <w:rsid w:val="0B47672B"/>
    <w:rsid w:val="0B484A0F"/>
    <w:rsid w:val="0B4A58D1"/>
    <w:rsid w:val="0B50319E"/>
    <w:rsid w:val="0B553C0D"/>
    <w:rsid w:val="0B591453"/>
    <w:rsid w:val="0B5F33CA"/>
    <w:rsid w:val="0B615B13"/>
    <w:rsid w:val="0B717EE5"/>
    <w:rsid w:val="0B7356F2"/>
    <w:rsid w:val="0B7E5229"/>
    <w:rsid w:val="0B7F2FA8"/>
    <w:rsid w:val="0B860844"/>
    <w:rsid w:val="0B863002"/>
    <w:rsid w:val="0B8D6AD8"/>
    <w:rsid w:val="0B937EFF"/>
    <w:rsid w:val="0B9C4929"/>
    <w:rsid w:val="0B9E69B8"/>
    <w:rsid w:val="0BA166AE"/>
    <w:rsid w:val="0BA411F0"/>
    <w:rsid w:val="0BA87F9D"/>
    <w:rsid w:val="0BAC22AF"/>
    <w:rsid w:val="0BB23F15"/>
    <w:rsid w:val="0BB727AF"/>
    <w:rsid w:val="0BB84C77"/>
    <w:rsid w:val="0BBC484C"/>
    <w:rsid w:val="0BC90E22"/>
    <w:rsid w:val="0BC9496C"/>
    <w:rsid w:val="0BCA38D8"/>
    <w:rsid w:val="0BCF0317"/>
    <w:rsid w:val="0BCF40E1"/>
    <w:rsid w:val="0BD3377D"/>
    <w:rsid w:val="0BD75512"/>
    <w:rsid w:val="0BDD7F90"/>
    <w:rsid w:val="0BEC0BDE"/>
    <w:rsid w:val="0BF3046B"/>
    <w:rsid w:val="0BFF0D11"/>
    <w:rsid w:val="0C0A09D9"/>
    <w:rsid w:val="0C0A27E8"/>
    <w:rsid w:val="0C1B23F1"/>
    <w:rsid w:val="0C1C0679"/>
    <w:rsid w:val="0C1E7B04"/>
    <w:rsid w:val="0C2607FA"/>
    <w:rsid w:val="0C2A7806"/>
    <w:rsid w:val="0C2D49F6"/>
    <w:rsid w:val="0C2E3322"/>
    <w:rsid w:val="0C2F4935"/>
    <w:rsid w:val="0C2F5FE9"/>
    <w:rsid w:val="0C384F0C"/>
    <w:rsid w:val="0C3F7CD1"/>
    <w:rsid w:val="0C484AC7"/>
    <w:rsid w:val="0C4867F4"/>
    <w:rsid w:val="0C4B6F82"/>
    <w:rsid w:val="0C5613A8"/>
    <w:rsid w:val="0C60611E"/>
    <w:rsid w:val="0C6803A4"/>
    <w:rsid w:val="0C6F5A31"/>
    <w:rsid w:val="0C7565D7"/>
    <w:rsid w:val="0C7B7987"/>
    <w:rsid w:val="0C7E6C90"/>
    <w:rsid w:val="0C816FA3"/>
    <w:rsid w:val="0C8702A6"/>
    <w:rsid w:val="0C8B6344"/>
    <w:rsid w:val="0C922493"/>
    <w:rsid w:val="0C923341"/>
    <w:rsid w:val="0C9D6BDF"/>
    <w:rsid w:val="0CA352C8"/>
    <w:rsid w:val="0CA83EB4"/>
    <w:rsid w:val="0CB61F18"/>
    <w:rsid w:val="0CB708F8"/>
    <w:rsid w:val="0CBB22BB"/>
    <w:rsid w:val="0CC50305"/>
    <w:rsid w:val="0CC60211"/>
    <w:rsid w:val="0CC837F8"/>
    <w:rsid w:val="0CCB6408"/>
    <w:rsid w:val="0CCC07CB"/>
    <w:rsid w:val="0CD17287"/>
    <w:rsid w:val="0CDF07BC"/>
    <w:rsid w:val="0CDF6E27"/>
    <w:rsid w:val="0CE141F4"/>
    <w:rsid w:val="0CE32A7B"/>
    <w:rsid w:val="0CE95F8D"/>
    <w:rsid w:val="0CF166CC"/>
    <w:rsid w:val="0CF43242"/>
    <w:rsid w:val="0CF43BFB"/>
    <w:rsid w:val="0CF85CDC"/>
    <w:rsid w:val="0CFB1D7E"/>
    <w:rsid w:val="0D020B05"/>
    <w:rsid w:val="0D0740D8"/>
    <w:rsid w:val="0D1679D7"/>
    <w:rsid w:val="0D1C42F8"/>
    <w:rsid w:val="0D1E4F72"/>
    <w:rsid w:val="0D2E53D6"/>
    <w:rsid w:val="0D2F6CD3"/>
    <w:rsid w:val="0D2F722D"/>
    <w:rsid w:val="0D362085"/>
    <w:rsid w:val="0D3D5B51"/>
    <w:rsid w:val="0D4238F0"/>
    <w:rsid w:val="0D484C76"/>
    <w:rsid w:val="0D4E222D"/>
    <w:rsid w:val="0D4E7CD5"/>
    <w:rsid w:val="0D506B92"/>
    <w:rsid w:val="0D531BBD"/>
    <w:rsid w:val="0D582363"/>
    <w:rsid w:val="0D597BCB"/>
    <w:rsid w:val="0D5E525E"/>
    <w:rsid w:val="0D622345"/>
    <w:rsid w:val="0D627813"/>
    <w:rsid w:val="0D69667A"/>
    <w:rsid w:val="0D6D449A"/>
    <w:rsid w:val="0D6E5B4C"/>
    <w:rsid w:val="0D744671"/>
    <w:rsid w:val="0D812E0D"/>
    <w:rsid w:val="0D8E5C0E"/>
    <w:rsid w:val="0D9E29BF"/>
    <w:rsid w:val="0DA03F9C"/>
    <w:rsid w:val="0DA526DC"/>
    <w:rsid w:val="0DA62204"/>
    <w:rsid w:val="0DA6313B"/>
    <w:rsid w:val="0DA87648"/>
    <w:rsid w:val="0DA9121D"/>
    <w:rsid w:val="0DB616FE"/>
    <w:rsid w:val="0DB9389B"/>
    <w:rsid w:val="0DBD6735"/>
    <w:rsid w:val="0DBE4F1A"/>
    <w:rsid w:val="0DBF42D1"/>
    <w:rsid w:val="0DC31756"/>
    <w:rsid w:val="0DD52FD6"/>
    <w:rsid w:val="0DDC54EB"/>
    <w:rsid w:val="0DE54E2C"/>
    <w:rsid w:val="0DEB3281"/>
    <w:rsid w:val="0DF75661"/>
    <w:rsid w:val="0DFA5F57"/>
    <w:rsid w:val="0DFB3680"/>
    <w:rsid w:val="0E007907"/>
    <w:rsid w:val="0E034917"/>
    <w:rsid w:val="0E0447AC"/>
    <w:rsid w:val="0E0A57DB"/>
    <w:rsid w:val="0E0C5E7B"/>
    <w:rsid w:val="0E1D3F18"/>
    <w:rsid w:val="0E214219"/>
    <w:rsid w:val="0E3020F4"/>
    <w:rsid w:val="0E372947"/>
    <w:rsid w:val="0E3A22CB"/>
    <w:rsid w:val="0E3D61CC"/>
    <w:rsid w:val="0E425AF0"/>
    <w:rsid w:val="0E43748B"/>
    <w:rsid w:val="0E487C99"/>
    <w:rsid w:val="0E4F1EA9"/>
    <w:rsid w:val="0E63143D"/>
    <w:rsid w:val="0E654BED"/>
    <w:rsid w:val="0E7218B8"/>
    <w:rsid w:val="0E7259F4"/>
    <w:rsid w:val="0E735BA0"/>
    <w:rsid w:val="0E790AF4"/>
    <w:rsid w:val="0E830BEC"/>
    <w:rsid w:val="0E832048"/>
    <w:rsid w:val="0E87643A"/>
    <w:rsid w:val="0E905D06"/>
    <w:rsid w:val="0E96169C"/>
    <w:rsid w:val="0EA3211D"/>
    <w:rsid w:val="0EA57ECD"/>
    <w:rsid w:val="0EA647D6"/>
    <w:rsid w:val="0EA76C97"/>
    <w:rsid w:val="0EAC5F31"/>
    <w:rsid w:val="0EAE32CA"/>
    <w:rsid w:val="0EBA1AD0"/>
    <w:rsid w:val="0ECD7269"/>
    <w:rsid w:val="0ECE4574"/>
    <w:rsid w:val="0ED40419"/>
    <w:rsid w:val="0EE73BE2"/>
    <w:rsid w:val="0EEA25EC"/>
    <w:rsid w:val="0EF1716E"/>
    <w:rsid w:val="0EF2435C"/>
    <w:rsid w:val="0EF4372E"/>
    <w:rsid w:val="0EF76A6F"/>
    <w:rsid w:val="0EFC3D86"/>
    <w:rsid w:val="0EFE1449"/>
    <w:rsid w:val="0F030AC8"/>
    <w:rsid w:val="0F05251B"/>
    <w:rsid w:val="0F084531"/>
    <w:rsid w:val="0F1824F2"/>
    <w:rsid w:val="0F2247A9"/>
    <w:rsid w:val="0F29096F"/>
    <w:rsid w:val="0F2A0C7E"/>
    <w:rsid w:val="0F3022D4"/>
    <w:rsid w:val="0F305B73"/>
    <w:rsid w:val="0F414017"/>
    <w:rsid w:val="0F440986"/>
    <w:rsid w:val="0F492403"/>
    <w:rsid w:val="0F4B2C4C"/>
    <w:rsid w:val="0F4F1996"/>
    <w:rsid w:val="0F4F6964"/>
    <w:rsid w:val="0F533C79"/>
    <w:rsid w:val="0F534A37"/>
    <w:rsid w:val="0F5568FA"/>
    <w:rsid w:val="0F5876DF"/>
    <w:rsid w:val="0F587F40"/>
    <w:rsid w:val="0F5F4256"/>
    <w:rsid w:val="0F6A28D6"/>
    <w:rsid w:val="0F6B6C2D"/>
    <w:rsid w:val="0F713F3B"/>
    <w:rsid w:val="0F842CEB"/>
    <w:rsid w:val="0F8D5715"/>
    <w:rsid w:val="0F9A5E68"/>
    <w:rsid w:val="0F9E5674"/>
    <w:rsid w:val="0FA4540E"/>
    <w:rsid w:val="0FA61643"/>
    <w:rsid w:val="0FA73FBA"/>
    <w:rsid w:val="0FA93488"/>
    <w:rsid w:val="0FB445B0"/>
    <w:rsid w:val="0FB538B0"/>
    <w:rsid w:val="0FC072A5"/>
    <w:rsid w:val="0FC73AC7"/>
    <w:rsid w:val="0FCA3603"/>
    <w:rsid w:val="0FD16220"/>
    <w:rsid w:val="0FD16D1E"/>
    <w:rsid w:val="0FD9779A"/>
    <w:rsid w:val="0FDC017C"/>
    <w:rsid w:val="0FDC600C"/>
    <w:rsid w:val="0FEB6044"/>
    <w:rsid w:val="0FF55093"/>
    <w:rsid w:val="100202A7"/>
    <w:rsid w:val="100329F1"/>
    <w:rsid w:val="10041577"/>
    <w:rsid w:val="10042212"/>
    <w:rsid w:val="10055B3C"/>
    <w:rsid w:val="1007318A"/>
    <w:rsid w:val="100841AB"/>
    <w:rsid w:val="100941FD"/>
    <w:rsid w:val="100E6202"/>
    <w:rsid w:val="10161F22"/>
    <w:rsid w:val="101B771C"/>
    <w:rsid w:val="102171E2"/>
    <w:rsid w:val="102D3950"/>
    <w:rsid w:val="103023B5"/>
    <w:rsid w:val="103354CD"/>
    <w:rsid w:val="10362111"/>
    <w:rsid w:val="103D6C5C"/>
    <w:rsid w:val="103E1E10"/>
    <w:rsid w:val="10411FB1"/>
    <w:rsid w:val="10496CCE"/>
    <w:rsid w:val="104B50EC"/>
    <w:rsid w:val="104F09AB"/>
    <w:rsid w:val="10612000"/>
    <w:rsid w:val="10666875"/>
    <w:rsid w:val="10666E09"/>
    <w:rsid w:val="10673557"/>
    <w:rsid w:val="106B4E90"/>
    <w:rsid w:val="10736865"/>
    <w:rsid w:val="10742538"/>
    <w:rsid w:val="107816E8"/>
    <w:rsid w:val="107D50B8"/>
    <w:rsid w:val="107E075F"/>
    <w:rsid w:val="108016CB"/>
    <w:rsid w:val="108529DC"/>
    <w:rsid w:val="109A07DA"/>
    <w:rsid w:val="10A1301E"/>
    <w:rsid w:val="10A1582F"/>
    <w:rsid w:val="10A23EB3"/>
    <w:rsid w:val="10A734BA"/>
    <w:rsid w:val="10AA4ADC"/>
    <w:rsid w:val="10AD361E"/>
    <w:rsid w:val="10B30DAF"/>
    <w:rsid w:val="10B30E4A"/>
    <w:rsid w:val="10B860D2"/>
    <w:rsid w:val="10B93863"/>
    <w:rsid w:val="10BC78B7"/>
    <w:rsid w:val="10BD5956"/>
    <w:rsid w:val="10C05732"/>
    <w:rsid w:val="10CC555A"/>
    <w:rsid w:val="10CF26FE"/>
    <w:rsid w:val="10D13D78"/>
    <w:rsid w:val="10D83495"/>
    <w:rsid w:val="10D92410"/>
    <w:rsid w:val="10E25EFD"/>
    <w:rsid w:val="10E601B6"/>
    <w:rsid w:val="10E84F60"/>
    <w:rsid w:val="10E94A81"/>
    <w:rsid w:val="10F3405F"/>
    <w:rsid w:val="10F701B9"/>
    <w:rsid w:val="111E372C"/>
    <w:rsid w:val="112350B8"/>
    <w:rsid w:val="11257CFB"/>
    <w:rsid w:val="112B29A6"/>
    <w:rsid w:val="1133496D"/>
    <w:rsid w:val="113A23FE"/>
    <w:rsid w:val="113F5B3B"/>
    <w:rsid w:val="11450F30"/>
    <w:rsid w:val="1149029A"/>
    <w:rsid w:val="115D012B"/>
    <w:rsid w:val="116A0C6C"/>
    <w:rsid w:val="116C16E6"/>
    <w:rsid w:val="116E0009"/>
    <w:rsid w:val="11736BEA"/>
    <w:rsid w:val="11756AF3"/>
    <w:rsid w:val="11872BEF"/>
    <w:rsid w:val="118905F0"/>
    <w:rsid w:val="118A1119"/>
    <w:rsid w:val="11910A79"/>
    <w:rsid w:val="11936AA2"/>
    <w:rsid w:val="119C1A45"/>
    <w:rsid w:val="11A52A41"/>
    <w:rsid w:val="11B62C43"/>
    <w:rsid w:val="11B849F1"/>
    <w:rsid w:val="11BB57F0"/>
    <w:rsid w:val="11C0779D"/>
    <w:rsid w:val="11C43BC4"/>
    <w:rsid w:val="11CC201F"/>
    <w:rsid w:val="11CF4D95"/>
    <w:rsid w:val="11DD18A0"/>
    <w:rsid w:val="11E55D8B"/>
    <w:rsid w:val="11EE21B9"/>
    <w:rsid w:val="11F13F57"/>
    <w:rsid w:val="11FB7D8D"/>
    <w:rsid w:val="120047A1"/>
    <w:rsid w:val="120570F8"/>
    <w:rsid w:val="120807AC"/>
    <w:rsid w:val="120C612A"/>
    <w:rsid w:val="120C7A9F"/>
    <w:rsid w:val="121030AE"/>
    <w:rsid w:val="121271B3"/>
    <w:rsid w:val="121B5429"/>
    <w:rsid w:val="122220A2"/>
    <w:rsid w:val="12275A49"/>
    <w:rsid w:val="12282912"/>
    <w:rsid w:val="122B739A"/>
    <w:rsid w:val="12307316"/>
    <w:rsid w:val="123C0E5F"/>
    <w:rsid w:val="12430446"/>
    <w:rsid w:val="12442232"/>
    <w:rsid w:val="12450619"/>
    <w:rsid w:val="124C6206"/>
    <w:rsid w:val="124D2192"/>
    <w:rsid w:val="124F34BD"/>
    <w:rsid w:val="12554B80"/>
    <w:rsid w:val="125D56D7"/>
    <w:rsid w:val="125E75D4"/>
    <w:rsid w:val="12623B20"/>
    <w:rsid w:val="126252E2"/>
    <w:rsid w:val="126A59FE"/>
    <w:rsid w:val="126B471D"/>
    <w:rsid w:val="126D3D3C"/>
    <w:rsid w:val="126E5F20"/>
    <w:rsid w:val="127200FB"/>
    <w:rsid w:val="12735F26"/>
    <w:rsid w:val="1289061C"/>
    <w:rsid w:val="128944E1"/>
    <w:rsid w:val="128B54AD"/>
    <w:rsid w:val="12A2166D"/>
    <w:rsid w:val="12B02EE1"/>
    <w:rsid w:val="12B10B2F"/>
    <w:rsid w:val="12B560E2"/>
    <w:rsid w:val="12C9719C"/>
    <w:rsid w:val="12CF15C3"/>
    <w:rsid w:val="12CF5BE4"/>
    <w:rsid w:val="12D17323"/>
    <w:rsid w:val="12DA7FC3"/>
    <w:rsid w:val="12E20408"/>
    <w:rsid w:val="12EB0579"/>
    <w:rsid w:val="12EB7968"/>
    <w:rsid w:val="12EC4418"/>
    <w:rsid w:val="12F07D1F"/>
    <w:rsid w:val="12F3505A"/>
    <w:rsid w:val="12F9759B"/>
    <w:rsid w:val="12FA6B3F"/>
    <w:rsid w:val="12FF3379"/>
    <w:rsid w:val="13060F56"/>
    <w:rsid w:val="130B479A"/>
    <w:rsid w:val="130D1138"/>
    <w:rsid w:val="130D31CD"/>
    <w:rsid w:val="13121F8D"/>
    <w:rsid w:val="1312735C"/>
    <w:rsid w:val="13127DB7"/>
    <w:rsid w:val="13164834"/>
    <w:rsid w:val="13170BC9"/>
    <w:rsid w:val="13194141"/>
    <w:rsid w:val="131B3619"/>
    <w:rsid w:val="131C3DD0"/>
    <w:rsid w:val="131F44A1"/>
    <w:rsid w:val="13210BB1"/>
    <w:rsid w:val="13256870"/>
    <w:rsid w:val="132A6231"/>
    <w:rsid w:val="132C0503"/>
    <w:rsid w:val="13304A5A"/>
    <w:rsid w:val="133E3AEA"/>
    <w:rsid w:val="133E4491"/>
    <w:rsid w:val="133E6E5B"/>
    <w:rsid w:val="13417333"/>
    <w:rsid w:val="134444D0"/>
    <w:rsid w:val="1345548D"/>
    <w:rsid w:val="134C554A"/>
    <w:rsid w:val="13506BD6"/>
    <w:rsid w:val="13522929"/>
    <w:rsid w:val="135A4701"/>
    <w:rsid w:val="136815B8"/>
    <w:rsid w:val="137106A9"/>
    <w:rsid w:val="13724D72"/>
    <w:rsid w:val="139325D2"/>
    <w:rsid w:val="13957328"/>
    <w:rsid w:val="139C585C"/>
    <w:rsid w:val="13A31680"/>
    <w:rsid w:val="13A37644"/>
    <w:rsid w:val="13A44EE2"/>
    <w:rsid w:val="13A9574B"/>
    <w:rsid w:val="13AD755A"/>
    <w:rsid w:val="13AF0C48"/>
    <w:rsid w:val="13B445A9"/>
    <w:rsid w:val="13B4794F"/>
    <w:rsid w:val="13B7231A"/>
    <w:rsid w:val="13B947C5"/>
    <w:rsid w:val="13BA0FD2"/>
    <w:rsid w:val="13BB3A0D"/>
    <w:rsid w:val="13C30BF9"/>
    <w:rsid w:val="13D0234B"/>
    <w:rsid w:val="13D146C1"/>
    <w:rsid w:val="13D377DE"/>
    <w:rsid w:val="13D74458"/>
    <w:rsid w:val="13DA3606"/>
    <w:rsid w:val="13DC5FA1"/>
    <w:rsid w:val="13DD2063"/>
    <w:rsid w:val="13DE787C"/>
    <w:rsid w:val="13E04354"/>
    <w:rsid w:val="13E538AC"/>
    <w:rsid w:val="13E578CE"/>
    <w:rsid w:val="13F111E6"/>
    <w:rsid w:val="13F2777B"/>
    <w:rsid w:val="13FA7919"/>
    <w:rsid w:val="13FF2FC3"/>
    <w:rsid w:val="14066169"/>
    <w:rsid w:val="14086ADC"/>
    <w:rsid w:val="140E1169"/>
    <w:rsid w:val="14132F83"/>
    <w:rsid w:val="141540F7"/>
    <w:rsid w:val="141C47AD"/>
    <w:rsid w:val="141E6F9C"/>
    <w:rsid w:val="141F3379"/>
    <w:rsid w:val="14256499"/>
    <w:rsid w:val="142606B7"/>
    <w:rsid w:val="14270CE5"/>
    <w:rsid w:val="142B7C45"/>
    <w:rsid w:val="142C6293"/>
    <w:rsid w:val="142E0864"/>
    <w:rsid w:val="14307C06"/>
    <w:rsid w:val="14394124"/>
    <w:rsid w:val="143A3FD8"/>
    <w:rsid w:val="143F06AC"/>
    <w:rsid w:val="143F198D"/>
    <w:rsid w:val="1446722D"/>
    <w:rsid w:val="14475F7B"/>
    <w:rsid w:val="1448778F"/>
    <w:rsid w:val="144B305C"/>
    <w:rsid w:val="144E223D"/>
    <w:rsid w:val="14557965"/>
    <w:rsid w:val="14560A87"/>
    <w:rsid w:val="145B672D"/>
    <w:rsid w:val="146732F3"/>
    <w:rsid w:val="146C5DC3"/>
    <w:rsid w:val="1475406C"/>
    <w:rsid w:val="147C3557"/>
    <w:rsid w:val="147E5940"/>
    <w:rsid w:val="147F6EAF"/>
    <w:rsid w:val="147F7E60"/>
    <w:rsid w:val="14895FD7"/>
    <w:rsid w:val="148D5B33"/>
    <w:rsid w:val="148D6AFA"/>
    <w:rsid w:val="148E0E0F"/>
    <w:rsid w:val="149173D4"/>
    <w:rsid w:val="149414DE"/>
    <w:rsid w:val="14967024"/>
    <w:rsid w:val="14981701"/>
    <w:rsid w:val="149D5A8D"/>
    <w:rsid w:val="149F6938"/>
    <w:rsid w:val="14A01FF6"/>
    <w:rsid w:val="14A20472"/>
    <w:rsid w:val="14A40A32"/>
    <w:rsid w:val="14B37A0C"/>
    <w:rsid w:val="14BF5076"/>
    <w:rsid w:val="14C234DE"/>
    <w:rsid w:val="14CA5EF6"/>
    <w:rsid w:val="14D20AD2"/>
    <w:rsid w:val="14D34DBD"/>
    <w:rsid w:val="14D766EA"/>
    <w:rsid w:val="14E31709"/>
    <w:rsid w:val="14E332BD"/>
    <w:rsid w:val="14E46C5E"/>
    <w:rsid w:val="14E86324"/>
    <w:rsid w:val="14EC759E"/>
    <w:rsid w:val="14EF3AD4"/>
    <w:rsid w:val="14F26230"/>
    <w:rsid w:val="14FD1042"/>
    <w:rsid w:val="15036255"/>
    <w:rsid w:val="1519698C"/>
    <w:rsid w:val="1519770F"/>
    <w:rsid w:val="151A4DCE"/>
    <w:rsid w:val="151D2EDA"/>
    <w:rsid w:val="152475EF"/>
    <w:rsid w:val="152C6456"/>
    <w:rsid w:val="152C7D6F"/>
    <w:rsid w:val="15327296"/>
    <w:rsid w:val="153E70B1"/>
    <w:rsid w:val="15434E2C"/>
    <w:rsid w:val="15524FA7"/>
    <w:rsid w:val="15532760"/>
    <w:rsid w:val="155B2748"/>
    <w:rsid w:val="15614B7E"/>
    <w:rsid w:val="1565291E"/>
    <w:rsid w:val="15683B2E"/>
    <w:rsid w:val="156D781B"/>
    <w:rsid w:val="15702BBB"/>
    <w:rsid w:val="1574066D"/>
    <w:rsid w:val="158759EE"/>
    <w:rsid w:val="15896966"/>
    <w:rsid w:val="158B5C43"/>
    <w:rsid w:val="158D70AA"/>
    <w:rsid w:val="158D7132"/>
    <w:rsid w:val="158E40AE"/>
    <w:rsid w:val="15911C6A"/>
    <w:rsid w:val="159D1AB9"/>
    <w:rsid w:val="159F4F5E"/>
    <w:rsid w:val="15A230EA"/>
    <w:rsid w:val="15A2655A"/>
    <w:rsid w:val="15A41718"/>
    <w:rsid w:val="15A70003"/>
    <w:rsid w:val="15AA4CA2"/>
    <w:rsid w:val="15AB0C22"/>
    <w:rsid w:val="15AC3F9C"/>
    <w:rsid w:val="15AF6692"/>
    <w:rsid w:val="15B14DFF"/>
    <w:rsid w:val="15B164E8"/>
    <w:rsid w:val="15B62848"/>
    <w:rsid w:val="15BD2774"/>
    <w:rsid w:val="15CA50D8"/>
    <w:rsid w:val="15CB70AE"/>
    <w:rsid w:val="15CE3040"/>
    <w:rsid w:val="15D572A3"/>
    <w:rsid w:val="15D75AD0"/>
    <w:rsid w:val="15D90292"/>
    <w:rsid w:val="15DD3466"/>
    <w:rsid w:val="15DE4F45"/>
    <w:rsid w:val="15E8344F"/>
    <w:rsid w:val="15EE4ED6"/>
    <w:rsid w:val="15EE77CF"/>
    <w:rsid w:val="15F03B25"/>
    <w:rsid w:val="16030670"/>
    <w:rsid w:val="160D1773"/>
    <w:rsid w:val="162033FA"/>
    <w:rsid w:val="16233D48"/>
    <w:rsid w:val="16252961"/>
    <w:rsid w:val="16412A74"/>
    <w:rsid w:val="16415466"/>
    <w:rsid w:val="16423C1A"/>
    <w:rsid w:val="164D407F"/>
    <w:rsid w:val="16583794"/>
    <w:rsid w:val="165A5E90"/>
    <w:rsid w:val="165B5705"/>
    <w:rsid w:val="166069D0"/>
    <w:rsid w:val="16640371"/>
    <w:rsid w:val="16665605"/>
    <w:rsid w:val="166754B4"/>
    <w:rsid w:val="166B3BEF"/>
    <w:rsid w:val="16752080"/>
    <w:rsid w:val="1678039A"/>
    <w:rsid w:val="167C3E2A"/>
    <w:rsid w:val="168154F8"/>
    <w:rsid w:val="16871048"/>
    <w:rsid w:val="168D22C4"/>
    <w:rsid w:val="168F70D3"/>
    <w:rsid w:val="1691523A"/>
    <w:rsid w:val="16981AF5"/>
    <w:rsid w:val="169907AD"/>
    <w:rsid w:val="16A1115C"/>
    <w:rsid w:val="16A13667"/>
    <w:rsid w:val="16A41FC2"/>
    <w:rsid w:val="16A50176"/>
    <w:rsid w:val="16AC051E"/>
    <w:rsid w:val="16B30761"/>
    <w:rsid w:val="16B57ABA"/>
    <w:rsid w:val="16B766B8"/>
    <w:rsid w:val="16BC1E0A"/>
    <w:rsid w:val="16C03589"/>
    <w:rsid w:val="16C57940"/>
    <w:rsid w:val="16C9790B"/>
    <w:rsid w:val="16CB0642"/>
    <w:rsid w:val="16CB60EA"/>
    <w:rsid w:val="16D23EF5"/>
    <w:rsid w:val="16D639FB"/>
    <w:rsid w:val="16DF50D5"/>
    <w:rsid w:val="16E67996"/>
    <w:rsid w:val="16ED3305"/>
    <w:rsid w:val="16EF553C"/>
    <w:rsid w:val="16F65D2C"/>
    <w:rsid w:val="16FB4F5A"/>
    <w:rsid w:val="16FC35EC"/>
    <w:rsid w:val="16FE4EEF"/>
    <w:rsid w:val="16FF7643"/>
    <w:rsid w:val="17017C94"/>
    <w:rsid w:val="17053911"/>
    <w:rsid w:val="1706630F"/>
    <w:rsid w:val="17072BFF"/>
    <w:rsid w:val="170C121A"/>
    <w:rsid w:val="17140AA0"/>
    <w:rsid w:val="171C020F"/>
    <w:rsid w:val="17203304"/>
    <w:rsid w:val="17222CF1"/>
    <w:rsid w:val="172B7429"/>
    <w:rsid w:val="172C636D"/>
    <w:rsid w:val="17313127"/>
    <w:rsid w:val="17382BA2"/>
    <w:rsid w:val="17467154"/>
    <w:rsid w:val="174C5C5D"/>
    <w:rsid w:val="174F0844"/>
    <w:rsid w:val="17531F50"/>
    <w:rsid w:val="176264F3"/>
    <w:rsid w:val="17766358"/>
    <w:rsid w:val="177837B6"/>
    <w:rsid w:val="177D0859"/>
    <w:rsid w:val="178064E8"/>
    <w:rsid w:val="178202C9"/>
    <w:rsid w:val="178513E5"/>
    <w:rsid w:val="17853C6A"/>
    <w:rsid w:val="17896473"/>
    <w:rsid w:val="178B22F7"/>
    <w:rsid w:val="1790766F"/>
    <w:rsid w:val="179D3102"/>
    <w:rsid w:val="17A37A6E"/>
    <w:rsid w:val="17A60277"/>
    <w:rsid w:val="17AC1C02"/>
    <w:rsid w:val="17B07959"/>
    <w:rsid w:val="17B304A8"/>
    <w:rsid w:val="17B35A37"/>
    <w:rsid w:val="17BA3DF4"/>
    <w:rsid w:val="17C05296"/>
    <w:rsid w:val="17C16DEF"/>
    <w:rsid w:val="17D5010B"/>
    <w:rsid w:val="17D86F47"/>
    <w:rsid w:val="17E060B6"/>
    <w:rsid w:val="17E21F4E"/>
    <w:rsid w:val="17E562A4"/>
    <w:rsid w:val="17EA3230"/>
    <w:rsid w:val="17EB7496"/>
    <w:rsid w:val="17F52E5D"/>
    <w:rsid w:val="17F5647B"/>
    <w:rsid w:val="17FA1255"/>
    <w:rsid w:val="17FF3BD2"/>
    <w:rsid w:val="18020AA1"/>
    <w:rsid w:val="180508AC"/>
    <w:rsid w:val="18087D14"/>
    <w:rsid w:val="180A0F6B"/>
    <w:rsid w:val="18104CC4"/>
    <w:rsid w:val="18136CFA"/>
    <w:rsid w:val="181F3664"/>
    <w:rsid w:val="182B1090"/>
    <w:rsid w:val="182F6BE1"/>
    <w:rsid w:val="18345DD0"/>
    <w:rsid w:val="184043FA"/>
    <w:rsid w:val="184F75A9"/>
    <w:rsid w:val="18512C49"/>
    <w:rsid w:val="185A308D"/>
    <w:rsid w:val="186053E8"/>
    <w:rsid w:val="18647C6E"/>
    <w:rsid w:val="186503AC"/>
    <w:rsid w:val="18664068"/>
    <w:rsid w:val="186851F6"/>
    <w:rsid w:val="186E3500"/>
    <w:rsid w:val="186F3D2C"/>
    <w:rsid w:val="186F4289"/>
    <w:rsid w:val="187A461B"/>
    <w:rsid w:val="187C114A"/>
    <w:rsid w:val="187E2380"/>
    <w:rsid w:val="18821AB9"/>
    <w:rsid w:val="18822361"/>
    <w:rsid w:val="18834D66"/>
    <w:rsid w:val="1884739C"/>
    <w:rsid w:val="18881A32"/>
    <w:rsid w:val="18984110"/>
    <w:rsid w:val="18A82680"/>
    <w:rsid w:val="18AF2CE5"/>
    <w:rsid w:val="18B1592A"/>
    <w:rsid w:val="18B319FA"/>
    <w:rsid w:val="18B31D0C"/>
    <w:rsid w:val="18B42A52"/>
    <w:rsid w:val="18B76BDF"/>
    <w:rsid w:val="18BF1F8C"/>
    <w:rsid w:val="18BF717B"/>
    <w:rsid w:val="18C214C3"/>
    <w:rsid w:val="18C55186"/>
    <w:rsid w:val="18CA4E28"/>
    <w:rsid w:val="18CD5751"/>
    <w:rsid w:val="18D5378C"/>
    <w:rsid w:val="18DA1466"/>
    <w:rsid w:val="18DB7210"/>
    <w:rsid w:val="18DD4409"/>
    <w:rsid w:val="18DF3E44"/>
    <w:rsid w:val="18E34EBB"/>
    <w:rsid w:val="18EE510F"/>
    <w:rsid w:val="18F25180"/>
    <w:rsid w:val="18F731F3"/>
    <w:rsid w:val="19003E45"/>
    <w:rsid w:val="190715D8"/>
    <w:rsid w:val="190A3672"/>
    <w:rsid w:val="190C3BCF"/>
    <w:rsid w:val="192067A6"/>
    <w:rsid w:val="193711A2"/>
    <w:rsid w:val="19412878"/>
    <w:rsid w:val="1941417E"/>
    <w:rsid w:val="19453458"/>
    <w:rsid w:val="19463133"/>
    <w:rsid w:val="19480D5C"/>
    <w:rsid w:val="19531B6C"/>
    <w:rsid w:val="195416F1"/>
    <w:rsid w:val="19560740"/>
    <w:rsid w:val="19576E7C"/>
    <w:rsid w:val="19607BF9"/>
    <w:rsid w:val="19651414"/>
    <w:rsid w:val="196D612A"/>
    <w:rsid w:val="196F6C34"/>
    <w:rsid w:val="1976524E"/>
    <w:rsid w:val="197A46A5"/>
    <w:rsid w:val="197D2441"/>
    <w:rsid w:val="19860C87"/>
    <w:rsid w:val="1987766D"/>
    <w:rsid w:val="198A670E"/>
    <w:rsid w:val="19982F2E"/>
    <w:rsid w:val="199F2DAA"/>
    <w:rsid w:val="199F434E"/>
    <w:rsid w:val="19A663F7"/>
    <w:rsid w:val="19AC5395"/>
    <w:rsid w:val="19AE57FE"/>
    <w:rsid w:val="19B17D5A"/>
    <w:rsid w:val="19B21E63"/>
    <w:rsid w:val="19B523C0"/>
    <w:rsid w:val="19B61942"/>
    <w:rsid w:val="19B87C4A"/>
    <w:rsid w:val="19BE43A7"/>
    <w:rsid w:val="19C6554A"/>
    <w:rsid w:val="19CD6FAE"/>
    <w:rsid w:val="19DD687E"/>
    <w:rsid w:val="19E6269F"/>
    <w:rsid w:val="19E94945"/>
    <w:rsid w:val="19EB2AE6"/>
    <w:rsid w:val="19ED44D4"/>
    <w:rsid w:val="19F157A7"/>
    <w:rsid w:val="19F244BD"/>
    <w:rsid w:val="19F83B3A"/>
    <w:rsid w:val="19FF0648"/>
    <w:rsid w:val="1A075C99"/>
    <w:rsid w:val="1A1709AC"/>
    <w:rsid w:val="1A1A2106"/>
    <w:rsid w:val="1A1F7B81"/>
    <w:rsid w:val="1A267927"/>
    <w:rsid w:val="1A2B1BD0"/>
    <w:rsid w:val="1A2B4C89"/>
    <w:rsid w:val="1A307FD4"/>
    <w:rsid w:val="1A3B74CB"/>
    <w:rsid w:val="1A3C3662"/>
    <w:rsid w:val="1A4332DC"/>
    <w:rsid w:val="1A474D07"/>
    <w:rsid w:val="1A525F21"/>
    <w:rsid w:val="1A551C74"/>
    <w:rsid w:val="1A5902CD"/>
    <w:rsid w:val="1A5E697D"/>
    <w:rsid w:val="1A605348"/>
    <w:rsid w:val="1A605AA1"/>
    <w:rsid w:val="1A6A43D0"/>
    <w:rsid w:val="1A6F1DBF"/>
    <w:rsid w:val="1A73213C"/>
    <w:rsid w:val="1A7A3904"/>
    <w:rsid w:val="1A87283E"/>
    <w:rsid w:val="1A8A56F3"/>
    <w:rsid w:val="1A8B3E2F"/>
    <w:rsid w:val="1A933EDE"/>
    <w:rsid w:val="1A963128"/>
    <w:rsid w:val="1A994E48"/>
    <w:rsid w:val="1AA45741"/>
    <w:rsid w:val="1AA77C74"/>
    <w:rsid w:val="1AA947AD"/>
    <w:rsid w:val="1AAA7B36"/>
    <w:rsid w:val="1AAE4948"/>
    <w:rsid w:val="1AB568C2"/>
    <w:rsid w:val="1AC05055"/>
    <w:rsid w:val="1AC22D60"/>
    <w:rsid w:val="1ADF03A3"/>
    <w:rsid w:val="1AE23D75"/>
    <w:rsid w:val="1AE35A53"/>
    <w:rsid w:val="1AE36B83"/>
    <w:rsid w:val="1AE5467F"/>
    <w:rsid w:val="1AFE54A1"/>
    <w:rsid w:val="1B010EF0"/>
    <w:rsid w:val="1B080AA1"/>
    <w:rsid w:val="1B0B74D8"/>
    <w:rsid w:val="1B0D5630"/>
    <w:rsid w:val="1B0F24A7"/>
    <w:rsid w:val="1B226521"/>
    <w:rsid w:val="1B266953"/>
    <w:rsid w:val="1B2858EC"/>
    <w:rsid w:val="1B287D95"/>
    <w:rsid w:val="1B2B127F"/>
    <w:rsid w:val="1B2B48C7"/>
    <w:rsid w:val="1B2C4022"/>
    <w:rsid w:val="1B345478"/>
    <w:rsid w:val="1B39690D"/>
    <w:rsid w:val="1B3E44C1"/>
    <w:rsid w:val="1B3F260B"/>
    <w:rsid w:val="1B4168DE"/>
    <w:rsid w:val="1B421FD2"/>
    <w:rsid w:val="1B424F95"/>
    <w:rsid w:val="1B4B11BE"/>
    <w:rsid w:val="1B4C2219"/>
    <w:rsid w:val="1B566EF8"/>
    <w:rsid w:val="1B5D1EA7"/>
    <w:rsid w:val="1B5E0F3F"/>
    <w:rsid w:val="1B5E7672"/>
    <w:rsid w:val="1B6A08D0"/>
    <w:rsid w:val="1B6C4BFD"/>
    <w:rsid w:val="1B784727"/>
    <w:rsid w:val="1B7976C3"/>
    <w:rsid w:val="1B7A475B"/>
    <w:rsid w:val="1B7A4C29"/>
    <w:rsid w:val="1B8221E6"/>
    <w:rsid w:val="1B8D24E6"/>
    <w:rsid w:val="1B9273DB"/>
    <w:rsid w:val="1B936AF6"/>
    <w:rsid w:val="1B9F0D78"/>
    <w:rsid w:val="1BA4576F"/>
    <w:rsid w:val="1BA859FB"/>
    <w:rsid w:val="1BAB11B4"/>
    <w:rsid w:val="1BAE647A"/>
    <w:rsid w:val="1BBF1274"/>
    <w:rsid w:val="1BBF676D"/>
    <w:rsid w:val="1BC26F09"/>
    <w:rsid w:val="1BC45008"/>
    <w:rsid w:val="1BC624D9"/>
    <w:rsid w:val="1BC73994"/>
    <w:rsid w:val="1BCE4112"/>
    <w:rsid w:val="1BD80673"/>
    <w:rsid w:val="1BE32A8A"/>
    <w:rsid w:val="1BE355B0"/>
    <w:rsid w:val="1BE76342"/>
    <w:rsid w:val="1BF36301"/>
    <w:rsid w:val="1BF46A61"/>
    <w:rsid w:val="1BF830D1"/>
    <w:rsid w:val="1BFA1814"/>
    <w:rsid w:val="1BFE562F"/>
    <w:rsid w:val="1C00639F"/>
    <w:rsid w:val="1C1672DC"/>
    <w:rsid w:val="1C245DA4"/>
    <w:rsid w:val="1C282794"/>
    <w:rsid w:val="1C2C4C0F"/>
    <w:rsid w:val="1C2C5DF4"/>
    <w:rsid w:val="1C2F4A60"/>
    <w:rsid w:val="1C2F766C"/>
    <w:rsid w:val="1C390FC4"/>
    <w:rsid w:val="1C3C5060"/>
    <w:rsid w:val="1C503B94"/>
    <w:rsid w:val="1C52658A"/>
    <w:rsid w:val="1C595825"/>
    <w:rsid w:val="1C5A6626"/>
    <w:rsid w:val="1C611B80"/>
    <w:rsid w:val="1C626DDD"/>
    <w:rsid w:val="1C64628B"/>
    <w:rsid w:val="1C6E549C"/>
    <w:rsid w:val="1C721DBC"/>
    <w:rsid w:val="1C73150F"/>
    <w:rsid w:val="1C742675"/>
    <w:rsid w:val="1C762B41"/>
    <w:rsid w:val="1C7A7445"/>
    <w:rsid w:val="1C805D15"/>
    <w:rsid w:val="1C811076"/>
    <w:rsid w:val="1C8609D9"/>
    <w:rsid w:val="1C8862C8"/>
    <w:rsid w:val="1C8A2D76"/>
    <w:rsid w:val="1C8E1FED"/>
    <w:rsid w:val="1C921E0B"/>
    <w:rsid w:val="1CA11EBE"/>
    <w:rsid w:val="1CA3733E"/>
    <w:rsid w:val="1CA53299"/>
    <w:rsid w:val="1CA71DBD"/>
    <w:rsid w:val="1CAC359F"/>
    <w:rsid w:val="1CAC4687"/>
    <w:rsid w:val="1CAD0D0E"/>
    <w:rsid w:val="1CBB214E"/>
    <w:rsid w:val="1CBC31BA"/>
    <w:rsid w:val="1CBF1295"/>
    <w:rsid w:val="1CC06203"/>
    <w:rsid w:val="1CC606DF"/>
    <w:rsid w:val="1CCE319B"/>
    <w:rsid w:val="1CD26CDD"/>
    <w:rsid w:val="1CDC2785"/>
    <w:rsid w:val="1CE3753F"/>
    <w:rsid w:val="1CE42B5D"/>
    <w:rsid w:val="1CEE67C3"/>
    <w:rsid w:val="1CFA4CEC"/>
    <w:rsid w:val="1CFD303B"/>
    <w:rsid w:val="1D093430"/>
    <w:rsid w:val="1D0D2A38"/>
    <w:rsid w:val="1D0F7034"/>
    <w:rsid w:val="1D1B59BF"/>
    <w:rsid w:val="1D1F0CB2"/>
    <w:rsid w:val="1D2141F1"/>
    <w:rsid w:val="1D375354"/>
    <w:rsid w:val="1D3A4B1D"/>
    <w:rsid w:val="1D3B732D"/>
    <w:rsid w:val="1D3D3599"/>
    <w:rsid w:val="1D4239FA"/>
    <w:rsid w:val="1D442E93"/>
    <w:rsid w:val="1D480956"/>
    <w:rsid w:val="1D4A5A89"/>
    <w:rsid w:val="1D4E0C88"/>
    <w:rsid w:val="1D4E41B6"/>
    <w:rsid w:val="1D537BD5"/>
    <w:rsid w:val="1D575C2C"/>
    <w:rsid w:val="1D5B4B48"/>
    <w:rsid w:val="1D645AD8"/>
    <w:rsid w:val="1D651BFF"/>
    <w:rsid w:val="1D6823CD"/>
    <w:rsid w:val="1D695AE8"/>
    <w:rsid w:val="1D70683B"/>
    <w:rsid w:val="1D7307BC"/>
    <w:rsid w:val="1D797217"/>
    <w:rsid w:val="1D7D5852"/>
    <w:rsid w:val="1D7F4CA9"/>
    <w:rsid w:val="1D832DE7"/>
    <w:rsid w:val="1D842139"/>
    <w:rsid w:val="1D98109D"/>
    <w:rsid w:val="1DA50130"/>
    <w:rsid w:val="1DB34611"/>
    <w:rsid w:val="1DB45EAF"/>
    <w:rsid w:val="1DB64AEF"/>
    <w:rsid w:val="1DB847FF"/>
    <w:rsid w:val="1DBD471E"/>
    <w:rsid w:val="1DBE1D38"/>
    <w:rsid w:val="1DBF27A5"/>
    <w:rsid w:val="1DC30C6A"/>
    <w:rsid w:val="1DCA2750"/>
    <w:rsid w:val="1DCF0BE9"/>
    <w:rsid w:val="1DD33CD4"/>
    <w:rsid w:val="1DD875C6"/>
    <w:rsid w:val="1DDE33E1"/>
    <w:rsid w:val="1DDE5846"/>
    <w:rsid w:val="1DE14886"/>
    <w:rsid w:val="1DF02138"/>
    <w:rsid w:val="1DFD34F7"/>
    <w:rsid w:val="1DFE3D2C"/>
    <w:rsid w:val="1DFF7AE1"/>
    <w:rsid w:val="1E041BF6"/>
    <w:rsid w:val="1E075452"/>
    <w:rsid w:val="1E0A7758"/>
    <w:rsid w:val="1E0F7E3B"/>
    <w:rsid w:val="1E1063E1"/>
    <w:rsid w:val="1E1D5F1A"/>
    <w:rsid w:val="1E22765E"/>
    <w:rsid w:val="1E24641B"/>
    <w:rsid w:val="1E24676D"/>
    <w:rsid w:val="1E287013"/>
    <w:rsid w:val="1E290EF4"/>
    <w:rsid w:val="1E38721D"/>
    <w:rsid w:val="1E3B5C85"/>
    <w:rsid w:val="1E401DA6"/>
    <w:rsid w:val="1E407A0C"/>
    <w:rsid w:val="1E423523"/>
    <w:rsid w:val="1E486353"/>
    <w:rsid w:val="1E4E700A"/>
    <w:rsid w:val="1E5406D0"/>
    <w:rsid w:val="1E563899"/>
    <w:rsid w:val="1E5B509F"/>
    <w:rsid w:val="1E5E1DA8"/>
    <w:rsid w:val="1E632D14"/>
    <w:rsid w:val="1E681360"/>
    <w:rsid w:val="1E721B5B"/>
    <w:rsid w:val="1E727898"/>
    <w:rsid w:val="1E745F49"/>
    <w:rsid w:val="1E770628"/>
    <w:rsid w:val="1E7876AB"/>
    <w:rsid w:val="1E855AEA"/>
    <w:rsid w:val="1E89016B"/>
    <w:rsid w:val="1E8E0193"/>
    <w:rsid w:val="1E922DBA"/>
    <w:rsid w:val="1E974C83"/>
    <w:rsid w:val="1E977DD0"/>
    <w:rsid w:val="1E9A5BC5"/>
    <w:rsid w:val="1E9E3A42"/>
    <w:rsid w:val="1EA85F60"/>
    <w:rsid w:val="1EA935DA"/>
    <w:rsid w:val="1EAC7F90"/>
    <w:rsid w:val="1EAF4BD6"/>
    <w:rsid w:val="1EBE5CB7"/>
    <w:rsid w:val="1EC167E4"/>
    <w:rsid w:val="1EC219B7"/>
    <w:rsid w:val="1EC64612"/>
    <w:rsid w:val="1ED11588"/>
    <w:rsid w:val="1ED12BC9"/>
    <w:rsid w:val="1ED63161"/>
    <w:rsid w:val="1EDF3E98"/>
    <w:rsid w:val="1EE05B39"/>
    <w:rsid w:val="1EE1372F"/>
    <w:rsid w:val="1EE30D7B"/>
    <w:rsid w:val="1EEE370A"/>
    <w:rsid w:val="1EEE49B4"/>
    <w:rsid w:val="1EFD0709"/>
    <w:rsid w:val="1EFE623D"/>
    <w:rsid w:val="1EFF61EC"/>
    <w:rsid w:val="1F021D32"/>
    <w:rsid w:val="1F1C22DF"/>
    <w:rsid w:val="1F20022E"/>
    <w:rsid w:val="1F28753E"/>
    <w:rsid w:val="1F2C6456"/>
    <w:rsid w:val="1F323469"/>
    <w:rsid w:val="1F3A3B7C"/>
    <w:rsid w:val="1F3F2D3F"/>
    <w:rsid w:val="1F455C99"/>
    <w:rsid w:val="1F4E539B"/>
    <w:rsid w:val="1F4F44E9"/>
    <w:rsid w:val="1F4F4677"/>
    <w:rsid w:val="1F5F2826"/>
    <w:rsid w:val="1F643B5C"/>
    <w:rsid w:val="1F680638"/>
    <w:rsid w:val="1F687E82"/>
    <w:rsid w:val="1F7F4A2C"/>
    <w:rsid w:val="1F7F4BAD"/>
    <w:rsid w:val="1F7F4E28"/>
    <w:rsid w:val="1F85033F"/>
    <w:rsid w:val="1F86724C"/>
    <w:rsid w:val="1F8903E1"/>
    <w:rsid w:val="1F8E77DD"/>
    <w:rsid w:val="1F9137B5"/>
    <w:rsid w:val="1F9752D0"/>
    <w:rsid w:val="1FA37916"/>
    <w:rsid w:val="1FA4592E"/>
    <w:rsid w:val="1FA52D8C"/>
    <w:rsid w:val="1FA60199"/>
    <w:rsid w:val="1FAB2EA2"/>
    <w:rsid w:val="1FAD0037"/>
    <w:rsid w:val="1FAE4D5F"/>
    <w:rsid w:val="1FB37752"/>
    <w:rsid w:val="1FB873FB"/>
    <w:rsid w:val="1FB875A6"/>
    <w:rsid w:val="1FBD5DE8"/>
    <w:rsid w:val="1FBD6A65"/>
    <w:rsid w:val="1FC64210"/>
    <w:rsid w:val="1FCB192B"/>
    <w:rsid w:val="1FCC6C47"/>
    <w:rsid w:val="1FCD082E"/>
    <w:rsid w:val="1FD31B05"/>
    <w:rsid w:val="1FDF5CFE"/>
    <w:rsid w:val="1FE8311C"/>
    <w:rsid w:val="1FEE0E99"/>
    <w:rsid w:val="1FF8164F"/>
    <w:rsid w:val="1FFF1ECC"/>
    <w:rsid w:val="20022282"/>
    <w:rsid w:val="20034004"/>
    <w:rsid w:val="200377E2"/>
    <w:rsid w:val="20052498"/>
    <w:rsid w:val="20092180"/>
    <w:rsid w:val="200A5BE1"/>
    <w:rsid w:val="200D3A6E"/>
    <w:rsid w:val="200D5153"/>
    <w:rsid w:val="200E31D5"/>
    <w:rsid w:val="20165DE1"/>
    <w:rsid w:val="201840AB"/>
    <w:rsid w:val="20246F90"/>
    <w:rsid w:val="202B568B"/>
    <w:rsid w:val="20340A52"/>
    <w:rsid w:val="203505EF"/>
    <w:rsid w:val="2035526E"/>
    <w:rsid w:val="20397DB1"/>
    <w:rsid w:val="203A428A"/>
    <w:rsid w:val="203D6470"/>
    <w:rsid w:val="204464C7"/>
    <w:rsid w:val="20471F92"/>
    <w:rsid w:val="20484A3E"/>
    <w:rsid w:val="204A5224"/>
    <w:rsid w:val="204F43C2"/>
    <w:rsid w:val="205C3927"/>
    <w:rsid w:val="20601F3B"/>
    <w:rsid w:val="206C2785"/>
    <w:rsid w:val="206F4751"/>
    <w:rsid w:val="206F784D"/>
    <w:rsid w:val="207765EC"/>
    <w:rsid w:val="20794761"/>
    <w:rsid w:val="207C04F9"/>
    <w:rsid w:val="208B4DF4"/>
    <w:rsid w:val="208C6B8C"/>
    <w:rsid w:val="209232CB"/>
    <w:rsid w:val="209D53BA"/>
    <w:rsid w:val="20AA0D8A"/>
    <w:rsid w:val="20AD5F39"/>
    <w:rsid w:val="20B36B9F"/>
    <w:rsid w:val="20B86A91"/>
    <w:rsid w:val="20B9046B"/>
    <w:rsid w:val="20C928CA"/>
    <w:rsid w:val="20CC4CBE"/>
    <w:rsid w:val="20D94B61"/>
    <w:rsid w:val="20DA53A0"/>
    <w:rsid w:val="20E02450"/>
    <w:rsid w:val="20E33181"/>
    <w:rsid w:val="20E74C64"/>
    <w:rsid w:val="20EE1AA7"/>
    <w:rsid w:val="20F72783"/>
    <w:rsid w:val="21023A7C"/>
    <w:rsid w:val="21024A04"/>
    <w:rsid w:val="21053D47"/>
    <w:rsid w:val="21092803"/>
    <w:rsid w:val="21092A15"/>
    <w:rsid w:val="210F7863"/>
    <w:rsid w:val="2113589E"/>
    <w:rsid w:val="21196B8A"/>
    <w:rsid w:val="21220939"/>
    <w:rsid w:val="212637E5"/>
    <w:rsid w:val="212D408D"/>
    <w:rsid w:val="212E2B0F"/>
    <w:rsid w:val="212F4608"/>
    <w:rsid w:val="21317B0E"/>
    <w:rsid w:val="2134434C"/>
    <w:rsid w:val="213F06F1"/>
    <w:rsid w:val="213F7B16"/>
    <w:rsid w:val="2143203D"/>
    <w:rsid w:val="214467EC"/>
    <w:rsid w:val="21460172"/>
    <w:rsid w:val="21461BDA"/>
    <w:rsid w:val="214702F0"/>
    <w:rsid w:val="214B234C"/>
    <w:rsid w:val="2153203D"/>
    <w:rsid w:val="215336ED"/>
    <w:rsid w:val="2157796B"/>
    <w:rsid w:val="21590BCE"/>
    <w:rsid w:val="215C0588"/>
    <w:rsid w:val="215C2136"/>
    <w:rsid w:val="216225B0"/>
    <w:rsid w:val="21634E83"/>
    <w:rsid w:val="21644482"/>
    <w:rsid w:val="21647276"/>
    <w:rsid w:val="216C69AF"/>
    <w:rsid w:val="217069D9"/>
    <w:rsid w:val="2177648E"/>
    <w:rsid w:val="2181394F"/>
    <w:rsid w:val="21855FB9"/>
    <w:rsid w:val="218B225B"/>
    <w:rsid w:val="2191567D"/>
    <w:rsid w:val="21972DD3"/>
    <w:rsid w:val="219C0657"/>
    <w:rsid w:val="21AB1AA1"/>
    <w:rsid w:val="21AC0A94"/>
    <w:rsid w:val="21B043CF"/>
    <w:rsid w:val="21B369BA"/>
    <w:rsid w:val="21C53489"/>
    <w:rsid w:val="21C85E83"/>
    <w:rsid w:val="21C91BD7"/>
    <w:rsid w:val="21CC061D"/>
    <w:rsid w:val="21D14048"/>
    <w:rsid w:val="21D70EFE"/>
    <w:rsid w:val="21E004F1"/>
    <w:rsid w:val="21E573A1"/>
    <w:rsid w:val="21E71039"/>
    <w:rsid w:val="21EC79F9"/>
    <w:rsid w:val="21ED77C9"/>
    <w:rsid w:val="21F35396"/>
    <w:rsid w:val="21F51CE2"/>
    <w:rsid w:val="21F617B1"/>
    <w:rsid w:val="21F97F32"/>
    <w:rsid w:val="220103C8"/>
    <w:rsid w:val="220D2A2A"/>
    <w:rsid w:val="22131393"/>
    <w:rsid w:val="22153B4E"/>
    <w:rsid w:val="221611EE"/>
    <w:rsid w:val="221643BD"/>
    <w:rsid w:val="22185284"/>
    <w:rsid w:val="222973BF"/>
    <w:rsid w:val="222A6D42"/>
    <w:rsid w:val="222E4177"/>
    <w:rsid w:val="223162EF"/>
    <w:rsid w:val="223D7D74"/>
    <w:rsid w:val="22413B6B"/>
    <w:rsid w:val="224949B2"/>
    <w:rsid w:val="224C4E87"/>
    <w:rsid w:val="224E369D"/>
    <w:rsid w:val="2254713C"/>
    <w:rsid w:val="2256719F"/>
    <w:rsid w:val="22576B6F"/>
    <w:rsid w:val="22601645"/>
    <w:rsid w:val="22620429"/>
    <w:rsid w:val="226D6B02"/>
    <w:rsid w:val="227A4B3E"/>
    <w:rsid w:val="22811832"/>
    <w:rsid w:val="22834822"/>
    <w:rsid w:val="22837536"/>
    <w:rsid w:val="228529E9"/>
    <w:rsid w:val="228831F1"/>
    <w:rsid w:val="2292029B"/>
    <w:rsid w:val="22962F16"/>
    <w:rsid w:val="229F6519"/>
    <w:rsid w:val="22A218F0"/>
    <w:rsid w:val="22A64EAE"/>
    <w:rsid w:val="22A75576"/>
    <w:rsid w:val="22AB27C3"/>
    <w:rsid w:val="22AC423F"/>
    <w:rsid w:val="22AE0ABB"/>
    <w:rsid w:val="22B43D84"/>
    <w:rsid w:val="22BA15D4"/>
    <w:rsid w:val="22BB1FF0"/>
    <w:rsid w:val="22BC26CF"/>
    <w:rsid w:val="22BF0998"/>
    <w:rsid w:val="22C2541B"/>
    <w:rsid w:val="22CC7C76"/>
    <w:rsid w:val="22D31256"/>
    <w:rsid w:val="22D53021"/>
    <w:rsid w:val="22DC54AA"/>
    <w:rsid w:val="22E46845"/>
    <w:rsid w:val="22E92B5C"/>
    <w:rsid w:val="22ED1934"/>
    <w:rsid w:val="22F67032"/>
    <w:rsid w:val="230212B8"/>
    <w:rsid w:val="23030702"/>
    <w:rsid w:val="23062764"/>
    <w:rsid w:val="23080E38"/>
    <w:rsid w:val="230843F0"/>
    <w:rsid w:val="230F3229"/>
    <w:rsid w:val="23112352"/>
    <w:rsid w:val="23177E0F"/>
    <w:rsid w:val="231F390F"/>
    <w:rsid w:val="2320730F"/>
    <w:rsid w:val="232331F6"/>
    <w:rsid w:val="232338CB"/>
    <w:rsid w:val="23235F04"/>
    <w:rsid w:val="23273354"/>
    <w:rsid w:val="233B5102"/>
    <w:rsid w:val="23435D33"/>
    <w:rsid w:val="23514F5B"/>
    <w:rsid w:val="23526895"/>
    <w:rsid w:val="23527442"/>
    <w:rsid w:val="235765CA"/>
    <w:rsid w:val="23607755"/>
    <w:rsid w:val="23656AAE"/>
    <w:rsid w:val="2368083A"/>
    <w:rsid w:val="236F1030"/>
    <w:rsid w:val="23727A7C"/>
    <w:rsid w:val="23775A27"/>
    <w:rsid w:val="237A368A"/>
    <w:rsid w:val="237C3D59"/>
    <w:rsid w:val="237F62B4"/>
    <w:rsid w:val="23804F0B"/>
    <w:rsid w:val="23806372"/>
    <w:rsid w:val="238509D2"/>
    <w:rsid w:val="23897BC7"/>
    <w:rsid w:val="238B7862"/>
    <w:rsid w:val="238D33AE"/>
    <w:rsid w:val="23993780"/>
    <w:rsid w:val="239F1BEB"/>
    <w:rsid w:val="23A40C6C"/>
    <w:rsid w:val="23A67449"/>
    <w:rsid w:val="23A95222"/>
    <w:rsid w:val="23AF2511"/>
    <w:rsid w:val="23B60F2C"/>
    <w:rsid w:val="23BB021A"/>
    <w:rsid w:val="23BD1ACB"/>
    <w:rsid w:val="23C60923"/>
    <w:rsid w:val="23CC07DA"/>
    <w:rsid w:val="23D95F77"/>
    <w:rsid w:val="23DE0038"/>
    <w:rsid w:val="23F81A94"/>
    <w:rsid w:val="23FC4588"/>
    <w:rsid w:val="240B3DA0"/>
    <w:rsid w:val="240D13EE"/>
    <w:rsid w:val="241008C8"/>
    <w:rsid w:val="241534A7"/>
    <w:rsid w:val="241D1FFB"/>
    <w:rsid w:val="24266691"/>
    <w:rsid w:val="242B4AD8"/>
    <w:rsid w:val="242B73A3"/>
    <w:rsid w:val="2430145D"/>
    <w:rsid w:val="24395979"/>
    <w:rsid w:val="243C04DF"/>
    <w:rsid w:val="243F3BC5"/>
    <w:rsid w:val="244A5C16"/>
    <w:rsid w:val="244E0D35"/>
    <w:rsid w:val="24502A0D"/>
    <w:rsid w:val="2451179F"/>
    <w:rsid w:val="24520F93"/>
    <w:rsid w:val="24547F02"/>
    <w:rsid w:val="245B6907"/>
    <w:rsid w:val="2468033B"/>
    <w:rsid w:val="24784B85"/>
    <w:rsid w:val="2484174E"/>
    <w:rsid w:val="24893323"/>
    <w:rsid w:val="248D372F"/>
    <w:rsid w:val="249147BC"/>
    <w:rsid w:val="24931D1A"/>
    <w:rsid w:val="24967E1D"/>
    <w:rsid w:val="24981015"/>
    <w:rsid w:val="24987E3F"/>
    <w:rsid w:val="24A0064D"/>
    <w:rsid w:val="24A37E3F"/>
    <w:rsid w:val="24A44C2B"/>
    <w:rsid w:val="24A710D1"/>
    <w:rsid w:val="24A75F10"/>
    <w:rsid w:val="24A9794E"/>
    <w:rsid w:val="24AB7455"/>
    <w:rsid w:val="24AE3282"/>
    <w:rsid w:val="24B47EEE"/>
    <w:rsid w:val="24B571BF"/>
    <w:rsid w:val="24B608A6"/>
    <w:rsid w:val="24BD33B3"/>
    <w:rsid w:val="24C076C6"/>
    <w:rsid w:val="24C805DB"/>
    <w:rsid w:val="24CB58F2"/>
    <w:rsid w:val="24CF2F3D"/>
    <w:rsid w:val="24CF6349"/>
    <w:rsid w:val="24DA1699"/>
    <w:rsid w:val="24DA3502"/>
    <w:rsid w:val="24DC1CDC"/>
    <w:rsid w:val="24DD549F"/>
    <w:rsid w:val="24EA1D3C"/>
    <w:rsid w:val="24F50072"/>
    <w:rsid w:val="24F5476D"/>
    <w:rsid w:val="24F552FD"/>
    <w:rsid w:val="24FB1A11"/>
    <w:rsid w:val="24FB73DF"/>
    <w:rsid w:val="24FE12C5"/>
    <w:rsid w:val="251430EA"/>
    <w:rsid w:val="2516548F"/>
    <w:rsid w:val="25187901"/>
    <w:rsid w:val="251E7323"/>
    <w:rsid w:val="25286A85"/>
    <w:rsid w:val="25322FA9"/>
    <w:rsid w:val="2535601D"/>
    <w:rsid w:val="253C5757"/>
    <w:rsid w:val="254602F5"/>
    <w:rsid w:val="254A78A8"/>
    <w:rsid w:val="254D7DE7"/>
    <w:rsid w:val="25587F10"/>
    <w:rsid w:val="255A2902"/>
    <w:rsid w:val="255D2987"/>
    <w:rsid w:val="255E68ED"/>
    <w:rsid w:val="25693D83"/>
    <w:rsid w:val="256B1E5E"/>
    <w:rsid w:val="256C43CF"/>
    <w:rsid w:val="2572075C"/>
    <w:rsid w:val="25743B93"/>
    <w:rsid w:val="25770905"/>
    <w:rsid w:val="257730B5"/>
    <w:rsid w:val="257B6B56"/>
    <w:rsid w:val="257D76B8"/>
    <w:rsid w:val="25835E6E"/>
    <w:rsid w:val="25847B8B"/>
    <w:rsid w:val="25852F63"/>
    <w:rsid w:val="258A3679"/>
    <w:rsid w:val="258B1C1A"/>
    <w:rsid w:val="25965194"/>
    <w:rsid w:val="2599385B"/>
    <w:rsid w:val="259A51D8"/>
    <w:rsid w:val="259B705F"/>
    <w:rsid w:val="25AB26F1"/>
    <w:rsid w:val="25AD148E"/>
    <w:rsid w:val="25AE5CBD"/>
    <w:rsid w:val="25B26B13"/>
    <w:rsid w:val="25B35717"/>
    <w:rsid w:val="25B6624E"/>
    <w:rsid w:val="25BE7F58"/>
    <w:rsid w:val="25C050FD"/>
    <w:rsid w:val="25C37F7D"/>
    <w:rsid w:val="25C613D9"/>
    <w:rsid w:val="25C66FF7"/>
    <w:rsid w:val="25CB6537"/>
    <w:rsid w:val="25D04004"/>
    <w:rsid w:val="25D232A3"/>
    <w:rsid w:val="25D232CE"/>
    <w:rsid w:val="25D62F50"/>
    <w:rsid w:val="25DC79D9"/>
    <w:rsid w:val="25DD502E"/>
    <w:rsid w:val="25DE7B28"/>
    <w:rsid w:val="25E17C21"/>
    <w:rsid w:val="25E424FD"/>
    <w:rsid w:val="25EC197C"/>
    <w:rsid w:val="25EE3ED6"/>
    <w:rsid w:val="25F02801"/>
    <w:rsid w:val="25F46164"/>
    <w:rsid w:val="25FA76F8"/>
    <w:rsid w:val="25FF05F7"/>
    <w:rsid w:val="26012331"/>
    <w:rsid w:val="260651DF"/>
    <w:rsid w:val="26116D9A"/>
    <w:rsid w:val="261414B8"/>
    <w:rsid w:val="261C3368"/>
    <w:rsid w:val="261C45E5"/>
    <w:rsid w:val="261E59B9"/>
    <w:rsid w:val="261E5DAA"/>
    <w:rsid w:val="26367DDD"/>
    <w:rsid w:val="263725F3"/>
    <w:rsid w:val="26384145"/>
    <w:rsid w:val="26395362"/>
    <w:rsid w:val="264C6402"/>
    <w:rsid w:val="265E54BD"/>
    <w:rsid w:val="26655DC4"/>
    <w:rsid w:val="266759B4"/>
    <w:rsid w:val="266D67CA"/>
    <w:rsid w:val="26716B7E"/>
    <w:rsid w:val="2678123C"/>
    <w:rsid w:val="2678314A"/>
    <w:rsid w:val="2679522B"/>
    <w:rsid w:val="267F6970"/>
    <w:rsid w:val="26814BD1"/>
    <w:rsid w:val="26815F61"/>
    <w:rsid w:val="2688233B"/>
    <w:rsid w:val="268B3AC2"/>
    <w:rsid w:val="26962104"/>
    <w:rsid w:val="269A7829"/>
    <w:rsid w:val="269F051F"/>
    <w:rsid w:val="26B062CC"/>
    <w:rsid w:val="26B57A60"/>
    <w:rsid w:val="26BA755B"/>
    <w:rsid w:val="26BA7DD8"/>
    <w:rsid w:val="26BE5867"/>
    <w:rsid w:val="26C40749"/>
    <w:rsid w:val="26D37CFD"/>
    <w:rsid w:val="26D51F37"/>
    <w:rsid w:val="26D55359"/>
    <w:rsid w:val="26D66B4B"/>
    <w:rsid w:val="26D77B1E"/>
    <w:rsid w:val="26D90E94"/>
    <w:rsid w:val="26DC4F1F"/>
    <w:rsid w:val="26E908F9"/>
    <w:rsid w:val="26ED7F27"/>
    <w:rsid w:val="26EF7AC9"/>
    <w:rsid w:val="26F015F2"/>
    <w:rsid w:val="26F518C9"/>
    <w:rsid w:val="26F77589"/>
    <w:rsid w:val="26FE2F73"/>
    <w:rsid w:val="270D4902"/>
    <w:rsid w:val="27193552"/>
    <w:rsid w:val="27194AC1"/>
    <w:rsid w:val="271C7BAE"/>
    <w:rsid w:val="271F3D41"/>
    <w:rsid w:val="272D07E0"/>
    <w:rsid w:val="272D789C"/>
    <w:rsid w:val="272E5BDD"/>
    <w:rsid w:val="27365FF2"/>
    <w:rsid w:val="2738028B"/>
    <w:rsid w:val="274459EE"/>
    <w:rsid w:val="274500AF"/>
    <w:rsid w:val="274531AA"/>
    <w:rsid w:val="27473068"/>
    <w:rsid w:val="274B4F89"/>
    <w:rsid w:val="274F433C"/>
    <w:rsid w:val="27510987"/>
    <w:rsid w:val="27531369"/>
    <w:rsid w:val="275721E3"/>
    <w:rsid w:val="275A6531"/>
    <w:rsid w:val="275E798A"/>
    <w:rsid w:val="27654C33"/>
    <w:rsid w:val="27655E15"/>
    <w:rsid w:val="27657C77"/>
    <w:rsid w:val="277005F0"/>
    <w:rsid w:val="27702AAA"/>
    <w:rsid w:val="27716C57"/>
    <w:rsid w:val="27787EC9"/>
    <w:rsid w:val="277A2228"/>
    <w:rsid w:val="277C41CD"/>
    <w:rsid w:val="277F5E97"/>
    <w:rsid w:val="27877B31"/>
    <w:rsid w:val="278D3DF3"/>
    <w:rsid w:val="27966399"/>
    <w:rsid w:val="27A722FB"/>
    <w:rsid w:val="27AE498E"/>
    <w:rsid w:val="27AF0149"/>
    <w:rsid w:val="27C70146"/>
    <w:rsid w:val="27DC482F"/>
    <w:rsid w:val="27DE7EEA"/>
    <w:rsid w:val="27E3007B"/>
    <w:rsid w:val="27E56907"/>
    <w:rsid w:val="27F37B9F"/>
    <w:rsid w:val="27F400A6"/>
    <w:rsid w:val="27F917EF"/>
    <w:rsid w:val="27FA52C2"/>
    <w:rsid w:val="27FF3B59"/>
    <w:rsid w:val="28003037"/>
    <w:rsid w:val="28031F9E"/>
    <w:rsid w:val="28047910"/>
    <w:rsid w:val="28063F00"/>
    <w:rsid w:val="28114684"/>
    <w:rsid w:val="28151073"/>
    <w:rsid w:val="28156AF0"/>
    <w:rsid w:val="28172C2C"/>
    <w:rsid w:val="28174676"/>
    <w:rsid w:val="282652D7"/>
    <w:rsid w:val="28271B47"/>
    <w:rsid w:val="2828230D"/>
    <w:rsid w:val="28282DD6"/>
    <w:rsid w:val="282C3689"/>
    <w:rsid w:val="28301884"/>
    <w:rsid w:val="283306E2"/>
    <w:rsid w:val="28392A42"/>
    <w:rsid w:val="283A0580"/>
    <w:rsid w:val="283A600A"/>
    <w:rsid w:val="28402662"/>
    <w:rsid w:val="28404A8A"/>
    <w:rsid w:val="28405C0F"/>
    <w:rsid w:val="2843467F"/>
    <w:rsid w:val="28515AAA"/>
    <w:rsid w:val="285463E1"/>
    <w:rsid w:val="2856066C"/>
    <w:rsid w:val="285C3156"/>
    <w:rsid w:val="28630A4F"/>
    <w:rsid w:val="286E1A46"/>
    <w:rsid w:val="28786F66"/>
    <w:rsid w:val="28790EC8"/>
    <w:rsid w:val="287D3E92"/>
    <w:rsid w:val="288775DB"/>
    <w:rsid w:val="288A7753"/>
    <w:rsid w:val="289A413A"/>
    <w:rsid w:val="28A26206"/>
    <w:rsid w:val="28A877E9"/>
    <w:rsid w:val="28AB79A3"/>
    <w:rsid w:val="28BB4238"/>
    <w:rsid w:val="28BB455C"/>
    <w:rsid w:val="28C47CAF"/>
    <w:rsid w:val="28D01731"/>
    <w:rsid w:val="28D60F5D"/>
    <w:rsid w:val="28D90442"/>
    <w:rsid w:val="28D92FC8"/>
    <w:rsid w:val="28D93C5D"/>
    <w:rsid w:val="28DB0218"/>
    <w:rsid w:val="28DF6B18"/>
    <w:rsid w:val="28E309D7"/>
    <w:rsid w:val="28E923FD"/>
    <w:rsid w:val="28EA37AB"/>
    <w:rsid w:val="28EA39A4"/>
    <w:rsid w:val="28F6001D"/>
    <w:rsid w:val="28F67160"/>
    <w:rsid w:val="28F95B87"/>
    <w:rsid w:val="28FD4174"/>
    <w:rsid w:val="2900651C"/>
    <w:rsid w:val="2908660F"/>
    <w:rsid w:val="29086F3D"/>
    <w:rsid w:val="290A7C49"/>
    <w:rsid w:val="290B3FB4"/>
    <w:rsid w:val="291025A6"/>
    <w:rsid w:val="29181460"/>
    <w:rsid w:val="292147ED"/>
    <w:rsid w:val="29265026"/>
    <w:rsid w:val="292A5054"/>
    <w:rsid w:val="292D4390"/>
    <w:rsid w:val="293171B7"/>
    <w:rsid w:val="29367CF8"/>
    <w:rsid w:val="293B71E4"/>
    <w:rsid w:val="294562C8"/>
    <w:rsid w:val="29466767"/>
    <w:rsid w:val="294A7CF4"/>
    <w:rsid w:val="2956167A"/>
    <w:rsid w:val="29571B39"/>
    <w:rsid w:val="29637C0B"/>
    <w:rsid w:val="29643B67"/>
    <w:rsid w:val="2964687E"/>
    <w:rsid w:val="296514A9"/>
    <w:rsid w:val="2965373C"/>
    <w:rsid w:val="29670E2C"/>
    <w:rsid w:val="29741478"/>
    <w:rsid w:val="29745595"/>
    <w:rsid w:val="29747AFA"/>
    <w:rsid w:val="297F382E"/>
    <w:rsid w:val="29822F50"/>
    <w:rsid w:val="298A7E62"/>
    <w:rsid w:val="299145D8"/>
    <w:rsid w:val="299777F1"/>
    <w:rsid w:val="299D435B"/>
    <w:rsid w:val="29A01182"/>
    <w:rsid w:val="29A222F4"/>
    <w:rsid w:val="29A240AD"/>
    <w:rsid w:val="29A77E3F"/>
    <w:rsid w:val="29B129C2"/>
    <w:rsid w:val="29B67FFD"/>
    <w:rsid w:val="29C32223"/>
    <w:rsid w:val="29C357E2"/>
    <w:rsid w:val="29C5567B"/>
    <w:rsid w:val="29C63395"/>
    <w:rsid w:val="29C846A2"/>
    <w:rsid w:val="29C9026B"/>
    <w:rsid w:val="29C9052E"/>
    <w:rsid w:val="29CD675A"/>
    <w:rsid w:val="29D3777A"/>
    <w:rsid w:val="29D932EB"/>
    <w:rsid w:val="29E0682D"/>
    <w:rsid w:val="29E56C2B"/>
    <w:rsid w:val="29EF08D5"/>
    <w:rsid w:val="29EF1A13"/>
    <w:rsid w:val="29F421D2"/>
    <w:rsid w:val="29FB5D7B"/>
    <w:rsid w:val="2A004A98"/>
    <w:rsid w:val="2A072E6D"/>
    <w:rsid w:val="2A0C27D2"/>
    <w:rsid w:val="2A1100C5"/>
    <w:rsid w:val="2A15378D"/>
    <w:rsid w:val="2A167CFF"/>
    <w:rsid w:val="2A1A436B"/>
    <w:rsid w:val="2A1D6731"/>
    <w:rsid w:val="2A2253E4"/>
    <w:rsid w:val="2A277FFE"/>
    <w:rsid w:val="2A302B9A"/>
    <w:rsid w:val="2A3757DD"/>
    <w:rsid w:val="2A393D4D"/>
    <w:rsid w:val="2A3E121F"/>
    <w:rsid w:val="2A413404"/>
    <w:rsid w:val="2A456834"/>
    <w:rsid w:val="2A486E89"/>
    <w:rsid w:val="2A4907A1"/>
    <w:rsid w:val="2A495E33"/>
    <w:rsid w:val="2A4A70DA"/>
    <w:rsid w:val="2A4F6EEE"/>
    <w:rsid w:val="2A537BA7"/>
    <w:rsid w:val="2A5E7A5B"/>
    <w:rsid w:val="2A5F1697"/>
    <w:rsid w:val="2A610F9C"/>
    <w:rsid w:val="2A686983"/>
    <w:rsid w:val="2A6B7605"/>
    <w:rsid w:val="2A7142DB"/>
    <w:rsid w:val="2A7701DC"/>
    <w:rsid w:val="2A7721EB"/>
    <w:rsid w:val="2A7E463F"/>
    <w:rsid w:val="2A8135C1"/>
    <w:rsid w:val="2A822CFC"/>
    <w:rsid w:val="2A874DCE"/>
    <w:rsid w:val="2A932749"/>
    <w:rsid w:val="2A95301D"/>
    <w:rsid w:val="2A9A00B8"/>
    <w:rsid w:val="2A9F368E"/>
    <w:rsid w:val="2AA102C7"/>
    <w:rsid w:val="2AA501D6"/>
    <w:rsid w:val="2AA75203"/>
    <w:rsid w:val="2AAB4D8B"/>
    <w:rsid w:val="2AAB70B8"/>
    <w:rsid w:val="2ACF29D0"/>
    <w:rsid w:val="2AD23946"/>
    <w:rsid w:val="2AD757C5"/>
    <w:rsid w:val="2AD8268C"/>
    <w:rsid w:val="2ADC7704"/>
    <w:rsid w:val="2AE24958"/>
    <w:rsid w:val="2AE311EC"/>
    <w:rsid w:val="2AE3144E"/>
    <w:rsid w:val="2AEA5FD6"/>
    <w:rsid w:val="2AEB3566"/>
    <w:rsid w:val="2AED024D"/>
    <w:rsid w:val="2AF64858"/>
    <w:rsid w:val="2B006B0F"/>
    <w:rsid w:val="2B0C73F8"/>
    <w:rsid w:val="2B0D431B"/>
    <w:rsid w:val="2B126E77"/>
    <w:rsid w:val="2B2542FC"/>
    <w:rsid w:val="2B2A6042"/>
    <w:rsid w:val="2B323A17"/>
    <w:rsid w:val="2B3D434D"/>
    <w:rsid w:val="2B3E0DCF"/>
    <w:rsid w:val="2B3F6E91"/>
    <w:rsid w:val="2B4170BC"/>
    <w:rsid w:val="2B492A69"/>
    <w:rsid w:val="2B4B1A6B"/>
    <w:rsid w:val="2B4F3B95"/>
    <w:rsid w:val="2B510493"/>
    <w:rsid w:val="2B531E90"/>
    <w:rsid w:val="2B5D1DEE"/>
    <w:rsid w:val="2B5F7838"/>
    <w:rsid w:val="2B60285C"/>
    <w:rsid w:val="2B6E756A"/>
    <w:rsid w:val="2B730F16"/>
    <w:rsid w:val="2B793AB6"/>
    <w:rsid w:val="2B894A0E"/>
    <w:rsid w:val="2B992D8F"/>
    <w:rsid w:val="2B9947F0"/>
    <w:rsid w:val="2BA17E61"/>
    <w:rsid w:val="2BA85F23"/>
    <w:rsid w:val="2BAC09B1"/>
    <w:rsid w:val="2BB03502"/>
    <w:rsid w:val="2BB1005C"/>
    <w:rsid w:val="2BB61A32"/>
    <w:rsid w:val="2BBF7B31"/>
    <w:rsid w:val="2BC20859"/>
    <w:rsid w:val="2BCA3EEE"/>
    <w:rsid w:val="2BCC7D24"/>
    <w:rsid w:val="2BCD1EE6"/>
    <w:rsid w:val="2BCF30F0"/>
    <w:rsid w:val="2BD41206"/>
    <w:rsid w:val="2BD44296"/>
    <w:rsid w:val="2BD57773"/>
    <w:rsid w:val="2BD60BD1"/>
    <w:rsid w:val="2BD64759"/>
    <w:rsid w:val="2BDB258A"/>
    <w:rsid w:val="2BEA4226"/>
    <w:rsid w:val="2BEC167A"/>
    <w:rsid w:val="2BFF2267"/>
    <w:rsid w:val="2C0261A6"/>
    <w:rsid w:val="2C092A93"/>
    <w:rsid w:val="2C0C64E4"/>
    <w:rsid w:val="2C125DFC"/>
    <w:rsid w:val="2C1D44CC"/>
    <w:rsid w:val="2C204AC2"/>
    <w:rsid w:val="2C216417"/>
    <w:rsid w:val="2C296497"/>
    <w:rsid w:val="2C32741A"/>
    <w:rsid w:val="2C3A79D3"/>
    <w:rsid w:val="2C3F269E"/>
    <w:rsid w:val="2C407C6C"/>
    <w:rsid w:val="2C4170CD"/>
    <w:rsid w:val="2C424ECF"/>
    <w:rsid w:val="2C53091D"/>
    <w:rsid w:val="2C600F77"/>
    <w:rsid w:val="2C6A4649"/>
    <w:rsid w:val="2C7077B6"/>
    <w:rsid w:val="2C7358D9"/>
    <w:rsid w:val="2C75153D"/>
    <w:rsid w:val="2C8A4E2C"/>
    <w:rsid w:val="2C9368EA"/>
    <w:rsid w:val="2C9622DD"/>
    <w:rsid w:val="2C971D86"/>
    <w:rsid w:val="2C9833B9"/>
    <w:rsid w:val="2C9C090E"/>
    <w:rsid w:val="2C9D585F"/>
    <w:rsid w:val="2CA10581"/>
    <w:rsid w:val="2CA13BB5"/>
    <w:rsid w:val="2CA20A1F"/>
    <w:rsid w:val="2CA74B9E"/>
    <w:rsid w:val="2CA8128D"/>
    <w:rsid w:val="2CB73B1A"/>
    <w:rsid w:val="2CB902A3"/>
    <w:rsid w:val="2CBA43E0"/>
    <w:rsid w:val="2CBC3E6E"/>
    <w:rsid w:val="2CC035BE"/>
    <w:rsid w:val="2CC176C2"/>
    <w:rsid w:val="2CC5768B"/>
    <w:rsid w:val="2CC86C6D"/>
    <w:rsid w:val="2CD27B37"/>
    <w:rsid w:val="2CE0188C"/>
    <w:rsid w:val="2CE05C1D"/>
    <w:rsid w:val="2CE35774"/>
    <w:rsid w:val="2CE81AAE"/>
    <w:rsid w:val="2CE93C83"/>
    <w:rsid w:val="2CEC632B"/>
    <w:rsid w:val="2CFB60A5"/>
    <w:rsid w:val="2D02233E"/>
    <w:rsid w:val="2D18778F"/>
    <w:rsid w:val="2D1C0E34"/>
    <w:rsid w:val="2D1D4506"/>
    <w:rsid w:val="2D2176DC"/>
    <w:rsid w:val="2D2642DD"/>
    <w:rsid w:val="2D30371F"/>
    <w:rsid w:val="2D3D34CD"/>
    <w:rsid w:val="2D436EEB"/>
    <w:rsid w:val="2D457CF5"/>
    <w:rsid w:val="2D4F3F2D"/>
    <w:rsid w:val="2D582E2A"/>
    <w:rsid w:val="2D611C47"/>
    <w:rsid w:val="2D6A33D8"/>
    <w:rsid w:val="2D6D4F8A"/>
    <w:rsid w:val="2D6E2A3E"/>
    <w:rsid w:val="2D6E2C94"/>
    <w:rsid w:val="2D6F258E"/>
    <w:rsid w:val="2D704CAB"/>
    <w:rsid w:val="2D7517F5"/>
    <w:rsid w:val="2D7A621F"/>
    <w:rsid w:val="2D7B3681"/>
    <w:rsid w:val="2D7E16E3"/>
    <w:rsid w:val="2D8251A3"/>
    <w:rsid w:val="2D846603"/>
    <w:rsid w:val="2D8D2FD2"/>
    <w:rsid w:val="2D8D7DD2"/>
    <w:rsid w:val="2D8D7DE4"/>
    <w:rsid w:val="2D942475"/>
    <w:rsid w:val="2D95522D"/>
    <w:rsid w:val="2D9810CE"/>
    <w:rsid w:val="2D9924F3"/>
    <w:rsid w:val="2D9A3742"/>
    <w:rsid w:val="2DA8032A"/>
    <w:rsid w:val="2DA92C79"/>
    <w:rsid w:val="2DAD740E"/>
    <w:rsid w:val="2DB35253"/>
    <w:rsid w:val="2DB53D1A"/>
    <w:rsid w:val="2DC17FE9"/>
    <w:rsid w:val="2DC26073"/>
    <w:rsid w:val="2DCE2D65"/>
    <w:rsid w:val="2DD16D76"/>
    <w:rsid w:val="2DD4344A"/>
    <w:rsid w:val="2DD50223"/>
    <w:rsid w:val="2DD546F0"/>
    <w:rsid w:val="2DD81171"/>
    <w:rsid w:val="2DEA5A9B"/>
    <w:rsid w:val="2DEE74E7"/>
    <w:rsid w:val="2DF25093"/>
    <w:rsid w:val="2DF37DF3"/>
    <w:rsid w:val="2DF64B18"/>
    <w:rsid w:val="2DF8413F"/>
    <w:rsid w:val="2DFD70FB"/>
    <w:rsid w:val="2E0357BE"/>
    <w:rsid w:val="2E0A7E07"/>
    <w:rsid w:val="2E0D45F0"/>
    <w:rsid w:val="2E0D4ED4"/>
    <w:rsid w:val="2E1A5414"/>
    <w:rsid w:val="2E1F5563"/>
    <w:rsid w:val="2E230D99"/>
    <w:rsid w:val="2E241682"/>
    <w:rsid w:val="2E335778"/>
    <w:rsid w:val="2E437FFD"/>
    <w:rsid w:val="2E487BF9"/>
    <w:rsid w:val="2E4B1639"/>
    <w:rsid w:val="2E4B5CA0"/>
    <w:rsid w:val="2E530B66"/>
    <w:rsid w:val="2E5F26A0"/>
    <w:rsid w:val="2E67618B"/>
    <w:rsid w:val="2E724FD1"/>
    <w:rsid w:val="2E751DF2"/>
    <w:rsid w:val="2E797224"/>
    <w:rsid w:val="2E7A43DB"/>
    <w:rsid w:val="2E7D1AA2"/>
    <w:rsid w:val="2E884D69"/>
    <w:rsid w:val="2E8C1561"/>
    <w:rsid w:val="2E8C5299"/>
    <w:rsid w:val="2E9825EB"/>
    <w:rsid w:val="2E990B2D"/>
    <w:rsid w:val="2E9B02FB"/>
    <w:rsid w:val="2E9F44BB"/>
    <w:rsid w:val="2EA04261"/>
    <w:rsid w:val="2EA05286"/>
    <w:rsid w:val="2EA21A2E"/>
    <w:rsid w:val="2EA35DD1"/>
    <w:rsid w:val="2EAB04C6"/>
    <w:rsid w:val="2EB43613"/>
    <w:rsid w:val="2EB4754A"/>
    <w:rsid w:val="2EB7097F"/>
    <w:rsid w:val="2EB77C87"/>
    <w:rsid w:val="2EB961D0"/>
    <w:rsid w:val="2EC060FC"/>
    <w:rsid w:val="2EC55E8F"/>
    <w:rsid w:val="2EC63F27"/>
    <w:rsid w:val="2ED57B02"/>
    <w:rsid w:val="2EDC7563"/>
    <w:rsid w:val="2EDE08A2"/>
    <w:rsid w:val="2EE66E52"/>
    <w:rsid w:val="2EF575DD"/>
    <w:rsid w:val="2EF74FCB"/>
    <w:rsid w:val="2EF97527"/>
    <w:rsid w:val="2EFC1FBF"/>
    <w:rsid w:val="2F082F05"/>
    <w:rsid w:val="2F0A6092"/>
    <w:rsid w:val="2F137A15"/>
    <w:rsid w:val="2F173ECE"/>
    <w:rsid w:val="2F183E45"/>
    <w:rsid w:val="2F207DBF"/>
    <w:rsid w:val="2F290A1A"/>
    <w:rsid w:val="2F2B0248"/>
    <w:rsid w:val="2F2C15FD"/>
    <w:rsid w:val="2F2C461C"/>
    <w:rsid w:val="2F2C62D1"/>
    <w:rsid w:val="2F353C90"/>
    <w:rsid w:val="2F3E1E86"/>
    <w:rsid w:val="2F3E766D"/>
    <w:rsid w:val="2F3F6A7C"/>
    <w:rsid w:val="2F482128"/>
    <w:rsid w:val="2F583576"/>
    <w:rsid w:val="2F5963E3"/>
    <w:rsid w:val="2F623CD7"/>
    <w:rsid w:val="2F633092"/>
    <w:rsid w:val="2F697663"/>
    <w:rsid w:val="2F6E3F63"/>
    <w:rsid w:val="2F6F6C79"/>
    <w:rsid w:val="2F71356F"/>
    <w:rsid w:val="2F734281"/>
    <w:rsid w:val="2F7E38A6"/>
    <w:rsid w:val="2F822199"/>
    <w:rsid w:val="2F8438F7"/>
    <w:rsid w:val="2F916547"/>
    <w:rsid w:val="2F9C71E6"/>
    <w:rsid w:val="2FAE4FF9"/>
    <w:rsid w:val="2FB045B4"/>
    <w:rsid w:val="2FB162B8"/>
    <w:rsid w:val="2FB553E2"/>
    <w:rsid w:val="2FBB564B"/>
    <w:rsid w:val="2FBD122E"/>
    <w:rsid w:val="2FBE0595"/>
    <w:rsid w:val="2FC16DB7"/>
    <w:rsid w:val="2FC274CC"/>
    <w:rsid w:val="2FC96004"/>
    <w:rsid w:val="2FD16DD9"/>
    <w:rsid w:val="2FD538B8"/>
    <w:rsid w:val="2FEA3302"/>
    <w:rsid w:val="2FF33761"/>
    <w:rsid w:val="2FF73E67"/>
    <w:rsid w:val="2FFD0FFD"/>
    <w:rsid w:val="300368B8"/>
    <w:rsid w:val="30056651"/>
    <w:rsid w:val="301D542F"/>
    <w:rsid w:val="30281822"/>
    <w:rsid w:val="30287F8A"/>
    <w:rsid w:val="302B577D"/>
    <w:rsid w:val="30310CF7"/>
    <w:rsid w:val="30461D3C"/>
    <w:rsid w:val="304A4AE3"/>
    <w:rsid w:val="304D0444"/>
    <w:rsid w:val="304D2498"/>
    <w:rsid w:val="304E3DAF"/>
    <w:rsid w:val="30563D07"/>
    <w:rsid w:val="30603661"/>
    <w:rsid w:val="306359A3"/>
    <w:rsid w:val="306A7D3C"/>
    <w:rsid w:val="307103A9"/>
    <w:rsid w:val="30731E41"/>
    <w:rsid w:val="307447F6"/>
    <w:rsid w:val="307944E0"/>
    <w:rsid w:val="307B04ED"/>
    <w:rsid w:val="307F4253"/>
    <w:rsid w:val="30824AE4"/>
    <w:rsid w:val="3087418B"/>
    <w:rsid w:val="308E1E29"/>
    <w:rsid w:val="308E65CB"/>
    <w:rsid w:val="30917A9B"/>
    <w:rsid w:val="30930955"/>
    <w:rsid w:val="30937738"/>
    <w:rsid w:val="3095170F"/>
    <w:rsid w:val="309940BA"/>
    <w:rsid w:val="30A2534D"/>
    <w:rsid w:val="30A37A25"/>
    <w:rsid w:val="30AF69AB"/>
    <w:rsid w:val="30B64C25"/>
    <w:rsid w:val="30BA62B6"/>
    <w:rsid w:val="30C02B8C"/>
    <w:rsid w:val="30C41A6E"/>
    <w:rsid w:val="30C6739F"/>
    <w:rsid w:val="30D84F5C"/>
    <w:rsid w:val="30DC4BD6"/>
    <w:rsid w:val="30DE7E00"/>
    <w:rsid w:val="30DF1FC9"/>
    <w:rsid w:val="30E509B6"/>
    <w:rsid w:val="30E87E58"/>
    <w:rsid w:val="30EB3994"/>
    <w:rsid w:val="30F04BD6"/>
    <w:rsid w:val="30F2771A"/>
    <w:rsid w:val="30F66F6F"/>
    <w:rsid w:val="310103AC"/>
    <w:rsid w:val="31025E7B"/>
    <w:rsid w:val="31026767"/>
    <w:rsid w:val="31035DBC"/>
    <w:rsid w:val="310A66A3"/>
    <w:rsid w:val="310F3CB6"/>
    <w:rsid w:val="3111657C"/>
    <w:rsid w:val="311F4A1D"/>
    <w:rsid w:val="312475D3"/>
    <w:rsid w:val="31253BA5"/>
    <w:rsid w:val="3126210B"/>
    <w:rsid w:val="312961E7"/>
    <w:rsid w:val="312A5EFE"/>
    <w:rsid w:val="312A638B"/>
    <w:rsid w:val="312D0651"/>
    <w:rsid w:val="31335697"/>
    <w:rsid w:val="31396B34"/>
    <w:rsid w:val="31400824"/>
    <w:rsid w:val="31465EC3"/>
    <w:rsid w:val="3147499A"/>
    <w:rsid w:val="3147548C"/>
    <w:rsid w:val="314F5C05"/>
    <w:rsid w:val="315D73BA"/>
    <w:rsid w:val="316337A4"/>
    <w:rsid w:val="31650B15"/>
    <w:rsid w:val="31657475"/>
    <w:rsid w:val="31692F62"/>
    <w:rsid w:val="316C7E94"/>
    <w:rsid w:val="316E46A1"/>
    <w:rsid w:val="31713A25"/>
    <w:rsid w:val="317B638F"/>
    <w:rsid w:val="31844348"/>
    <w:rsid w:val="31873D5E"/>
    <w:rsid w:val="31881AA2"/>
    <w:rsid w:val="318821E9"/>
    <w:rsid w:val="31885F90"/>
    <w:rsid w:val="318B4D8B"/>
    <w:rsid w:val="31A41393"/>
    <w:rsid w:val="31A57F81"/>
    <w:rsid w:val="31A86B8F"/>
    <w:rsid w:val="31AA671D"/>
    <w:rsid w:val="31AC4198"/>
    <w:rsid w:val="31B41B4E"/>
    <w:rsid w:val="31B55448"/>
    <w:rsid w:val="31C0094C"/>
    <w:rsid w:val="31C649A9"/>
    <w:rsid w:val="31CA235E"/>
    <w:rsid w:val="31CB7FC7"/>
    <w:rsid w:val="31CE18A9"/>
    <w:rsid w:val="31CF4261"/>
    <w:rsid w:val="31D360D7"/>
    <w:rsid w:val="31D84D84"/>
    <w:rsid w:val="31DE539E"/>
    <w:rsid w:val="31E048FE"/>
    <w:rsid w:val="31E85086"/>
    <w:rsid w:val="31E915E6"/>
    <w:rsid w:val="31F332D2"/>
    <w:rsid w:val="32017B40"/>
    <w:rsid w:val="32025955"/>
    <w:rsid w:val="32116CE4"/>
    <w:rsid w:val="32120EA2"/>
    <w:rsid w:val="32123B7A"/>
    <w:rsid w:val="321751E5"/>
    <w:rsid w:val="321861CB"/>
    <w:rsid w:val="321A5178"/>
    <w:rsid w:val="32257D09"/>
    <w:rsid w:val="32266CF6"/>
    <w:rsid w:val="32287E99"/>
    <w:rsid w:val="322B1F75"/>
    <w:rsid w:val="32376DE9"/>
    <w:rsid w:val="32376FFB"/>
    <w:rsid w:val="323A3B5C"/>
    <w:rsid w:val="323D3019"/>
    <w:rsid w:val="3243307F"/>
    <w:rsid w:val="3244674E"/>
    <w:rsid w:val="32450968"/>
    <w:rsid w:val="324512CC"/>
    <w:rsid w:val="324860ED"/>
    <w:rsid w:val="324D24F8"/>
    <w:rsid w:val="325E7A37"/>
    <w:rsid w:val="32605735"/>
    <w:rsid w:val="326C7AFA"/>
    <w:rsid w:val="32700291"/>
    <w:rsid w:val="32756594"/>
    <w:rsid w:val="32784CA3"/>
    <w:rsid w:val="327B0A94"/>
    <w:rsid w:val="3285484B"/>
    <w:rsid w:val="328B56E0"/>
    <w:rsid w:val="328C6A65"/>
    <w:rsid w:val="329041F9"/>
    <w:rsid w:val="32922FD7"/>
    <w:rsid w:val="32933F70"/>
    <w:rsid w:val="32970DAF"/>
    <w:rsid w:val="32B27B7D"/>
    <w:rsid w:val="32B37D53"/>
    <w:rsid w:val="32B47213"/>
    <w:rsid w:val="32B67D8C"/>
    <w:rsid w:val="32BD342B"/>
    <w:rsid w:val="32BF0BF9"/>
    <w:rsid w:val="32BF5DF2"/>
    <w:rsid w:val="32C157F1"/>
    <w:rsid w:val="32C44AF7"/>
    <w:rsid w:val="32D72999"/>
    <w:rsid w:val="32DD2FD6"/>
    <w:rsid w:val="32DE7DAA"/>
    <w:rsid w:val="32E17D3A"/>
    <w:rsid w:val="32E73FA1"/>
    <w:rsid w:val="32E95112"/>
    <w:rsid w:val="32EA17B6"/>
    <w:rsid w:val="32EF2C1C"/>
    <w:rsid w:val="32F64BF5"/>
    <w:rsid w:val="32FC080A"/>
    <w:rsid w:val="32FC69EA"/>
    <w:rsid w:val="32FD60F2"/>
    <w:rsid w:val="32FF0E26"/>
    <w:rsid w:val="32FF2305"/>
    <w:rsid w:val="330207A3"/>
    <w:rsid w:val="3304081A"/>
    <w:rsid w:val="330667A7"/>
    <w:rsid w:val="33133099"/>
    <w:rsid w:val="33154F80"/>
    <w:rsid w:val="331F2B1D"/>
    <w:rsid w:val="331F4060"/>
    <w:rsid w:val="33245B54"/>
    <w:rsid w:val="3337245F"/>
    <w:rsid w:val="3339678C"/>
    <w:rsid w:val="33406AEE"/>
    <w:rsid w:val="33410C9D"/>
    <w:rsid w:val="334235D9"/>
    <w:rsid w:val="33523EA7"/>
    <w:rsid w:val="3355651B"/>
    <w:rsid w:val="335B244B"/>
    <w:rsid w:val="336265C9"/>
    <w:rsid w:val="336A752D"/>
    <w:rsid w:val="33705109"/>
    <w:rsid w:val="33712302"/>
    <w:rsid w:val="337202B8"/>
    <w:rsid w:val="33726127"/>
    <w:rsid w:val="33771B49"/>
    <w:rsid w:val="33825C49"/>
    <w:rsid w:val="33851BF3"/>
    <w:rsid w:val="338B2C77"/>
    <w:rsid w:val="33904F3C"/>
    <w:rsid w:val="33947856"/>
    <w:rsid w:val="339859F4"/>
    <w:rsid w:val="33991775"/>
    <w:rsid w:val="339E6AA5"/>
    <w:rsid w:val="33A1408D"/>
    <w:rsid w:val="33A7394A"/>
    <w:rsid w:val="33BA6DAB"/>
    <w:rsid w:val="33BB3797"/>
    <w:rsid w:val="33BF0C11"/>
    <w:rsid w:val="33C52ABC"/>
    <w:rsid w:val="33CA06A0"/>
    <w:rsid w:val="33E829D4"/>
    <w:rsid w:val="33EE099C"/>
    <w:rsid w:val="33F27063"/>
    <w:rsid w:val="34071C14"/>
    <w:rsid w:val="340F0E6C"/>
    <w:rsid w:val="34143F82"/>
    <w:rsid w:val="34157554"/>
    <w:rsid w:val="34166A3B"/>
    <w:rsid w:val="341E495A"/>
    <w:rsid w:val="34234FE8"/>
    <w:rsid w:val="342703B9"/>
    <w:rsid w:val="342A39F3"/>
    <w:rsid w:val="342E1F94"/>
    <w:rsid w:val="342F176C"/>
    <w:rsid w:val="34324EBA"/>
    <w:rsid w:val="34370BEE"/>
    <w:rsid w:val="343D7FBE"/>
    <w:rsid w:val="3440706E"/>
    <w:rsid w:val="34487ABB"/>
    <w:rsid w:val="344B0713"/>
    <w:rsid w:val="345B3B88"/>
    <w:rsid w:val="346526F9"/>
    <w:rsid w:val="346575D4"/>
    <w:rsid w:val="34661314"/>
    <w:rsid w:val="34666401"/>
    <w:rsid w:val="34703684"/>
    <w:rsid w:val="34765AFD"/>
    <w:rsid w:val="347A215A"/>
    <w:rsid w:val="347A63C7"/>
    <w:rsid w:val="347E2016"/>
    <w:rsid w:val="348C3914"/>
    <w:rsid w:val="348E62EB"/>
    <w:rsid w:val="349044E5"/>
    <w:rsid w:val="34920BD2"/>
    <w:rsid w:val="349833B9"/>
    <w:rsid w:val="349843E6"/>
    <w:rsid w:val="349B65DA"/>
    <w:rsid w:val="349C11FB"/>
    <w:rsid w:val="34A05180"/>
    <w:rsid w:val="34A50560"/>
    <w:rsid w:val="34A72315"/>
    <w:rsid w:val="34A76222"/>
    <w:rsid w:val="34AF3A4C"/>
    <w:rsid w:val="34B4045E"/>
    <w:rsid w:val="34B477A2"/>
    <w:rsid w:val="34BB1DA7"/>
    <w:rsid w:val="34C33186"/>
    <w:rsid w:val="34C5664E"/>
    <w:rsid w:val="34C60556"/>
    <w:rsid w:val="34C66DE1"/>
    <w:rsid w:val="34CA51D8"/>
    <w:rsid w:val="34D82996"/>
    <w:rsid w:val="34E157DF"/>
    <w:rsid w:val="34E319B5"/>
    <w:rsid w:val="34EB52CF"/>
    <w:rsid w:val="34F72982"/>
    <w:rsid w:val="35052E5A"/>
    <w:rsid w:val="350539CE"/>
    <w:rsid w:val="350937A0"/>
    <w:rsid w:val="35152C10"/>
    <w:rsid w:val="35174818"/>
    <w:rsid w:val="35182215"/>
    <w:rsid w:val="351B60C1"/>
    <w:rsid w:val="351B6399"/>
    <w:rsid w:val="35292322"/>
    <w:rsid w:val="352E6DCD"/>
    <w:rsid w:val="35311FD5"/>
    <w:rsid w:val="3533584E"/>
    <w:rsid w:val="353540CD"/>
    <w:rsid w:val="353E1DE5"/>
    <w:rsid w:val="353F3676"/>
    <w:rsid w:val="35425BE4"/>
    <w:rsid w:val="3543437C"/>
    <w:rsid w:val="35457908"/>
    <w:rsid w:val="35471BA1"/>
    <w:rsid w:val="354D2AAA"/>
    <w:rsid w:val="354D4E93"/>
    <w:rsid w:val="3559235C"/>
    <w:rsid w:val="355B2AD6"/>
    <w:rsid w:val="355E0D20"/>
    <w:rsid w:val="35621298"/>
    <w:rsid w:val="356532E7"/>
    <w:rsid w:val="356D3B80"/>
    <w:rsid w:val="357D28A5"/>
    <w:rsid w:val="357E5620"/>
    <w:rsid w:val="35813D37"/>
    <w:rsid w:val="35817907"/>
    <w:rsid w:val="35825908"/>
    <w:rsid w:val="358F6D54"/>
    <w:rsid w:val="3592738C"/>
    <w:rsid w:val="3598725E"/>
    <w:rsid w:val="359979C1"/>
    <w:rsid w:val="359F691B"/>
    <w:rsid w:val="35A85B74"/>
    <w:rsid w:val="35B46047"/>
    <w:rsid w:val="35BA3206"/>
    <w:rsid w:val="35C737A2"/>
    <w:rsid w:val="35CD118E"/>
    <w:rsid w:val="35D72B1B"/>
    <w:rsid w:val="35E1422A"/>
    <w:rsid w:val="35E82CCA"/>
    <w:rsid w:val="35E94278"/>
    <w:rsid w:val="35EB2475"/>
    <w:rsid w:val="35ED15D8"/>
    <w:rsid w:val="35F253D6"/>
    <w:rsid w:val="36097F16"/>
    <w:rsid w:val="360C27FC"/>
    <w:rsid w:val="36222A1B"/>
    <w:rsid w:val="362418C3"/>
    <w:rsid w:val="363028AC"/>
    <w:rsid w:val="363600F7"/>
    <w:rsid w:val="36396621"/>
    <w:rsid w:val="363B4CE0"/>
    <w:rsid w:val="3641568A"/>
    <w:rsid w:val="36443F40"/>
    <w:rsid w:val="36484DD5"/>
    <w:rsid w:val="36490095"/>
    <w:rsid w:val="365612FF"/>
    <w:rsid w:val="365E711B"/>
    <w:rsid w:val="366A2478"/>
    <w:rsid w:val="366D0132"/>
    <w:rsid w:val="366E0859"/>
    <w:rsid w:val="36704397"/>
    <w:rsid w:val="36721BC6"/>
    <w:rsid w:val="367857DF"/>
    <w:rsid w:val="367D3756"/>
    <w:rsid w:val="368A3831"/>
    <w:rsid w:val="36933DCE"/>
    <w:rsid w:val="36A72B98"/>
    <w:rsid w:val="36A871B1"/>
    <w:rsid w:val="36A93FF3"/>
    <w:rsid w:val="36B42485"/>
    <w:rsid w:val="36B54261"/>
    <w:rsid w:val="36B67FC4"/>
    <w:rsid w:val="36B7786D"/>
    <w:rsid w:val="36B93C0A"/>
    <w:rsid w:val="36B93E5D"/>
    <w:rsid w:val="36CD037D"/>
    <w:rsid w:val="36CE012C"/>
    <w:rsid w:val="36DB1057"/>
    <w:rsid w:val="36DB6FD7"/>
    <w:rsid w:val="36DE2EAD"/>
    <w:rsid w:val="36E913D2"/>
    <w:rsid w:val="36EB04DB"/>
    <w:rsid w:val="36EC07B6"/>
    <w:rsid w:val="36FA256B"/>
    <w:rsid w:val="36FB7288"/>
    <w:rsid w:val="36FC599C"/>
    <w:rsid w:val="37081C9A"/>
    <w:rsid w:val="37092B64"/>
    <w:rsid w:val="370B35B0"/>
    <w:rsid w:val="37114E8A"/>
    <w:rsid w:val="37146F89"/>
    <w:rsid w:val="3716692D"/>
    <w:rsid w:val="371751C6"/>
    <w:rsid w:val="37197566"/>
    <w:rsid w:val="371A481C"/>
    <w:rsid w:val="37236820"/>
    <w:rsid w:val="372442DC"/>
    <w:rsid w:val="372E39C7"/>
    <w:rsid w:val="372E465A"/>
    <w:rsid w:val="37382537"/>
    <w:rsid w:val="37413CBB"/>
    <w:rsid w:val="37430055"/>
    <w:rsid w:val="3750765A"/>
    <w:rsid w:val="375246AE"/>
    <w:rsid w:val="37623834"/>
    <w:rsid w:val="37674BAF"/>
    <w:rsid w:val="376D31BE"/>
    <w:rsid w:val="37731700"/>
    <w:rsid w:val="37796A29"/>
    <w:rsid w:val="377A2FD1"/>
    <w:rsid w:val="378722CF"/>
    <w:rsid w:val="37946F1E"/>
    <w:rsid w:val="37972405"/>
    <w:rsid w:val="37A63FC9"/>
    <w:rsid w:val="37A7404F"/>
    <w:rsid w:val="37AA0AA6"/>
    <w:rsid w:val="37AB63D8"/>
    <w:rsid w:val="37BB71C5"/>
    <w:rsid w:val="37C969DF"/>
    <w:rsid w:val="37CE6D63"/>
    <w:rsid w:val="37D00E5F"/>
    <w:rsid w:val="37D41C80"/>
    <w:rsid w:val="37D83379"/>
    <w:rsid w:val="37F1004D"/>
    <w:rsid w:val="37F610A9"/>
    <w:rsid w:val="37F8391D"/>
    <w:rsid w:val="37FC0618"/>
    <w:rsid w:val="37FC6A45"/>
    <w:rsid w:val="38013CBF"/>
    <w:rsid w:val="3803076B"/>
    <w:rsid w:val="380351FC"/>
    <w:rsid w:val="38086747"/>
    <w:rsid w:val="380A6FAC"/>
    <w:rsid w:val="380D645B"/>
    <w:rsid w:val="380F0055"/>
    <w:rsid w:val="381048BF"/>
    <w:rsid w:val="38143A3F"/>
    <w:rsid w:val="381514BF"/>
    <w:rsid w:val="3817082D"/>
    <w:rsid w:val="381814C7"/>
    <w:rsid w:val="38201025"/>
    <w:rsid w:val="38230B58"/>
    <w:rsid w:val="3829714F"/>
    <w:rsid w:val="382A6C52"/>
    <w:rsid w:val="383345CB"/>
    <w:rsid w:val="38356BF8"/>
    <w:rsid w:val="384B717D"/>
    <w:rsid w:val="384D47BA"/>
    <w:rsid w:val="385744D7"/>
    <w:rsid w:val="385C39E0"/>
    <w:rsid w:val="385C4402"/>
    <w:rsid w:val="385D4EFC"/>
    <w:rsid w:val="3864117E"/>
    <w:rsid w:val="387068FD"/>
    <w:rsid w:val="38770CD9"/>
    <w:rsid w:val="387B06B1"/>
    <w:rsid w:val="388915E4"/>
    <w:rsid w:val="38917D99"/>
    <w:rsid w:val="3892358D"/>
    <w:rsid w:val="38937A98"/>
    <w:rsid w:val="38946D9D"/>
    <w:rsid w:val="38957469"/>
    <w:rsid w:val="389746B2"/>
    <w:rsid w:val="389F4126"/>
    <w:rsid w:val="38A25348"/>
    <w:rsid w:val="38A86593"/>
    <w:rsid w:val="38AE477B"/>
    <w:rsid w:val="38B54764"/>
    <w:rsid w:val="38BE344B"/>
    <w:rsid w:val="38CB4881"/>
    <w:rsid w:val="38EA37CF"/>
    <w:rsid w:val="38F16824"/>
    <w:rsid w:val="38F3347A"/>
    <w:rsid w:val="38FA5F28"/>
    <w:rsid w:val="390E1FDB"/>
    <w:rsid w:val="391856C6"/>
    <w:rsid w:val="391E0BE4"/>
    <w:rsid w:val="3923166A"/>
    <w:rsid w:val="39261AF9"/>
    <w:rsid w:val="392745E2"/>
    <w:rsid w:val="392C4DA2"/>
    <w:rsid w:val="392D1312"/>
    <w:rsid w:val="3933346A"/>
    <w:rsid w:val="39372FDA"/>
    <w:rsid w:val="393F316E"/>
    <w:rsid w:val="39450D00"/>
    <w:rsid w:val="39545758"/>
    <w:rsid w:val="39575F7A"/>
    <w:rsid w:val="395C2867"/>
    <w:rsid w:val="395F5EE2"/>
    <w:rsid w:val="39680555"/>
    <w:rsid w:val="396D32D7"/>
    <w:rsid w:val="396E15FA"/>
    <w:rsid w:val="39717A15"/>
    <w:rsid w:val="39730417"/>
    <w:rsid w:val="39741792"/>
    <w:rsid w:val="39775926"/>
    <w:rsid w:val="397A5E35"/>
    <w:rsid w:val="397D1396"/>
    <w:rsid w:val="3981746A"/>
    <w:rsid w:val="39850838"/>
    <w:rsid w:val="39917E76"/>
    <w:rsid w:val="39931208"/>
    <w:rsid w:val="39977CA8"/>
    <w:rsid w:val="39A32391"/>
    <w:rsid w:val="39A85BAD"/>
    <w:rsid w:val="39A95B31"/>
    <w:rsid w:val="39B53EA1"/>
    <w:rsid w:val="39BB4796"/>
    <w:rsid w:val="39C00F05"/>
    <w:rsid w:val="39C25395"/>
    <w:rsid w:val="39CF60D1"/>
    <w:rsid w:val="39D47D57"/>
    <w:rsid w:val="39D82208"/>
    <w:rsid w:val="39DF61A1"/>
    <w:rsid w:val="39E46B44"/>
    <w:rsid w:val="39F1730F"/>
    <w:rsid w:val="39F40C6A"/>
    <w:rsid w:val="39F67238"/>
    <w:rsid w:val="39FC3142"/>
    <w:rsid w:val="39FE0D49"/>
    <w:rsid w:val="39FF5F00"/>
    <w:rsid w:val="39FF78E9"/>
    <w:rsid w:val="3A0049E4"/>
    <w:rsid w:val="3A0143B6"/>
    <w:rsid w:val="3A0A2032"/>
    <w:rsid w:val="3A0E17C4"/>
    <w:rsid w:val="3A13646F"/>
    <w:rsid w:val="3A1A06CD"/>
    <w:rsid w:val="3A1F4E17"/>
    <w:rsid w:val="3A214BDA"/>
    <w:rsid w:val="3A23096C"/>
    <w:rsid w:val="3A250311"/>
    <w:rsid w:val="3A276787"/>
    <w:rsid w:val="3A2914BC"/>
    <w:rsid w:val="3A293886"/>
    <w:rsid w:val="3A2D4D06"/>
    <w:rsid w:val="3A3342CA"/>
    <w:rsid w:val="3A376046"/>
    <w:rsid w:val="3A3A7E56"/>
    <w:rsid w:val="3A4D662F"/>
    <w:rsid w:val="3A5122A5"/>
    <w:rsid w:val="3A5B1E6D"/>
    <w:rsid w:val="3A5C2C1D"/>
    <w:rsid w:val="3A5D625B"/>
    <w:rsid w:val="3A680049"/>
    <w:rsid w:val="3A6E5BD9"/>
    <w:rsid w:val="3A6F3E73"/>
    <w:rsid w:val="3A6F596E"/>
    <w:rsid w:val="3A793C26"/>
    <w:rsid w:val="3A7D3E27"/>
    <w:rsid w:val="3A8268AE"/>
    <w:rsid w:val="3A8337E1"/>
    <w:rsid w:val="3A917CA0"/>
    <w:rsid w:val="3A97324F"/>
    <w:rsid w:val="3A9A0367"/>
    <w:rsid w:val="3A9C27B1"/>
    <w:rsid w:val="3AA05A9B"/>
    <w:rsid w:val="3AA62EC7"/>
    <w:rsid w:val="3AAA71F2"/>
    <w:rsid w:val="3AAD4DCC"/>
    <w:rsid w:val="3AB705DC"/>
    <w:rsid w:val="3AB7641D"/>
    <w:rsid w:val="3ABA1C58"/>
    <w:rsid w:val="3AC65EDE"/>
    <w:rsid w:val="3ACD36DF"/>
    <w:rsid w:val="3AD42257"/>
    <w:rsid w:val="3AD54094"/>
    <w:rsid w:val="3AD63AE5"/>
    <w:rsid w:val="3AD748F8"/>
    <w:rsid w:val="3AD86CB5"/>
    <w:rsid w:val="3ADC0A6D"/>
    <w:rsid w:val="3ADE2A58"/>
    <w:rsid w:val="3ADF247F"/>
    <w:rsid w:val="3AE10B62"/>
    <w:rsid w:val="3AE67AAF"/>
    <w:rsid w:val="3AE85039"/>
    <w:rsid w:val="3AE929DC"/>
    <w:rsid w:val="3AEF1382"/>
    <w:rsid w:val="3AF23EB4"/>
    <w:rsid w:val="3AF80CD5"/>
    <w:rsid w:val="3B0551A7"/>
    <w:rsid w:val="3B097412"/>
    <w:rsid w:val="3B0B6E12"/>
    <w:rsid w:val="3B180BC8"/>
    <w:rsid w:val="3B1F2E92"/>
    <w:rsid w:val="3B1F5346"/>
    <w:rsid w:val="3B213E5A"/>
    <w:rsid w:val="3B2B1AB8"/>
    <w:rsid w:val="3B350FB0"/>
    <w:rsid w:val="3B3918CD"/>
    <w:rsid w:val="3B39669F"/>
    <w:rsid w:val="3B3A2D8A"/>
    <w:rsid w:val="3B3B4DE6"/>
    <w:rsid w:val="3B3D5762"/>
    <w:rsid w:val="3B450639"/>
    <w:rsid w:val="3B463754"/>
    <w:rsid w:val="3B4B36D4"/>
    <w:rsid w:val="3B4D4ECE"/>
    <w:rsid w:val="3B530269"/>
    <w:rsid w:val="3B537180"/>
    <w:rsid w:val="3B5E1708"/>
    <w:rsid w:val="3B613725"/>
    <w:rsid w:val="3B6254E6"/>
    <w:rsid w:val="3B6271AB"/>
    <w:rsid w:val="3B6F5D77"/>
    <w:rsid w:val="3B761121"/>
    <w:rsid w:val="3B795E9B"/>
    <w:rsid w:val="3B7B0727"/>
    <w:rsid w:val="3B8203A0"/>
    <w:rsid w:val="3B8D222A"/>
    <w:rsid w:val="3B9059E7"/>
    <w:rsid w:val="3B916AEB"/>
    <w:rsid w:val="3B9733D4"/>
    <w:rsid w:val="3B973B3F"/>
    <w:rsid w:val="3B98100A"/>
    <w:rsid w:val="3B9C3902"/>
    <w:rsid w:val="3BA35366"/>
    <w:rsid w:val="3BA45C50"/>
    <w:rsid w:val="3BA71C6A"/>
    <w:rsid w:val="3BB26209"/>
    <w:rsid w:val="3BB4317C"/>
    <w:rsid w:val="3BB6466A"/>
    <w:rsid w:val="3BBB1B7D"/>
    <w:rsid w:val="3BC0191E"/>
    <w:rsid w:val="3BC43318"/>
    <w:rsid w:val="3BC7762E"/>
    <w:rsid w:val="3BCA0329"/>
    <w:rsid w:val="3BCE400B"/>
    <w:rsid w:val="3BD16C5A"/>
    <w:rsid w:val="3BD54856"/>
    <w:rsid w:val="3BD666CE"/>
    <w:rsid w:val="3BDF353E"/>
    <w:rsid w:val="3BE416B1"/>
    <w:rsid w:val="3BEE695B"/>
    <w:rsid w:val="3BF6192B"/>
    <w:rsid w:val="3BF90E04"/>
    <w:rsid w:val="3BFC24B1"/>
    <w:rsid w:val="3C026B7E"/>
    <w:rsid w:val="3C032369"/>
    <w:rsid w:val="3C037D67"/>
    <w:rsid w:val="3C0B37FF"/>
    <w:rsid w:val="3C263A71"/>
    <w:rsid w:val="3C3D1818"/>
    <w:rsid w:val="3C462744"/>
    <w:rsid w:val="3C5061C7"/>
    <w:rsid w:val="3C5364F3"/>
    <w:rsid w:val="3C5B694C"/>
    <w:rsid w:val="3C5E18FC"/>
    <w:rsid w:val="3C5F0E5A"/>
    <w:rsid w:val="3C620954"/>
    <w:rsid w:val="3C635990"/>
    <w:rsid w:val="3C6449EE"/>
    <w:rsid w:val="3C646598"/>
    <w:rsid w:val="3C6E215C"/>
    <w:rsid w:val="3C726B87"/>
    <w:rsid w:val="3C7654FD"/>
    <w:rsid w:val="3C7C233A"/>
    <w:rsid w:val="3C8105DC"/>
    <w:rsid w:val="3C8707F4"/>
    <w:rsid w:val="3C8E6ACF"/>
    <w:rsid w:val="3C8F63E5"/>
    <w:rsid w:val="3C9B0FC1"/>
    <w:rsid w:val="3CAA67F9"/>
    <w:rsid w:val="3CB42C70"/>
    <w:rsid w:val="3CB44305"/>
    <w:rsid w:val="3CBF5CB5"/>
    <w:rsid w:val="3CC12AC6"/>
    <w:rsid w:val="3CD25EFD"/>
    <w:rsid w:val="3CD27DA4"/>
    <w:rsid w:val="3CD8086F"/>
    <w:rsid w:val="3CD84477"/>
    <w:rsid w:val="3CD85019"/>
    <w:rsid w:val="3CDC4BE9"/>
    <w:rsid w:val="3CE33AA5"/>
    <w:rsid w:val="3D03070D"/>
    <w:rsid w:val="3D095557"/>
    <w:rsid w:val="3D096EE5"/>
    <w:rsid w:val="3D0B622A"/>
    <w:rsid w:val="3D2252CB"/>
    <w:rsid w:val="3D2A0D70"/>
    <w:rsid w:val="3D2A6C6D"/>
    <w:rsid w:val="3D2F62CF"/>
    <w:rsid w:val="3D311E8F"/>
    <w:rsid w:val="3D37032A"/>
    <w:rsid w:val="3D384903"/>
    <w:rsid w:val="3D5244C5"/>
    <w:rsid w:val="3D5576F8"/>
    <w:rsid w:val="3D5603A4"/>
    <w:rsid w:val="3D5D7043"/>
    <w:rsid w:val="3D615DFA"/>
    <w:rsid w:val="3D660298"/>
    <w:rsid w:val="3D6A5AFE"/>
    <w:rsid w:val="3D702A9B"/>
    <w:rsid w:val="3D72668D"/>
    <w:rsid w:val="3D794F06"/>
    <w:rsid w:val="3D7B7F3C"/>
    <w:rsid w:val="3D7F6F56"/>
    <w:rsid w:val="3D821D2B"/>
    <w:rsid w:val="3D8335D4"/>
    <w:rsid w:val="3D836E21"/>
    <w:rsid w:val="3D8A0DC9"/>
    <w:rsid w:val="3D9439DA"/>
    <w:rsid w:val="3DA21882"/>
    <w:rsid w:val="3DA5148E"/>
    <w:rsid w:val="3DA72EE8"/>
    <w:rsid w:val="3DB13037"/>
    <w:rsid w:val="3DC502AB"/>
    <w:rsid w:val="3DCB4DF5"/>
    <w:rsid w:val="3DCC6909"/>
    <w:rsid w:val="3DD057F5"/>
    <w:rsid w:val="3DD23404"/>
    <w:rsid w:val="3DD74E98"/>
    <w:rsid w:val="3DDA40AD"/>
    <w:rsid w:val="3DDB46D3"/>
    <w:rsid w:val="3DE247D8"/>
    <w:rsid w:val="3DE93DC5"/>
    <w:rsid w:val="3DE947AE"/>
    <w:rsid w:val="3DEA371D"/>
    <w:rsid w:val="3DEA395B"/>
    <w:rsid w:val="3DEB10E3"/>
    <w:rsid w:val="3DEB33B2"/>
    <w:rsid w:val="3DED3D5D"/>
    <w:rsid w:val="3DEF74C3"/>
    <w:rsid w:val="3DF107B4"/>
    <w:rsid w:val="3DF15503"/>
    <w:rsid w:val="3DF82B27"/>
    <w:rsid w:val="3E0131B1"/>
    <w:rsid w:val="3E075B14"/>
    <w:rsid w:val="3E0C09AF"/>
    <w:rsid w:val="3E1E5F09"/>
    <w:rsid w:val="3E230026"/>
    <w:rsid w:val="3E275A52"/>
    <w:rsid w:val="3E2C0333"/>
    <w:rsid w:val="3E302DD3"/>
    <w:rsid w:val="3E3A425C"/>
    <w:rsid w:val="3E3F7AEF"/>
    <w:rsid w:val="3E452C1B"/>
    <w:rsid w:val="3E495E72"/>
    <w:rsid w:val="3E4A589B"/>
    <w:rsid w:val="3E4D564A"/>
    <w:rsid w:val="3E5211EF"/>
    <w:rsid w:val="3E5A402D"/>
    <w:rsid w:val="3E642967"/>
    <w:rsid w:val="3E64612D"/>
    <w:rsid w:val="3E6713DE"/>
    <w:rsid w:val="3E6A4946"/>
    <w:rsid w:val="3E6B0E94"/>
    <w:rsid w:val="3E6D7B84"/>
    <w:rsid w:val="3E6E592C"/>
    <w:rsid w:val="3E7E1EF3"/>
    <w:rsid w:val="3E8015D5"/>
    <w:rsid w:val="3E8B0DB8"/>
    <w:rsid w:val="3E8C49FF"/>
    <w:rsid w:val="3E95018E"/>
    <w:rsid w:val="3E964160"/>
    <w:rsid w:val="3E964D9B"/>
    <w:rsid w:val="3EA3323E"/>
    <w:rsid w:val="3EA46FF9"/>
    <w:rsid w:val="3EA645CC"/>
    <w:rsid w:val="3EAC39D4"/>
    <w:rsid w:val="3EB307C4"/>
    <w:rsid w:val="3EB770F1"/>
    <w:rsid w:val="3EBB576E"/>
    <w:rsid w:val="3EBF5A51"/>
    <w:rsid w:val="3EC10D3E"/>
    <w:rsid w:val="3EC22DA5"/>
    <w:rsid w:val="3EC35E0E"/>
    <w:rsid w:val="3EC87D64"/>
    <w:rsid w:val="3ECB352A"/>
    <w:rsid w:val="3ECD5D94"/>
    <w:rsid w:val="3ECE445A"/>
    <w:rsid w:val="3ED026C1"/>
    <w:rsid w:val="3ED218A0"/>
    <w:rsid w:val="3ED65D9E"/>
    <w:rsid w:val="3EDF3F5A"/>
    <w:rsid w:val="3EE10C7E"/>
    <w:rsid w:val="3EEB75B0"/>
    <w:rsid w:val="3EEE6BAA"/>
    <w:rsid w:val="3EF44652"/>
    <w:rsid w:val="3EF613C0"/>
    <w:rsid w:val="3EF64A99"/>
    <w:rsid w:val="3EF95268"/>
    <w:rsid w:val="3EFE4A54"/>
    <w:rsid w:val="3F013815"/>
    <w:rsid w:val="3F046A6F"/>
    <w:rsid w:val="3F083199"/>
    <w:rsid w:val="3F0A46E9"/>
    <w:rsid w:val="3F156F7A"/>
    <w:rsid w:val="3F245BC3"/>
    <w:rsid w:val="3F254663"/>
    <w:rsid w:val="3F25471A"/>
    <w:rsid w:val="3F26340F"/>
    <w:rsid w:val="3F26771B"/>
    <w:rsid w:val="3F2E17FC"/>
    <w:rsid w:val="3F315CA5"/>
    <w:rsid w:val="3F34194D"/>
    <w:rsid w:val="3F362635"/>
    <w:rsid w:val="3F4349C6"/>
    <w:rsid w:val="3F496200"/>
    <w:rsid w:val="3F4F19AF"/>
    <w:rsid w:val="3F5A65B9"/>
    <w:rsid w:val="3F5B3ABC"/>
    <w:rsid w:val="3F654EE4"/>
    <w:rsid w:val="3F655CF0"/>
    <w:rsid w:val="3F672747"/>
    <w:rsid w:val="3F6D06DB"/>
    <w:rsid w:val="3F6E3744"/>
    <w:rsid w:val="3F7137D4"/>
    <w:rsid w:val="3F773C6D"/>
    <w:rsid w:val="3F7861D1"/>
    <w:rsid w:val="3F8725BC"/>
    <w:rsid w:val="3F8841BC"/>
    <w:rsid w:val="3F8C0DC1"/>
    <w:rsid w:val="3F9169C1"/>
    <w:rsid w:val="3FA17552"/>
    <w:rsid w:val="3FA77042"/>
    <w:rsid w:val="3FAA09B4"/>
    <w:rsid w:val="3FAA1F65"/>
    <w:rsid w:val="3FAC379D"/>
    <w:rsid w:val="3FBC0878"/>
    <w:rsid w:val="3FBD530E"/>
    <w:rsid w:val="3FCD091D"/>
    <w:rsid w:val="3FD22CEB"/>
    <w:rsid w:val="3FD267B2"/>
    <w:rsid w:val="3FE3743A"/>
    <w:rsid w:val="3FE6358E"/>
    <w:rsid w:val="3FEA4351"/>
    <w:rsid w:val="3FEB25EC"/>
    <w:rsid w:val="3FF354EE"/>
    <w:rsid w:val="3FF46963"/>
    <w:rsid w:val="3FF54B8B"/>
    <w:rsid w:val="3FF74C54"/>
    <w:rsid w:val="3FFB5098"/>
    <w:rsid w:val="3FFB659B"/>
    <w:rsid w:val="3FFC201A"/>
    <w:rsid w:val="3FFC728C"/>
    <w:rsid w:val="3FFF36E0"/>
    <w:rsid w:val="4009185D"/>
    <w:rsid w:val="400A1B69"/>
    <w:rsid w:val="4010048F"/>
    <w:rsid w:val="401550FC"/>
    <w:rsid w:val="401B387A"/>
    <w:rsid w:val="401D7677"/>
    <w:rsid w:val="402C4147"/>
    <w:rsid w:val="402E64F6"/>
    <w:rsid w:val="40425E53"/>
    <w:rsid w:val="404B7F98"/>
    <w:rsid w:val="404F0D71"/>
    <w:rsid w:val="405C60C7"/>
    <w:rsid w:val="4064526D"/>
    <w:rsid w:val="40711817"/>
    <w:rsid w:val="40852331"/>
    <w:rsid w:val="40857C15"/>
    <w:rsid w:val="408858A3"/>
    <w:rsid w:val="408D3F35"/>
    <w:rsid w:val="408E5F96"/>
    <w:rsid w:val="40945D23"/>
    <w:rsid w:val="40947236"/>
    <w:rsid w:val="40951880"/>
    <w:rsid w:val="40953B71"/>
    <w:rsid w:val="409B1C4D"/>
    <w:rsid w:val="409C5FA4"/>
    <w:rsid w:val="409E5E65"/>
    <w:rsid w:val="40A77203"/>
    <w:rsid w:val="40AB162F"/>
    <w:rsid w:val="40B536F2"/>
    <w:rsid w:val="40BA653B"/>
    <w:rsid w:val="40BA680B"/>
    <w:rsid w:val="40C54AFC"/>
    <w:rsid w:val="40C71613"/>
    <w:rsid w:val="40CC28AB"/>
    <w:rsid w:val="40CD323A"/>
    <w:rsid w:val="40D07877"/>
    <w:rsid w:val="40D3441B"/>
    <w:rsid w:val="40D92041"/>
    <w:rsid w:val="40DC4586"/>
    <w:rsid w:val="40DC542A"/>
    <w:rsid w:val="40E3185A"/>
    <w:rsid w:val="40E37809"/>
    <w:rsid w:val="40E61D20"/>
    <w:rsid w:val="40E84BC5"/>
    <w:rsid w:val="40F62B04"/>
    <w:rsid w:val="40F80976"/>
    <w:rsid w:val="40FC7F91"/>
    <w:rsid w:val="4101056F"/>
    <w:rsid w:val="410325A4"/>
    <w:rsid w:val="411B2ABE"/>
    <w:rsid w:val="41352229"/>
    <w:rsid w:val="41361C7D"/>
    <w:rsid w:val="41386614"/>
    <w:rsid w:val="413A4789"/>
    <w:rsid w:val="414175C0"/>
    <w:rsid w:val="414204A1"/>
    <w:rsid w:val="414469FF"/>
    <w:rsid w:val="414A49B9"/>
    <w:rsid w:val="41520AC3"/>
    <w:rsid w:val="41523E4B"/>
    <w:rsid w:val="415343B9"/>
    <w:rsid w:val="415772B6"/>
    <w:rsid w:val="415D0B56"/>
    <w:rsid w:val="41634377"/>
    <w:rsid w:val="416522D0"/>
    <w:rsid w:val="416C0D96"/>
    <w:rsid w:val="416C43B7"/>
    <w:rsid w:val="416F667A"/>
    <w:rsid w:val="417466EB"/>
    <w:rsid w:val="41866782"/>
    <w:rsid w:val="418B2F4D"/>
    <w:rsid w:val="41904CE4"/>
    <w:rsid w:val="419725C2"/>
    <w:rsid w:val="41A07137"/>
    <w:rsid w:val="41A252EF"/>
    <w:rsid w:val="41AA4FC0"/>
    <w:rsid w:val="41AF0AB6"/>
    <w:rsid w:val="41B07DEE"/>
    <w:rsid w:val="41BA4502"/>
    <w:rsid w:val="41BB3BE6"/>
    <w:rsid w:val="41BF0FC2"/>
    <w:rsid w:val="41BF7187"/>
    <w:rsid w:val="41C7328E"/>
    <w:rsid w:val="41CA065A"/>
    <w:rsid w:val="41D24499"/>
    <w:rsid w:val="41D6650B"/>
    <w:rsid w:val="41D92C37"/>
    <w:rsid w:val="41DA2D7D"/>
    <w:rsid w:val="41E008B2"/>
    <w:rsid w:val="41E11EC6"/>
    <w:rsid w:val="41E2108F"/>
    <w:rsid w:val="41E44267"/>
    <w:rsid w:val="41E621F2"/>
    <w:rsid w:val="41F2544D"/>
    <w:rsid w:val="41F33723"/>
    <w:rsid w:val="41F41496"/>
    <w:rsid w:val="41F8201F"/>
    <w:rsid w:val="42052BE7"/>
    <w:rsid w:val="42152FB1"/>
    <w:rsid w:val="421D27C6"/>
    <w:rsid w:val="422004A7"/>
    <w:rsid w:val="422E0991"/>
    <w:rsid w:val="422E5BA7"/>
    <w:rsid w:val="42325E07"/>
    <w:rsid w:val="42342D08"/>
    <w:rsid w:val="42352FBC"/>
    <w:rsid w:val="423C7488"/>
    <w:rsid w:val="424250AF"/>
    <w:rsid w:val="42444686"/>
    <w:rsid w:val="42466082"/>
    <w:rsid w:val="425062B5"/>
    <w:rsid w:val="42566684"/>
    <w:rsid w:val="42591C79"/>
    <w:rsid w:val="425B190B"/>
    <w:rsid w:val="425E13F0"/>
    <w:rsid w:val="426219DF"/>
    <w:rsid w:val="42656BF3"/>
    <w:rsid w:val="426F5A74"/>
    <w:rsid w:val="42762F7B"/>
    <w:rsid w:val="42765C76"/>
    <w:rsid w:val="42777E2B"/>
    <w:rsid w:val="42791D17"/>
    <w:rsid w:val="427D3490"/>
    <w:rsid w:val="427F65BC"/>
    <w:rsid w:val="4282140A"/>
    <w:rsid w:val="42882501"/>
    <w:rsid w:val="428A78C4"/>
    <w:rsid w:val="42945691"/>
    <w:rsid w:val="429747E5"/>
    <w:rsid w:val="429C745A"/>
    <w:rsid w:val="42B20ABC"/>
    <w:rsid w:val="42B41269"/>
    <w:rsid w:val="42B6376D"/>
    <w:rsid w:val="42B97E60"/>
    <w:rsid w:val="42CA4EED"/>
    <w:rsid w:val="42D75C1D"/>
    <w:rsid w:val="42DB482E"/>
    <w:rsid w:val="42E15822"/>
    <w:rsid w:val="42E87B67"/>
    <w:rsid w:val="42E976BE"/>
    <w:rsid w:val="42ED5647"/>
    <w:rsid w:val="42F33E3F"/>
    <w:rsid w:val="42F35E95"/>
    <w:rsid w:val="42FE143D"/>
    <w:rsid w:val="4301510D"/>
    <w:rsid w:val="430A6648"/>
    <w:rsid w:val="430B3725"/>
    <w:rsid w:val="430C0A67"/>
    <w:rsid w:val="431B678F"/>
    <w:rsid w:val="432D5E88"/>
    <w:rsid w:val="433568FA"/>
    <w:rsid w:val="43366D86"/>
    <w:rsid w:val="4338209D"/>
    <w:rsid w:val="433A297D"/>
    <w:rsid w:val="43507D2E"/>
    <w:rsid w:val="43534626"/>
    <w:rsid w:val="43543ED9"/>
    <w:rsid w:val="43565457"/>
    <w:rsid w:val="435B33E6"/>
    <w:rsid w:val="435E37AC"/>
    <w:rsid w:val="43624625"/>
    <w:rsid w:val="436E145B"/>
    <w:rsid w:val="436F37C7"/>
    <w:rsid w:val="43720F65"/>
    <w:rsid w:val="43756AD3"/>
    <w:rsid w:val="437B4688"/>
    <w:rsid w:val="437C54AC"/>
    <w:rsid w:val="43816A69"/>
    <w:rsid w:val="43852480"/>
    <w:rsid w:val="43871508"/>
    <w:rsid w:val="438A4336"/>
    <w:rsid w:val="43935E73"/>
    <w:rsid w:val="43953660"/>
    <w:rsid w:val="43A17D02"/>
    <w:rsid w:val="43AF3D36"/>
    <w:rsid w:val="43B13719"/>
    <w:rsid w:val="43BB5A16"/>
    <w:rsid w:val="43BD1EA5"/>
    <w:rsid w:val="43CD2F77"/>
    <w:rsid w:val="43D14D45"/>
    <w:rsid w:val="43D61947"/>
    <w:rsid w:val="43D97CE3"/>
    <w:rsid w:val="43E56252"/>
    <w:rsid w:val="43EA6859"/>
    <w:rsid w:val="43EC7A55"/>
    <w:rsid w:val="43F25507"/>
    <w:rsid w:val="43F747E6"/>
    <w:rsid w:val="43F916C2"/>
    <w:rsid w:val="43F97649"/>
    <w:rsid w:val="43FE7D50"/>
    <w:rsid w:val="44030D6D"/>
    <w:rsid w:val="4408216C"/>
    <w:rsid w:val="44116F52"/>
    <w:rsid w:val="441642DA"/>
    <w:rsid w:val="441E1781"/>
    <w:rsid w:val="4422384F"/>
    <w:rsid w:val="442F2730"/>
    <w:rsid w:val="443311D1"/>
    <w:rsid w:val="443E2A93"/>
    <w:rsid w:val="443F521B"/>
    <w:rsid w:val="44427484"/>
    <w:rsid w:val="44444B14"/>
    <w:rsid w:val="444B2A8C"/>
    <w:rsid w:val="44516146"/>
    <w:rsid w:val="445B4590"/>
    <w:rsid w:val="446C0EA9"/>
    <w:rsid w:val="446E1BDA"/>
    <w:rsid w:val="44754893"/>
    <w:rsid w:val="4476089A"/>
    <w:rsid w:val="447847FC"/>
    <w:rsid w:val="4478566C"/>
    <w:rsid w:val="447A1E68"/>
    <w:rsid w:val="447D5911"/>
    <w:rsid w:val="44852E6D"/>
    <w:rsid w:val="44860BB6"/>
    <w:rsid w:val="448816B6"/>
    <w:rsid w:val="44912CC3"/>
    <w:rsid w:val="449319E5"/>
    <w:rsid w:val="449454D0"/>
    <w:rsid w:val="449E2FB2"/>
    <w:rsid w:val="44A34A8B"/>
    <w:rsid w:val="44A57709"/>
    <w:rsid w:val="44A9477B"/>
    <w:rsid w:val="44AC37EA"/>
    <w:rsid w:val="44B05C61"/>
    <w:rsid w:val="44B05DCD"/>
    <w:rsid w:val="44B40039"/>
    <w:rsid w:val="44B550CB"/>
    <w:rsid w:val="44B62D77"/>
    <w:rsid w:val="44B84D79"/>
    <w:rsid w:val="44BA45AB"/>
    <w:rsid w:val="44C902B8"/>
    <w:rsid w:val="44D20324"/>
    <w:rsid w:val="44D56F6D"/>
    <w:rsid w:val="44DB186D"/>
    <w:rsid w:val="44DD500C"/>
    <w:rsid w:val="44EC5C0A"/>
    <w:rsid w:val="44F0534E"/>
    <w:rsid w:val="44F0618A"/>
    <w:rsid w:val="44FC5125"/>
    <w:rsid w:val="44FC51AB"/>
    <w:rsid w:val="45001466"/>
    <w:rsid w:val="45010453"/>
    <w:rsid w:val="45064D15"/>
    <w:rsid w:val="45246BAC"/>
    <w:rsid w:val="452504F3"/>
    <w:rsid w:val="45272719"/>
    <w:rsid w:val="452A7854"/>
    <w:rsid w:val="452D2540"/>
    <w:rsid w:val="453D2DD1"/>
    <w:rsid w:val="454061F0"/>
    <w:rsid w:val="454367E9"/>
    <w:rsid w:val="455D46CC"/>
    <w:rsid w:val="455F3602"/>
    <w:rsid w:val="45793B89"/>
    <w:rsid w:val="457F1EF2"/>
    <w:rsid w:val="457F5DFA"/>
    <w:rsid w:val="45823EF1"/>
    <w:rsid w:val="45833A04"/>
    <w:rsid w:val="45840CA9"/>
    <w:rsid w:val="45892961"/>
    <w:rsid w:val="458B6A0A"/>
    <w:rsid w:val="459B0BF5"/>
    <w:rsid w:val="459C3601"/>
    <w:rsid w:val="45A078D0"/>
    <w:rsid w:val="45A11DC8"/>
    <w:rsid w:val="45A15B59"/>
    <w:rsid w:val="45AA12BC"/>
    <w:rsid w:val="45B77EAD"/>
    <w:rsid w:val="45BC03D9"/>
    <w:rsid w:val="45BD2B00"/>
    <w:rsid w:val="45C50197"/>
    <w:rsid w:val="45C9418D"/>
    <w:rsid w:val="45D34CA8"/>
    <w:rsid w:val="45D61F5C"/>
    <w:rsid w:val="45D749C8"/>
    <w:rsid w:val="45EA376E"/>
    <w:rsid w:val="45EB4B7D"/>
    <w:rsid w:val="45ED130D"/>
    <w:rsid w:val="45ED1F21"/>
    <w:rsid w:val="45EF30E3"/>
    <w:rsid w:val="45F6196B"/>
    <w:rsid w:val="45F8123A"/>
    <w:rsid w:val="45FE6AF6"/>
    <w:rsid w:val="460B6235"/>
    <w:rsid w:val="46170F64"/>
    <w:rsid w:val="462538C3"/>
    <w:rsid w:val="46283EBC"/>
    <w:rsid w:val="462C2C0B"/>
    <w:rsid w:val="462F1795"/>
    <w:rsid w:val="46325FE0"/>
    <w:rsid w:val="463D5F4E"/>
    <w:rsid w:val="46494538"/>
    <w:rsid w:val="4649542D"/>
    <w:rsid w:val="466276A2"/>
    <w:rsid w:val="466600B0"/>
    <w:rsid w:val="466E7893"/>
    <w:rsid w:val="467936D2"/>
    <w:rsid w:val="46820676"/>
    <w:rsid w:val="46873303"/>
    <w:rsid w:val="46891A23"/>
    <w:rsid w:val="468F17FD"/>
    <w:rsid w:val="468F56BB"/>
    <w:rsid w:val="469417EE"/>
    <w:rsid w:val="46951EF7"/>
    <w:rsid w:val="46954D1C"/>
    <w:rsid w:val="46961019"/>
    <w:rsid w:val="46A0612E"/>
    <w:rsid w:val="46A4013A"/>
    <w:rsid w:val="46A510D9"/>
    <w:rsid w:val="46A875A0"/>
    <w:rsid w:val="46AD213F"/>
    <w:rsid w:val="46AE7BC2"/>
    <w:rsid w:val="46B0375A"/>
    <w:rsid w:val="46B1501D"/>
    <w:rsid w:val="46B25570"/>
    <w:rsid w:val="46B351AD"/>
    <w:rsid w:val="46B612CB"/>
    <w:rsid w:val="46C73D6E"/>
    <w:rsid w:val="46CC63FF"/>
    <w:rsid w:val="46D86ACE"/>
    <w:rsid w:val="46DC01A4"/>
    <w:rsid w:val="46E14B0F"/>
    <w:rsid w:val="46E232D8"/>
    <w:rsid w:val="46E67222"/>
    <w:rsid w:val="46E870B4"/>
    <w:rsid w:val="46F62721"/>
    <w:rsid w:val="46F66036"/>
    <w:rsid w:val="46FA20C5"/>
    <w:rsid w:val="470579A9"/>
    <w:rsid w:val="470F7037"/>
    <w:rsid w:val="471401E1"/>
    <w:rsid w:val="472130DC"/>
    <w:rsid w:val="472B7711"/>
    <w:rsid w:val="473707E0"/>
    <w:rsid w:val="47385B1F"/>
    <w:rsid w:val="47402977"/>
    <w:rsid w:val="47434715"/>
    <w:rsid w:val="474A3ED0"/>
    <w:rsid w:val="474E2B60"/>
    <w:rsid w:val="474F2EB0"/>
    <w:rsid w:val="47570762"/>
    <w:rsid w:val="475C29E1"/>
    <w:rsid w:val="4762363F"/>
    <w:rsid w:val="47633155"/>
    <w:rsid w:val="476D63CA"/>
    <w:rsid w:val="47747010"/>
    <w:rsid w:val="47784A11"/>
    <w:rsid w:val="477F4A54"/>
    <w:rsid w:val="478033DA"/>
    <w:rsid w:val="47831305"/>
    <w:rsid w:val="47843193"/>
    <w:rsid w:val="478753F1"/>
    <w:rsid w:val="478C047B"/>
    <w:rsid w:val="478D3050"/>
    <w:rsid w:val="478D7135"/>
    <w:rsid w:val="47964B9F"/>
    <w:rsid w:val="4797152B"/>
    <w:rsid w:val="479846DE"/>
    <w:rsid w:val="479B074E"/>
    <w:rsid w:val="47A04900"/>
    <w:rsid w:val="47A42B17"/>
    <w:rsid w:val="47A63299"/>
    <w:rsid w:val="47A67150"/>
    <w:rsid w:val="47A863DE"/>
    <w:rsid w:val="47B21E44"/>
    <w:rsid w:val="47B8046A"/>
    <w:rsid w:val="47B81186"/>
    <w:rsid w:val="47B935C6"/>
    <w:rsid w:val="47C05015"/>
    <w:rsid w:val="47C12DC5"/>
    <w:rsid w:val="47C30919"/>
    <w:rsid w:val="47C43AF6"/>
    <w:rsid w:val="47C51170"/>
    <w:rsid w:val="47C9638D"/>
    <w:rsid w:val="47D03A31"/>
    <w:rsid w:val="47D33ABC"/>
    <w:rsid w:val="47D40016"/>
    <w:rsid w:val="47D75B03"/>
    <w:rsid w:val="47DE1933"/>
    <w:rsid w:val="47E411B2"/>
    <w:rsid w:val="47E60FD0"/>
    <w:rsid w:val="47F275A4"/>
    <w:rsid w:val="47F50230"/>
    <w:rsid w:val="48022AD0"/>
    <w:rsid w:val="480B18DA"/>
    <w:rsid w:val="480E3DFB"/>
    <w:rsid w:val="48137D1F"/>
    <w:rsid w:val="48163C42"/>
    <w:rsid w:val="48190EAB"/>
    <w:rsid w:val="481D0D6A"/>
    <w:rsid w:val="482156FA"/>
    <w:rsid w:val="48295E9F"/>
    <w:rsid w:val="482F5F12"/>
    <w:rsid w:val="483249FF"/>
    <w:rsid w:val="483364B6"/>
    <w:rsid w:val="483B38A0"/>
    <w:rsid w:val="483F6AAC"/>
    <w:rsid w:val="48403765"/>
    <w:rsid w:val="48482D5A"/>
    <w:rsid w:val="484B710C"/>
    <w:rsid w:val="484C306D"/>
    <w:rsid w:val="485119A2"/>
    <w:rsid w:val="485573E8"/>
    <w:rsid w:val="48612454"/>
    <w:rsid w:val="4867618C"/>
    <w:rsid w:val="486E2355"/>
    <w:rsid w:val="48707991"/>
    <w:rsid w:val="48724E89"/>
    <w:rsid w:val="48733ADD"/>
    <w:rsid w:val="4885764A"/>
    <w:rsid w:val="4887326C"/>
    <w:rsid w:val="48896DE5"/>
    <w:rsid w:val="488F396A"/>
    <w:rsid w:val="48971031"/>
    <w:rsid w:val="4899648A"/>
    <w:rsid w:val="48A46E9E"/>
    <w:rsid w:val="48A60DAF"/>
    <w:rsid w:val="48B340ED"/>
    <w:rsid w:val="48B60DF1"/>
    <w:rsid w:val="48B742BA"/>
    <w:rsid w:val="48BB0C95"/>
    <w:rsid w:val="48C16408"/>
    <w:rsid w:val="48CB2222"/>
    <w:rsid w:val="48CC2918"/>
    <w:rsid w:val="48CE23B6"/>
    <w:rsid w:val="48D074A8"/>
    <w:rsid w:val="48D1240F"/>
    <w:rsid w:val="48D526AC"/>
    <w:rsid w:val="48DF016B"/>
    <w:rsid w:val="48DF6258"/>
    <w:rsid w:val="48EE32F6"/>
    <w:rsid w:val="48F07E5E"/>
    <w:rsid w:val="48F30C44"/>
    <w:rsid w:val="48F5218F"/>
    <w:rsid w:val="48F872FC"/>
    <w:rsid w:val="48FD0F37"/>
    <w:rsid w:val="48FD476D"/>
    <w:rsid w:val="49015154"/>
    <w:rsid w:val="49033ECD"/>
    <w:rsid w:val="49057880"/>
    <w:rsid w:val="490E68F3"/>
    <w:rsid w:val="49184823"/>
    <w:rsid w:val="49196DB6"/>
    <w:rsid w:val="491B4227"/>
    <w:rsid w:val="492B43A8"/>
    <w:rsid w:val="4933190E"/>
    <w:rsid w:val="49333F4C"/>
    <w:rsid w:val="493647EE"/>
    <w:rsid w:val="49472D4F"/>
    <w:rsid w:val="494A3901"/>
    <w:rsid w:val="494F1C22"/>
    <w:rsid w:val="496160B0"/>
    <w:rsid w:val="496376E9"/>
    <w:rsid w:val="49692BCE"/>
    <w:rsid w:val="496973E5"/>
    <w:rsid w:val="49732564"/>
    <w:rsid w:val="49774BE0"/>
    <w:rsid w:val="497A7473"/>
    <w:rsid w:val="498A5F70"/>
    <w:rsid w:val="498B11C9"/>
    <w:rsid w:val="498C530E"/>
    <w:rsid w:val="498D64CB"/>
    <w:rsid w:val="4997050C"/>
    <w:rsid w:val="4998052F"/>
    <w:rsid w:val="49984053"/>
    <w:rsid w:val="49A54196"/>
    <w:rsid w:val="49AA0A84"/>
    <w:rsid w:val="49B31A95"/>
    <w:rsid w:val="49B94286"/>
    <w:rsid w:val="49B94D08"/>
    <w:rsid w:val="49BB7510"/>
    <w:rsid w:val="49BE530D"/>
    <w:rsid w:val="49BF6D27"/>
    <w:rsid w:val="49C31230"/>
    <w:rsid w:val="49C664C2"/>
    <w:rsid w:val="49C8600F"/>
    <w:rsid w:val="49CC653A"/>
    <w:rsid w:val="49D07892"/>
    <w:rsid w:val="49D10AD4"/>
    <w:rsid w:val="49D41B5D"/>
    <w:rsid w:val="49D679D8"/>
    <w:rsid w:val="49E65D4E"/>
    <w:rsid w:val="49E665C2"/>
    <w:rsid w:val="49EE5020"/>
    <w:rsid w:val="49F547D5"/>
    <w:rsid w:val="49FE714A"/>
    <w:rsid w:val="4A071BAB"/>
    <w:rsid w:val="4A0D6EFE"/>
    <w:rsid w:val="4A110397"/>
    <w:rsid w:val="4A173A13"/>
    <w:rsid w:val="4A1A3009"/>
    <w:rsid w:val="4A1D18F5"/>
    <w:rsid w:val="4A204E1C"/>
    <w:rsid w:val="4A3F3237"/>
    <w:rsid w:val="4A446E7B"/>
    <w:rsid w:val="4A465CB3"/>
    <w:rsid w:val="4A476768"/>
    <w:rsid w:val="4A4A4BCA"/>
    <w:rsid w:val="4A4C4F79"/>
    <w:rsid w:val="4A4C5D2F"/>
    <w:rsid w:val="4A4E7AF4"/>
    <w:rsid w:val="4A510E8C"/>
    <w:rsid w:val="4A5179C8"/>
    <w:rsid w:val="4A5E4FAA"/>
    <w:rsid w:val="4A634323"/>
    <w:rsid w:val="4A65478C"/>
    <w:rsid w:val="4A6803EB"/>
    <w:rsid w:val="4A6E01B7"/>
    <w:rsid w:val="4A6E3943"/>
    <w:rsid w:val="4A710A01"/>
    <w:rsid w:val="4A745F30"/>
    <w:rsid w:val="4A79663A"/>
    <w:rsid w:val="4A7A4F89"/>
    <w:rsid w:val="4A7D18D6"/>
    <w:rsid w:val="4A7F3085"/>
    <w:rsid w:val="4A920796"/>
    <w:rsid w:val="4A962D51"/>
    <w:rsid w:val="4A9A5F44"/>
    <w:rsid w:val="4AAA5A49"/>
    <w:rsid w:val="4AB22FB2"/>
    <w:rsid w:val="4AB463EE"/>
    <w:rsid w:val="4AC23582"/>
    <w:rsid w:val="4ACB2E69"/>
    <w:rsid w:val="4ACD28E1"/>
    <w:rsid w:val="4ACD5A72"/>
    <w:rsid w:val="4AD01A77"/>
    <w:rsid w:val="4ADB0CC7"/>
    <w:rsid w:val="4ADF411D"/>
    <w:rsid w:val="4AE045CD"/>
    <w:rsid w:val="4AE14B87"/>
    <w:rsid w:val="4AE24FD3"/>
    <w:rsid w:val="4AE340AE"/>
    <w:rsid w:val="4AE84F4C"/>
    <w:rsid w:val="4AE87EF3"/>
    <w:rsid w:val="4AF176BB"/>
    <w:rsid w:val="4AF34DD4"/>
    <w:rsid w:val="4AF539FB"/>
    <w:rsid w:val="4B083231"/>
    <w:rsid w:val="4B0A15F3"/>
    <w:rsid w:val="4B0B495E"/>
    <w:rsid w:val="4B0D6E25"/>
    <w:rsid w:val="4B1F57D7"/>
    <w:rsid w:val="4B2403BD"/>
    <w:rsid w:val="4B24683E"/>
    <w:rsid w:val="4B2468A5"/>
    <w:rsid w:val="4B336958"/>
    <w:rsid w:val="4B4B7DA6"/>
    <w:rsid w:val="4B4F238E"/>
    <w:rsid w:val="4B4F460D"/>
    <w:rsid w:val="4B555AD0"/>
    <w:rsid w:val="4B6C45EE"/>
    <w:rsid w:val="4B8268F5"/>
    <w:rsid w:val="4B927B01"/>
    <w:rsid w:val="4B9A1CC3"/>
    <w:rsid w:val="4B9E3D3D"/>
    <w:rsid w:val="4BA855FA"/>
    <w:rsid w:val="4BAA0BAE"/>
    <w:rsid w:val="4BAC1607"/>
    <w:rsid w:val="4BAC6FD1"/>
    <w:rsid w:val="4BBD413B"/>
    <w:rsid w:val="4BC42199"/>
    <w:rsid w:val="4BC44C17"/>
    <w:rsid w:val="4BC6613B"/>
    <w:rsid w:val="4BC767B8"/>
    <w:rsid w:val="4BC92119"/>
    <w:rsid w:val="4BCA2CA2"/>
    <w:rsid w:val="4BCD06DF"/>
    <w:rsid w:val="4BCE09B8"/>
    <w:rsid w:val="4BDA198F"/>
    <w:rsid w:val="4BDD7C6C"/>
    <w:rsid w:val="4BDF5520"/>
    <w:rsid w:val="4BE733D4"/>
    <w:rsid w:val="4BE73C86"/>
    <w:rsid w:val="4BEA4ECE"/>
    <w:rsid w:val="4BEB3B5C"/>
    <w:rsid w:val="4BEF1426"/>
    <w:rsid w:val="4BF36C34"/>
    <w:rsid w:val="4BF63A08"/>
    <w:rsid w:val="4BFD14AE"/>
    <w:rsid w:val="4C027E26"/>
    <w:rsid w:val="4C0D35C2"/>
    <w:rsid w:val="4C1C0EB9"/>
    <w:rsid w:val="4C2D4C46"/>
    <w:rsid w:val="4C2E1078"/>
    <w:rsid w:val="4C3065B7"/>
    <w:rsid w:val="4C3E3676"/>
    <w:rsid w:val="4C465A0C"/>
    <w:rsid w:val="4C4A63AC"/>
    <w:rsid w:val="4C547EF9"/>
    <w:rsid w:val="4C575CA7"/>
    <w:rsid w:val="4C5823A9"/>
    <w:rsid w:val="4C653979"/>
    <w:rsid w:val="4C6C1388"/>
    <w:rsid w:val="4C6D42AA"/>
    <w:rsid w:val="4C6F4676"/>
    <w:rsid w:val="4C714C25"/>
    <w:rsid w:val="4C754179"/>
    <w:rsid w:val="4C77467C"/>
    <w:rsid w:val="4C7D6450"/>
    <w:rsid w:val="4C7F0120"/>
    <w:rsid w:val="4C842074"/>
    <w:rsid w:val="4C8679A1"/>
    <w:rsid w:val="4C8B5472"/>
    <w:rsid w:val="4C8F3BC4"/>
    <w:rsid w:val="4C965048"/>
    <w:rsid w:val="4C9750F1"/>
    <w:rsid w:val="4C97643A"/>
    <w:rsid w:val="4CA00569"/>
    <w:rsid w:val="4CA34769"/>
    <w:rsid w:val="4CA61A04"/>
    <w:rsid w:val="4CA660CC"/>
    <w:rsid w:val="4CA83EDD"/>
    <w:rsid w:val="4CA9755A"/>
    <w:rsid w:val="4CAC1A61"/>
    <w:rsid w:val="4CC01C7A"/>
    <w:rsid w:val="4CC34270"/>
    <w:rsid w:val="4CC53D80"/>
    <w:rsid w:val="4CC91048"/>
    <w:rsid w:val="4CCA4E9B"/>
    <w:rsid w:val="4CD259FD"/>
    <w:rsid w:val="4CD74E9E"/>
    <w:rsid w:val="4CDC74F7"/>
    <w:rsid w:val="4CDF71E7"/>
    <w:rsid w:val="4CE55FF9"/>
    <w:rsid w:val="4CE72816"/>
    <w:rsid w:val="4CFD1B63"/>
    <w:rsid w:val="4D002FD0"/>
    <w:rsid w:val="4D054EB0"/>
    <w:rsid w:val="4D0827C3"/>
    <w:rsid w:val="4D0E1614"/>
    <w:rsid w:val="4D1563CC"/>
    <w:rsid w:val="4D1941A9"/>
    <w:rsid w:val="4D1E709E"/>
    <w:rsid w:val="4D2420BE"/>
    <w:rsid w:val="4D2B7532"/>
    <w:rsid w:val="4D2C7D8B"/>
    <w:rsid w:val="4D2E4306"/>
    <w:rsid w:val="4D33678A"/>
    <w:rsid w:val="4D376ADC"/>
    <w:rsid w:val="4D3F42D5"/>
    <w:rsid w:val="4D430E26"/>
    <w:rsid w:val="4D461841"/>
    <w:rsid w:val="4D467503"/>
    <w:rsid w:val="4D58010A"/>
    <w:rsid w:val="4D582E1B"/>
    <w:rsid w:val="4D585447"/>
    <w:rsid w:val="4D586287"/>
    <w:rsid w:val="4D5B67DE"/>
    <w:rsid w:val="4D5D519B"/>
    <w:rsid w:val="4D610021"/>
    <w:rsid w:val="4D691FB6"/>
    <w:rsid w:val="4D78560B"/>
    <w:rsid w:val="4D7A6D8D"/>
    <w:rsid w:val="4D7F1370"/>
    <w:rsid w:val="4D8974B7"/>
    <w:rsid w:val="4D9449B4"/>
    <w:rsid w:val="4D9A081E"/>
    <w:rsid w:val="4DA379E0"/>
    <w:rsid w:val="4DA432E3"/>
    <w:rsid w:val="4DA47172"/>
    <w:rsid w:val="4DA67570"/>
    <w:rsid w:val="4DA76132"/>
    <w:rsid w:val="4DA96DAF"/>
    <w:rsid w:val="4DAC0C4D"/>
    <w:rsid w:val="4DAD7D24"/>
    <w:rsid w:val="4DAE5F07"/>
    <w:rsid w:val="4DB12FB2"/>
    <w:rsid w:val="4DB16ED4"/>
    <w:rsid w:val="4DB4445C"/>
    <w:rsid w:val="4DB46218"/>
    <w:rsid w:val="4DB6768A"/>
    <w:rsid w:val="4DC21284"/>
    <w:rsid w:val="4DC3392B"/>
    <w:rsid w:val="4DC44612"/>
    <w:rsid w:val="4DC60745"/>
    <w:rsid w:val="4DE80F7C"/>
    <w:rsid w:val="4DF26622"/>
    <w:rsid w:val="4DF44854"/>
    <w:rsid w:val="4DF520E6"/>
    <w:rsid w:val="4DF84039"/>
    <w:rsid w:val="4DFD49F2"/>
    <w:rsid w:val="4DFE7615"/>
    <w:rsid w:val="4E004A5D"/>
    <w:rsid w:val="4E0E1235"/>
    <w:rsid w:val="4E10570B"/>
    <w:rsid w:val="4E133BFE"/>
    <w:rsid w:val="4E1C34CC"/>
    <w:rsid w:val="4E210B6D"/>
    <w:rsid w:val="4E2C450F"/>
    <w:rsid w:val="4E3366C4"/>
    <w:rsid w:val="4E34157E"/>
    <w:rsid w:val="4E3F5CA4"/>
    <w:rsid w:val="4E4278B0"/>
    <w:rsid w:val="4E45130D"/>
    <w:rsid w:val="4E4A1CE1"/>
    <w:rsid w:val="4E4A5AA0"/>
    <w:rsid w:val="4E4C1F11"/>
    <w:rsid w:val="4E4E7D23"/>
    <w:rsid w:val="4E573F78"/>
    <w:rsid w:val="4E5C4EFE"/>
    <w:rsid w:val="4E68027B"/>
    <w:rsid w:val="4E697BE1"/>
    <w:rsid w:val="4E715BD5"/>
    <w:rsid w:val="4E7D63B1"/>
    <w:rsid w:val="4E832E00"/>
    <w:rsid w:val="4E8526C9"/>
    <w:rsid w:val="4E884147"/>
    <w:rsid w:val="4E8D712C"/>
    <w:rsid w:val="4E8F205B"/>
    <w:rsid w:val="4E9013D9"/>
    <w:rsid w:val="4E921227"/>
    <w:rsid w:val="4E95039E"/>
    <w:rsid w:val="4E96544B"/>
    <w:rsid w:val="4E97019D"/>
    <w:rsid w:val="4E9D33AB"/>
    <w:rsid w:val="4EB3382B"/>
    <w:rsid w:val="4EB53C6A"/>
    <w:rsid w:val="4EB901CB"/>
    <w:rsid w:val="4EC05DF2"/>
    <w:rsid w:val="4EC31C04"/>
    <w:rsid w:val="4ED677AD"/>
    <w:rsid w:val="4EDF2738"/>
    <w:rsid w:val="4EDF28B4"/>
    <w:rsid w:val="4EE10E0D"/>
    <w:rsid w:val="4EE726FF"/>
    <w:rsid w:val="4EEF3824"/>
    <w:rsid w:val="4EF27E9F"/>
    <w:rsid w:val="4EF41B0D"/>
    <w:rsid w:val="4EF74CDE"/>
    <w:rsid w:val="4F00582B"/>
    <w:rsid w:val="4F02556A"/>
    <w:rsid w:val="4F0662E5"/>
    <w:rsid w:val="4F0838C5"/>
    <w:rsid w:val="4F0A0AE6"/>
    <w:rsid w:val="4F0B5144"/>
    <w:rsid w:val="4F1A5354"/>
    <w:rsid w:val="4F2757C6"/>
    <w:rsid w:val="4F275AB7"/>
    <w:rsid w:val="4F28411C"/>
    <w:rsid w:val="4F2931DD"/>
    <w:rsid w:val="4F404174"/>
    <w:rsid w:val="4F44207B"/>
    <w:rsid w:val="4F483345"/>
    <w:rsid w:val="4F494CF0"/>
    <w:rsid w:val="4F4E3F1B"/>
    <w:rsid w:val="4F512E44"/>
    <w:rsid w:val="4F5154B5"/>
    <w:rsid w:val="4F533C44"/>
    <w:rsid w:val="4F573248"/>
    <w:rsid w:val="4F5C7AC8"/>
    <w:rsid w:val="4F5F3435"/>
    <w:rsid w:val="4F6D6534"/>
    <w:rsid w:val="4F737055"/>
    <w:rsid w:val="4F7C48DE"/>
    <w:rsid w:val="4F7D1B1E"/>
    <w:rsid w:val="4F8B1CDF"/>
    <w:rsid w:val="4F8B601D"/>
    <w:rsid w:val="4F920188"/>
    <w:rsid w:val="4F9E24CF"/>
    <w:rsid w:val="4FA02333"/>
    <w:rsid w:val="4FA6179D"/>
    <w:rsid w:val="4FAB178A"/>
    <w:rsid w:val="4FAB679C"/>
    <w:rsid w:val="4FAE10CE"/>
    <w:rsid w:val="4FAE73F3"/>
    <w:rsid w:val="4FB13B08"/>
    <w:rsid w:val="4FB3504D"/>
    <w:rsid w:val="4FB803D2"/>
    <w:rsid w:val="4FBA6DAB"/>
    <w:rsid w:val="4FBD0E86"/>
    <w:rsid w:val="4FBF66B6"/>
    <w:rsid w:val="4FC3161C"/>
    <w:rsid w:val="4FC37444"/>
    <w:rsid w:val="4FCC2035"/>
    <w:rsid w:val="4FD164EE"/>
    <w:rsid w:val="4FDA7B19"/>
    <w:rsid w:val="4FF11A07"/>
    <w:rsid w:val="4FF326D4"/>
    <w:rsid w:val="4FF679FF"/>
    <w:rsid w:val="4FFD113B"/>
    <w:rsid w:val="4FFD3406"/>
    <w:rsid w:val="4FFE6DA8"/>
    <w:rsid w:val="50032818"/>
    <w:rsid w:val="501F1751"/>
    <w:rsid w:val="50217157"/>
    <w:rsid w:val="50317E9B"/>
    <w:rsid w:val="50355DF8"/>
    <w:rsid w:val="5036308F"/>
    <w:rsid w:val="503E6B27"/>
    <w:rsid w:val="50411459"/>
    <w:rsid w:val="50464F15"/>
    <w:rsid w:val="504C655F"/>
    <w:rsid w:val="504D2393"/>
    <w:rsid w:val="504E2745"/>
    <w:rsid w:val="5050505A"/>
    <w:rsid w:val="50582252"/>
    <w:rsid w:val="50617F15"/>
    <w:rsid w:val="5067665A"/>
    <w:rsid w:val="506A4700"/>
    <w:rsid w:val="506B2D8E"/>
    <w:rsid w:val="506C5AC3"/>
    <w:rsid w:val="507C2FFC"/>
    <w:rsid w:val="508360EE"/>
    <w:rsid w:val="50873600"/>
    <w:rsid w:val="508C12DE"/>
    <w:rsid w:val="508C13E4"/>
    <w:rsid w:val="50956B3A"/>
    <w:rsid w:val="50982BAB"/>
    <w:rsid w:val="509A284A"/>
    <w:rsid w:val="509B6C1C"/>
    <w:rsid w:val="509C7B6A"/>
    <w:rsid w:val="50A0260C"/>
    <w:rsid w:val="50B46044"/>
    <w:rsid w:val="50BA1420"/>
    <w:rsid w:val="50BE2004"/>
    <w:rsid w:val="50C20999"/>
    <w:rsid w:val="50C93409"/>
    <w:rsid w:val="50CA5AF3"/>
    <w:rsid w:val="50CE4051"/>
    <w:rsid w:val="50CF4ABC"/>
    <w:rsid w:val="50D06893"/>
    <w:rsid w:val="50D4209C"/>
    <w:rsid w:val="50D461CC"/>
    <w:rsid w:val="50DC53F9"/>
    <w:rsid w:val="50DD1599"/>
    <w:rsid w:val="50E10AFB"/>
    <w:rsid w:val="50EA7D5B"/>
    <w:rsid w:val="50F313A6"/>
    <w:rsid w:val="50FC46E9"/>
    <w:rsid w:val="50FE7899"/>
    <w:rsid w:val="510035E0"/>
    <w:rsid w:val="510209B8"/>
    <w:rsid w:val="511658D5"/>
    <w:rsid w:val="51173C74"/>
    <w:rsid w:val="511774EE"/>
    <w:rsid w:val="511E3186"/>
    <w:rsid w:val="512E0800"/>
    <w:rsid w:val="51304C97"/>
    <w:rsid w:val="51313C50"/>
    <w:rsid w:val="5133069B"/>
    <w:rsid w:val="51332E45"/>
    <w:rsid w:val="51343D63"/>
    <w:rsid w:val="51360844"/>
    <w:rsid w:val="5140185C"/>
    <w:rsid w:val="51404505"/>
    <w:rsid w:val="51434AE0"/>
    <w:rsid w:val="514A3712"/>
    <w:rsid w:val="51501EEB"/>
    <w:rsid w:val="5155369C"/>
    <w:rsid w:val="51641DED"/>
    <w:rsid w:val="5176203A"/>
    <w:rsid w:val="517C2FDD"/>
    <w:rsid w:val="5185165D"/>
    <w:rsid w:val="5185348E"/>
    <w:rsid w:val="518A4EC5"/>
    <w:rsid w:val="518A674C"/>
    <w:rsid w:val="518F0F8A"/>
    <w:rsid w:val="51971156"/>
    <w:rsid w:val="519D292D"/>
    <w:rsid w:val="519D51AE"/>
    <w:rsid w:val="51A65946"/>
    <w:rsid w:val="51BF617C"/>
    <w:rsid w:val="51C34BD4"/>
    <w:rsid w:val="51CA7A46"/>
    <w:rsid w:val="51D50523"/>
    <w:rsid w:val="51E512E6"/>
    <w:rsid w:val="51E76762"/>
    <w:rsid w:val="51EA01EC"/>
    <w:rsid w:val="51EA587E"/>
    <w:rsid w:val="51FD7B74"/>
    <w:rsid w:val="51FF0847"/>
    <w:rsid w:val="520B49D5"/>
    <w:rsid w:val="520C64D8"/>
    <w:rsid w:val="521129AE"/>
    <w:rsid w:val="5213481F"/>
    <w:rsid w:val="52237C81"/>
    <w:rsid w:val="523529B3"/>
    <w:rsid w:val="523C654F"/>
    <w:rsid w:val="52423CE9"/>
    <w:rsid w:val="524314B9"/>
    <w:rsid w:val="524B2AA2"/>
    <w:rsid w:val="52567C09"/>
    <w:rsid w:val="525B5F0D"/>
    <w:rsid w:val="525E640B"/>
    <w:rsid w:val="52612062"/>
    <w:rsid w:val="52663A23"/>
    <w:rsid w:val="52696596"/>
    <w:rsid w:val="526A3B8F"/>
    <w:rsid w:val="527A1CEA"/>
    <w:rsid w:val="527D1BB3"/>
    <w:rsid w:val="5282089F"/>
    <w:rsid w:val="52860CA9"/>
    <w:rsid w:val="52865A36"/>
    <w:rsid w:val="528A6007"/>
    <w:rsid w:val="52A12223"/>
    <w:rsid w:val="52A14A4F"/>
    <w:rsid w:val="52A57026"/>
    <w:rsid w:val="52A76DF2"/>
    <w:rsid w:val="52AF43C1"/>
    <w:rsid w:val="52BF3121"/>
    <w:rsid w:val="52CA2190"/>
    <w:rsid w:val="52CC15C2"/>
    <w:rsid w:val="52D97531"/>
    <w:rsid w:val="52E02E06"/>
    <w:rsid w:val="52E14ECE"/>
    <w:rsid w:val="52EA27C5"/>
    <w:rsid w:val="52EA310E"/>
    <w:rsid w:val="52EF2469"/>
    <w:rsid w:val="52F40BFA"/>
    <w:rsid w:val="52F4223F"/>
    <w:rsid w:val="52FA34D3"/>
    <w:rsid w:val="52FE5F1D"/>
    <w:rsid w:val="53004F7A"/>
    <w:rsid w:val="5305641F"/>
    <w:rsid w:val="530C42D7"/>
    <w:rsid w:val="53151017"/>
    <w:rsid w:val="5316195F"/>
    <w:rsid w:val="531628F9"/>
    <w:rsid w:val="531C29B2"/>
    <w:rsid w:val="53221021"/>
    <w:rsid w:val="53251526"/>
    <w:rsid w:val="53277781"/>
    <w:rsid w:val="53353859"/>
    <w:rsid w:val="53435917"/>
    <w:rsid w:val="534B0208"/>
    <w:rsid w:val="535348E2"/>
    <w:rsid w:val="53545152"/>
    <w:rsid w:val="535559DD"/>
    <w:rsid w:val="535E74A6"/>
    <w:rsid w:val="5364241B"/>
    <w:rsid w:val="53654CEE"/>
    <w:rsid w:val="53686CD6"/>
    <w:rsid w:val="536870C4"/>
    <w:rsid w:val="536A4FD0"/>
    <w:rsid w:val="536C084B"/>
    <w:rsid w:val="536D1A68"/>
    <w:rsid w:val="53741A07"/>
    <w:rsid w:val="537812D0"/>
    <w:rsid w:val="53793A79"/>
    <w:rsid w:val="537E683E"/>
    <w:rsid w:val="53804341"/>
    <w:rsid w:val="538E7793"/>
    <w:rsid w:val="53911613"/>
    <w:rsid w:val="53911A2D"/>
    <w:rsid w:val="53935288"/>
    <w:rsid w:val="5394164C"/>
    <w:rsid w:val="53961243"/>
    <w:rsid w:val="53AA7B8C"/>
    <w:rsid w:val="53AF4D3D"/>
    <w:rsid w:val="53AF6F3A"/>
    <w:rsid w:val="53BA1358"/>
    <w:rsid w:val="53C521B9"/>
    <w:rsid w:val="53C92B3B"/>
    <w:rsid w:val="53D048D2"/>
    <w:rsid w:val="53D06F25"/>
    <w:rsid w:val="53D57539"/>
    <w:rsid w:val="53DD62B8"/>
    <w:rsid w:val="53E86C55"/>
    <w:rsid w:val="53E92BA4"/>
    <w:rsid w:val="53EA1F6D"/>
    <w:rsid w:val="53EF3852"/>
    <w:rsid w:val="53F72730"/>
    <w:rsid w:val="53FB282E"/>
    <w:rsid w:val="53FE4ADB"/>
    <w:rsid w:val="540079A1"/>
    <w:rsid w:val="54065E59"/>
    <w:rsid w:val="5409346F"/>
    <w:rsid w:val="540B580C"/>
    <w:rsid w:val="540B6034"/>
    <w:rsid w:val="540E1B27"/>
    <w:rsid w:val="543009A9"/>
    <w:rsid w:val="5434498A"/>
    <w:rsid w:val="54373B5F"/>
    <w:rsid w:val="543C31E7"/>
    <w:rsid w:val="543F5762"/>
    <w:rsid w:val="54412A6F"/>
    <w:rsid w:val="544920CA"/>
    <w:rsid w:val="54495BDD"/>
    <w:rsid w:val="544A2B60"/>
    <w:rsid w:val="54582FCE"/>
    <w:rsid w:val="545954D3"/>
    <w:rsid w:val="545B560E"/>
    <w:rsid w:val="545C2674"/>
    <w:rsid w:val="545E6FB0"/>
    <w:rsid w:val="54633A5A"/>
    <w:rsid w:val="54672FCE"/>
    <w:rsid w:val="54676BBD"/>
    <w:rsid w:val="54677BB4"/>
    <w:rsid w:val="546B58D0"/>
    <w:rsid w:val="546C57FE"/>
    <w:rsid w:val="546E11C6"/>
    <w:rsid w:val="54700CAD"/>
    <w:rsid w:val="5472296E"/>
    <w:rsid w:val="547F1162"/>
    <w:rsid w:val="548048B0"/>
    <w:rsid w:val="5482226C"/>
    <w:rsid w:val="54844521"/>
    <w:rsid w:val="548E48F3"/>
    <w:rsid w:val="5490701E"/>
    <w:rsid w:val="549279C6"/>
    <w:rsid w:val="5497104E"/>
    <w:rsid w:val="54981E44"/>
    <w:rsid w:val="549E3281"/>
    <w:rsid w:val="549F1695"/>
    <w:rsid w:val="549F20A2"/>
    <w:rsid w:val="54A45930"/>
    <w:rsid w:val="54B663D9"/>
    <w:rsid w:val="54B96C1A"/>
    <w:rsid w:val="54BA38A4"/>
    <w:rsid w:val="54BD496E"/>
    <w:rsid w:val="54BE5FAC"/>
    <w:rsid w:val="54C27784"/>
    <w:rsid w:val="54C40BD7"/>
    <w:rsid w:val="54C63B3F"/>
    <w:rsid w:val="54D811B0"/>
    <w:rsid w:val="54E97235"/>
    <w:rsid w:val="54EB0323"/>
    <w:rsid w:val="54EC2121"/>
    <w:rsid w:val="54F7537D"/>
    <w:rsid w:val="54FD5AB9"/>
    <w:rsid w:val="54FF72CE"/>
    <w:rsid w:val="550D532A"/>
    <w:rsid w:val="5516717A"/>
    <w:rsid w:val="552758B2"/>
    <w:rsid w:val="55281604"/>
    <w:rsid w:val="55363699"/>
    <w:rsid w:val="55375CAA"/>
    <w:rsid w:val="553868A9"/>
    <w:rsid w:val="55393790"/>
    <w:rsid w:val="554D06B8"/>
    <w:rsid w:val="554F3F74"/>
    <w:rsid w:val="55513FF5"/>
    <w:rsid w:val="55516A31"/>
    <w:rsid w:val="555E5403"/>
    <w:rsid w:val="55605AF6"/>
    <w:rsid w:val="55647990"/>
    <w:rsid w:val="5566209B"/>
    <w:rsid w:val="556831A3"/>
    <w:rsid w:val="556874AA"/>
    <w:rsid w:val="556950FB"/>
    <w:rsid w:val="5574008F"/>
    <w:rsid w:val="55745B39"/>
    <w:rsid w:val="557A5C7E"/>
    <w:rsid w:val="557E7623"/>
    <w:rsid w:val="55802ED2"/>
    <w:rsid w:val="558259BE"/>
    <w:rsid w:val="558B4FE4"/>
    <w:rsid w:val="55937540"/>
    <w:rsid w:val="55945654"/>
    <w:rsid w:val="55963DED"/>
    <w:rsid w:val="559B10DE"/>
    <w:rsid w:val="559C1BBA"/>
    <w:rsid w:val="55A45098"/>
    <w:rsid w:val="55A630EA"/>
    <w:rsid w:val="55B17D46"/>
    <w:rsid w:val="55B8063C"/>
    <w:rsid w:val="55C515AE"/>
    <w:rsid w:val="55C75137"/>
    <w:rsid w:val="55CE7E35"/>
    <w:rsid w:val="55D07839"/>
    <w:rsid w:val="55D804A4"/>
    <w:rsid w:val="55DB6C8F"/>
    <w:rsid w:val="55E11B63"/>
    <w:rsid w:val="55EB2205"/>
    <w:rsid w:val="55EB36CD"/>
    <w:rsid w:val="55F17004"/>
    <w:rsid w:val="55F57EFA"/>
    <w:rsid w:val="55F8243E"/>
    <w:rsid w:val="55FC26B8"/>
    <w:rsid w:val="55FD02E7"/>
    <w:rsid w:val="55FD5218"/>
    <w:rsid w:val="560827C9"/>
    <w:rsid w:val="56094FA7"/>
    <w:rsid w:val="560B259E"/>
    <w:rsid w:val="5610543B"/>
    <w:rsid w:val="5611478A"/>
    <w:rsid w:val="56165648"/>
    <w:rsid w:val="561D5C6C"/>
    <w:rsid w:val="56204D65"/>
    <w:rsid w:val="562365F7"/>
    <w:rsid w:val="562735A5"/>
    <w:rsid w:val="56355637"/>
    <w:rsid w:val="56365AEB"/>
    <w:rsid w:val="56386703"/>
    <w:rsid w:val="563C33EB"/>
    <w:rsid w:val="56482628"/>
    <w:rsid w:val="56487466"/>
    <w:rsid w:val="56560AC0"/>
    <w:rsid w:val="56583E42"/>
    <w:rsid w:val="565C6101"/>
    <w:rsid w:val="56616D4A"/>
    <w:rsid w:val="566F631B"/>
    <w:rsid w:val="567C1339"/>
    <w:rsid w:val="56843738"/>
    <w:rsid w:val="568645E5"/>
    <w:rsid w:val="568931AA"/>
    <w:rsid w:val="56914879"/>
    <w:rsid w:val="569300A5"/>
    <w:rsid w:val="56963BA1"/>
    <w:rsid w:val="56972C28"/>
    <w:rsid w:val="569C58A2"/>
    <w:rsid w:val="569F5E87"/>
    <w:rsid w:val="56A62459"/>
    <w:rsid w:val="56A625D6"/>
    <w:rsid w:val="56A80492"/>
    <w:rsid w:val="56AA3EED"/>
    <w:rsid w:val="56AF685B"/>
    <w:rsid w:val="56B01604"/>
    <w:rsid w:val="56BE1B60"/>
    <w:rsid w:val="56BF0F59"/>
    <w:rsid w:val="56C30A72"/>
    <w:rsid w:val="56C37D00"/>
    <w:rsid w:val="56CA4C50"/>
    <w:rsid w:val="56CA76BA"/>
    <w:rsid w:val="56CC09D1"/>
    <w:rsid w:val="56D962B8"/>
    <w:rsid w:val="56DB408F"/>
    <w:rsid w:val="56E508C9"/>
    <w:rsid w:val="56EF70CE"/>
    <w:rsid w:val="56F34035"/>
    <w:rsid w:val="56F465EC"/>
    <w:rsid w:val="57005230"/>
    <w:rsid w:val="57044BAC"/>
    <w:rsid w:val="57096A3F"/>
    <w:rsid w:val="570E4832"/>
    <w:rsid w:val="570E4BA6"/>
    <w:rsid w:val="57100211"/>
    <w:rsid w:val="571133D0"/>
    <w:rsid w:val="57182D07"/>
    <w:rsid w:val="571C6062"/>
    <w:rsid w:val="571D5C8F"/>
    <w:rsid w:val="571F30CA"/>
    <w:rsid w:val="57244451"/>
    <w:rsid w:val="572E75B6"/>
    <w:rsid w:val="57351EB9"/>
    <w:rsid w:val="57355ADD"/>
    <w:rsid w:val="57375FB1"/>
    <w:rsid w:val="57393D6B"/>
    <w:rsid w:val="57403A58"/>
    <w:rsid w:val="57493647"/>
    <w:rsid w:val="574B03EC"/>
    <w:rsid w:val="574B7A63"/>
    <w:rsid w:val="574C55B4"/>
    <w:rsid w:val="57594A33"/>
    <w:rsid w:val="575A65B2"/>
    <w:rsid w:val="575C30EF"/>
    <w:rsid w:val="575E5A9B"/>
    <w:rsid w:val="576014EF"/>
    <w:rsid w:val="57646ADF"/>
    <w:rsid w:val="576821B9"/>
    <w:rsid w:val="576F5F2E"/>
    <w:rsid w:val="577161BF"/>
    <w:rsid w:val="57761A18"/>
    <w:rsid w:val="577D3C8B"/>
    <w:rsid w:val="578032F4"/>
    <w:rsid w:val="578739E0"/>
    <w:rsid w:val="57893428"/>
    <w:rsid w:val="578B6A5A"/>
    <w:rsid w:val="57902632"/>
    <w:rsid w:val="579119D9"/>
    <w:rsid w:val="57964504"/>
    <w:rsid w:val="57A259BD"/>
    <w:rsid w:val="57A415A0"/>
    <w:rsid w:val="57A76360"/>
    <w:rsid w:val="57B66559"/>
    <w:rsid w:val="57B87276"/>
    <w:rsid w:val="57BD09A3"/>
    <w:rsid w:val="57BE7D87"/>
    <w:rsid w:val="57C036E6"/>
    <w:rsid w:val="57C877BF"/>
    <w:rsid w:val="57CA7D64"/>
    <w:rsid w:val="57CE0995"/>
    <w:rsid w:val="57CE384E"/>
    <w:rsid w:val="57CF4335"/>
    <w:rsid w:val="57D1762F"/>
    <w:rsid w:val="57DF75E9"/>
    <w:rsid w:val="57E1795C"/>
    <w:rsid w:val="57EA40EA"/>
    <w:rsid w:val="57EC6F2E"/>
    <w:rsid w:val="57F52D10"/>
    <w:rsid w:val="57F661DB"/>
    <w:rsid w:val="5801628A"/>
    <w:rsid w:val="5806359D"/>
    <w:rsid w:val="580E446B"/>
    <w:rsid w:val="581544E0"/>
    <w:rsid w:val="581F0C6A"/>
    <w:rsid w:val="58231F48"/>
    <w:rsid w:val="582525CE"/>
    <w:rsid w:val="582879EB"/>
    <w:rsid w:val="582B7A46"/>
    <w:rsid w:val="58305004"/>
    <w:rsid w:val="583642A8"/>
    <w:rsid w:val="583B552E"/>
    <w:rsid w:val="583E2F16"/>
    <w:rsid w:val="58476B77"/>
    <w:rsid w:val="584947A1"/>
    <w:rsid w:val="585058A1"/>
    <w:rsid w:val="58544B13"/>
    <w:rsid w:val="58586F0A"/>
    <w:rsid w:val="585A0306"/>
    <w:rsid w:val="585D013C"/>
    <w:rsid w:val="58616A48"/>
    <w:rsid w:val="58622C3F"/>
    <w:rsid w:val="586512AB"/>
    <w:rsid w:val="586A3366"/>
    <w:rsid w:val="586F2E9C"/>
    <w:rsid w:val="587A7D1C"/>
    <w:rsid w:val="587C7065"/>
    <w:rsid w:val="58862DE6"/>
    <w:rsid w:val="58864413"/>
    <w:rsid w:val="588773AC"/>
    <w:rsid w:val="588E249A"/>
    <w:rsid w:val="588E5956"/>
    <w:rsid w:val="589313F4"/>
    <w:rsid w:val="58960C74"/>
    <w:rsid w:val="589D28EF"/>
    <w:rsid w:val="58A757CE"/>
    <w:rsid w:val="58AF340F"/>
    <w:rsid w:val="58B15CE2"/>
    <w:rsid w:val="58B21A5B"/>
    <w:rsid w:val="58BC2065"/>
    <w:rsid w:val="58C2306F"/>
    <w:rsid w:val="58C77D7F"/>
    <w:rsid w:val="58CD0E32"/>
    <w:rsid w:val="58D22059"/>
    <w:rsid w:val="58DC13CC"/>
    <w:rsid w:val="58DF2BE5"/>
    <w:rsid w:val="58F330B8"/>
    <w:rsid w:val="58F9664E"/>
    <w:rsid w:val="5901650F"/>
    <w:rsid w:val="59072496"/>
    <w:rsid w:val="591366B0"/>
    <w:rsid w:val="591B5C56"/>
    <w:rsid w:val="591C6825"/>
    <w:rsid w:val="591F5339"/>
    <w:rsid w:val="59211403"/>
    <w:rsid w:val="5927438F"/>
    <w:rsid w:val="592D0507"/>
    <w:rsid w:val="592E28D2"/>
    <w:rsid w:val="593D3E1E"/>
    <w:rsid w:val="59407B43"/>
    <w:rsid w:val="59444534"/>
    <w:rsid w:val="59462E1E"/>
    <w:rsid w:val="594C567E"/>
    <w:rsid w:val="59500028"/>
    <w:rsid w:val="59541FDF"/>
    <w:rsid w:val="596145C4"/>
    <w:rsid w:val="59631AF0"/>
    <w:rsid w:val="596878F8"/>
    <w:rsid w:val="596949AC"/>
    <w:rsid w:val="596F354A"/>
    <w:rsid w:val="59714FFB"/>
    <w:rsid w:val="59822BBC"/>
    <w:rsid w:val="598555E2"/>
    <w:rsid w:val="598A5D63"/>
    <w:rsid w:val="59964016"/>
    <w:rsid w:val="599D1AD6"/>
    <w:rsid w:val="59AF2552"/>
    <w:rsid w:val="59B079AE"/>
    <w:rsid w:val="59B27FFE"/>
    <w:rsid w:val="59B3124A"/>
    <w:rsid w:val="59B61CBC"/>
    <w:rsid w:val="59B71EBB"/>
    <w:rsid w:val="59BA0B35"/>
    <w:rsid w:val="59BA3889"/>
    <w:rsid w:val="59BA5770"/>
    <w:rsid w:val="59BD2CBE"/>
    <w:rsid w:val="59BF24D2"/>
    <w:rsid w:val="59C37575"/>
    <w:rsid w:val="59C70497"/>
    <w:rsid w:val="59CE7EBC"/>
    <w:rsid w:val="59D44BE0"/>
    <w:rsid w:val="59DB01B3"/>
    <w:rsid w:val="59E532BC"/>
    <w:rsid w:val="59E836CD"/>
    <w:rsid w:val="59E84F3A"/>
    <w:rsid w:val="59EA5D44"/>
    <w:rsid w:val="59F6221B"/>
    <w:rsid w:val="59F71B8C"/>
    <w:rsid w:val="59F92515"/>
    <w:rsid w:val="5A040F9A"/>
    <w:rsid w:val="5A085F3F"/>
    <w:rsid w:val="5A0945CC"/>
    <w:rsid w:val="5A0A679E"/>
    <w:rsid w:val="5A0C6BB1"/>
    <w:rsid w:val="5A0F330F"/>
    <w:rsid w:val="5A113225"/>
    <w:rsid w:val="5A131131"/>
    <w:rsid w:val="5A1538E1"/>
    <w:rsid w:val="5A1C29B0"/>
    <w:rsid w:val="5A1C4A46"/>
    <w:rsid w:val="5A205FC1"/>
    <w:rsid w:val="5A230755"/>
    <w:rsid w:val="5A25134B"/>
    <w:rsid w:val="5A282B16"/>
    <w:rsid w:val="5A2B1C42"/>
    <w:rsid w:val="5A316306"/>
    <w:rsid w:val="5A3236E2"/>
    <w:rsid w:val="5A3B1052"/>
    <w:rsid w:val="5A425487"/>
    <w:rsid w:val="5A47502D"/>
    <w:rsid w:val="5A4C5FCE"/>
    <w:rsid w:val="5A514406"/>
    <w:rsid w:val="5A580FCC"/>
    <w:rsid w:val="5A5954AE"/>
    <w:rsid w:val="5A6B4BAD"/>
    <w:rsid w:val="5A6D0865"/>
    <w:rsid w:val="5A787C93"/>
    <w:rsid w:val="5A7B3F51"/>
    <w:rsid w:val="5A7F6252"/>
    <w:rsid w:val="5A837D78"/>
    <w:rsid w:val="5A89089D"/>
    <w:rsid w:val="5A8C3206"/>
    <w:rsid w:val="5A8E3C11"/>
    <w:rsid w:val="5A924EDF"/>
    <w:rsid w:val="5A9739CC"/>
    <w:rsid w:val="5A9A100B"/>
    <w:rsid w:val="5A9B5F5F"/>
    <w:rsid w:val="5A9B793E"/>
    <w:rsid w:val="5AA33CD5"/>
    <w:rsid w:val="5AA66358"/>
    <w:rsid w:val="5AA81BFB"/>
    <w:rsid w:val="5AA83B7B"/>
    <w:rsid w:val="5AA91928"/>
    <w:rsid w:val="5AB35978"/>
    <w:rsid w:val="5AB36A44"/>
    <w:rsid w:val="5AB7205B"/>
    <w:rsid w:val="5ABA711E"/>
    <w:rsid w:val="5ABB1C95"/>
    <w:rsid w:val="5AC010AA"/>
    <w:rsid w:val="5AC07BCD"/>
    <w:rsid w:val="5AC500FA"/>
    <w:rsid w:val="5AC513FC"/>
    <w:rsid w:val="5ACA11DF"/>
    <w:rsid w:val="5ACD0E3F"/>
    <w:rsid w:val="5ACD6955"/>
    <w:rsid w:val="5AD03122"/>
    <w:rsid w:val="5AD3439A"/>
    <w:rsid w:val="5AE10023"/>
    <w:rsid w:val="5AE2566C"/>
    <w:rsid w:val="5AE749FC"/>
    <w:rsid w:val="5AE75EE2"/>
    <w:rsid w:val="5AEC62E4"/>
    <w:rsid w:val="5AF2511B"/>
    <w:rsid w:val="5AF60EBB"/>
    <w:rsid w:val="5AFB7E1F"/>
    <w:rsid w:val="5B003F11"/>
    <w:rsid w:val="5B0A2004"/>
    <w:rsid w:val="5B1266D8"/>
    <w:rsid w:val="5B1418BC"/>
    <w:rsid w:val="5B1F6589"/>
    <w:rsid w:val="5B242460"/>
    <w:rsid w:val="5B2B78E3"/>
    <w:rsid w:val="5B2C5B65"/>
    <w:rsid w:val="5B2F6F6C"/>
    <w:rsid w:val="5B362119"/>
    <w:rsid w:val="5B371BF3"/>
    <w:rsid w:val="5B39465F"/>
    <w:rsid w:val="5B3A3BC9"/>
    <w:rsid w:val="5B3B1D21"/>
    <w:rsid w:val="5B3D080B"/>
    <w:rsid w:val="5B486AE8"/>
    <w:rsid w:val="5B503528"/>
    <w:rsid w:val="5B550977"/>
    <w:rsid w:val="5B5D45E7"/>
    <w:rsid w:val="5B656241"/>
    <w:rsid w:val="5B657FE4"/>
    <w:rsid w:val="5B683FBF"/>
    <w:rsid w:val="5B6F7639"/>
    <w:rsid w:val="5B7634B0"/>
    <w:rsid w:val="5B7728CA"/>
    <w:rsid w:val="5B781D51"/>
    <w:rsid w:val="5B783603"/>
    <w:rsid w:val="5B7C62DC"/>
    <w:rsid w:val="5B87382D"/>
    <w:rsid w:val="5B8A2A5E"/>
    <w:rsid w:val="5B9F264B"/>
    <w:rsid w:val="5BA03026"/>
    <w:rsid w:val="5BA071EB"/>
    <w:rsid w:val="5BB22D21"/>
    <w:rsid w:val="5BB45AB5"/>
    <w:rsid w:val="5BB71338"/>
    <w:rsid w:val="5BB8167F"/>
    <w:rsid w:val="5BBE3A16"/>
    <w:rsid w:val="5BC10584"/>
    <w:rsid w:val="5BC6369A"/>
    <w:rsid w:val="5BC7623D"/>
    <w:rsid w:val="5BC953ED"/>
    <w:rsid w:val="5BCF7498"/>
    <w:rsid w:val="5BD939FB"/>
    <w:rsid w:val="5BDA6741"/>
    <w:rsid w:val="5BDC3DA4"/>
    <w:rsid w:val="5BE95E85"/>
    <w:rsid w:val="5BED543A"/>
    <w:rsid w:val="5BF104E3"/>
    <w:rsid w:val="5BF11D48"/>
    <w:rsid w:val="5BF91242"/>
    <w:rsid w:val="5BFF2023"/>
    <w:rsid w:val="5C021D00"/>
    <w:rsid w:val="5C1B27AA"/>
    <w:rsid w:val="5C1C44D5"/>
    <w:rsid w:val="5C1E2364"/>
    <w:rsid w:val="5C1E5887"/>
    <w:rsid w:val="5C2330FB"/>
    <w:rsid w:val="5C235588"/>
    <w:rsid w:val="5C32578C"/>
    <w:rsid w:val="5C3537ED"/>
    <w:rsid w:val="5C371883"/>
    <w:rsid w:val="5C3907C4"/>
    <w:rsid w:val="5C4424AE"/>
    <w:rsid w:val="5C4C2108"/>
    <w:rsid w:val="5C4C42D8"/>
    <w:rsid w:val="5C523511"/>
    <w:rsid w:val="5C525592"/>
    <w:rsid w:val="5C541BB4"/>
    <w:rsid w:val="5C5A327D"/>
    <w:rsid w:val="5C5C35D6"/>
    <w:rsid w:val="5C5E6531"/>
    <w:rsid w:val="5C5F4716"/>
    <w:rsid w:val="5C600137"/>
    <w:rsid w:val="5C654783"/>
    <w:rsid w:val="5C6C1B57"/>
    <w:rsid w:val="5C6C7A3A"/>
    <w:rsid w:val="5C6D4479"/>
    <w:rsid w:val="5C705EDD"/>
    <w:rsid w:val="5C72219D"/>
    <w:rsid w:val="5C734C57"/>
    <w:rsid w:val="5C8114AD"/>
    <w:rsid w:val="5C860DDC"/>
    <w:rsid w:val="5C8A075C"/>
    <w:rsid w:val="5C960A06"/>
    <w:rsid w:val="5CA067EF"/>
    <w:rsid w:val="5CA310E4"/>
    <w:rsid w:val="5CA80596"/>
    <w:rsid w:val="5CAB1657"/>
    <w:rsid w:val="5CB06986"/>
    <w:rsid w:val="5CB13AAE"/>
    <w:rsid w:val="5CBC7F4C"/>
    <w:rsid w:val="5CC5362A"/>
    <w:rsid w:val="5CCF25EB"/>
    <w:rsid w:val="5CD307B1"/>
    <w:rsid w:val="5CD90E60"/>
    <w:rsid w:val="5CDB568A"/>
    <w:rsid w:val="5CDD0506"/>
    <w:rsid w:val="5CDD19D2"/>
    <w:rsid w:val="5CE47508"/>
    <w:rsid w:val="5CE527F5"/>
    <w:rsid w:val="5CEC0A3F"/>
    <w:rsid w:val="5CEC3B39"/>
    <w:rsid w:val="5CED5A2C"/>
    <w:rsid w:val="5CF0040E"/>
    <w:rsid w:val="5CF35158"/>
    <w:rsid w:val="5CF96039"/>
    <w:rsid w:val="5CFA22FA"/>
    <w:rsid w:val="5CFF314A"/>
    <w:rsid w:val="5CFF78A4"/>
    <w:rsid w:val="5D0835C7"/>
    <w:rsid w:val="5D1636F4"/>
    <w:rsid w:val="5D17405A"/>
    <w:rsid w:val="5D1B25D1"/>
    <w:rsid w:val="5D1C0637"/>
    <w:rsid w:val="5D1D38AC"/>
    <w:rsid w:val="5D1E0F98"/>
    <w:rsid w:val="5D1E2FD2"/>
    <w:rsid w:val="5D23644B"/>
    <w:rsid w:val="5D254573"/>
    <w:rsid w:val="5D346EBD"/>
    <w:rsid w:val="5D372D9C"/>
    <w:rsid w:val="5D382495"/>
    <w:rsid w:val="5D3C131A"/>
    <w:rsid w:val="5D3E7046"/>
    <w:rsid w:val="5D493BA9"/>
    <w:rsid w:val="5D4D76C0"/>
    <w:rsid w:val="5D4E57E7"/>
    <w:rsid w:val="5D557C40"/>
    <w:rsid w:val="5D557D2B"/>
    <w:rsid w:val="5D692BCC"/>
    <w:rsid w:val="5D6B1EF5"/>
    <w:rsid w:val="5D6B6ED7"/>
    <w:rsid w:val="5D6D0FAF"/>
    <w:rsid w:val="5D780FCA"/>
    <w:rsid w:val="5D7B7BCE"/>
    <w:rsid w:val="5D805957"/>
    <w:rsid w:val="5D82247A"/>
    <w:rsid w:val="5D860D20"/>
    <w:rsid w:val="5D876E1E"/>
    <w:rsid w:val="5D887486"/>
    <w:rsid w:val="5D8D6E5B"/>
    <w:rsid w:val="5D913F60"/>
    <w:rsid w:val="5D927941"/>
    <w:rsid w:val="5D984E32"/>
    <w:rsid w:val="5D987491"/>
    <w:rsid w:val="5D9D11DD"/>
    <w:rsid w:val="5DA1730C"/>
    <w:rsid w:val="5DA56C09"/>
    <w:rsid w:val="5DA842A8"/>
    <w:rsid w:val="5DAE4FBE"/>
    <w:rsid w:val="5DB04C49"/>
    <w:rsid w:val="5DB15C32"/>
    <w:rsid w:val="5DCA3AFD"/>
    <w:rsid w:val="5DD53CE5"/>
    <w:rsid w:val="5DD733B5"/>
    <w:rsid w:val="5DD92FC1"/>
    <w:rsid w:val="5DDD76F7"/>
    <w:rsid w:val="5DE03873"/>
    <w:rsid w:val="5DE211FE"/>
    <w:rsid w:val="5DE531EB"/>
    <w:rsid w:val="5DE77A3D"/>
    <w:rsid w:val="5DEA558E"/>
    <w:rsid w:val="5DEB2D87"/>
    <w:rsid w:val="5DF0091C"/>
    <w:rsid w:val="5DF549BC"/>
    <w:rsid w:val="5DF80634"/>
    <w:rsid w:val="5DFA35E8"/>
    <w:rsid w:val="5E034CC2"/>
    <w:rsid w:val="5E0670B3"/>
    <w:rsid w:val="5E112788"/>
    <w:rsid w:val="5E125D25"/>
    <w:rsid w:val="5E130B5F"/>
    <w:rsid w:val="5E144979"/>
    <w:rsid w:val="5E182BD7"/>
    <w:rsid w:val="5E1D7DED"/>
    <w:rsid w:val="5E216464"/>
    <w:rsid w:val="5E2C6DF7"/>
    <w:rsid w:val="5E2F0B68"/>
    <w:rsid w:val="5E335194"/>
    <w:rsid w:val="5E3B30BF"/>
    <w:rsid w:val="5E4B5787"/>
    <w:rsid w:val="5E652D3C"/>
    <w:rsid w:val="5E763B4C"/>
    <w:rsid w:val="5E791D0A"/>
    <w:rsid w:val="5E8054C0"/>
    <w:rsid w:val="5E806693"/>
    <w:rsid w:val="5E8A52E5"/>
    <w:rsid w:val="5E8D0B5B"/>
    <w:rsid w:val="5E924CF7"/>
    <w:rsid w:val="5E976716"/>
    <w:rsid w:val="5E9D5665"/>
    <w:rsid w:val="5EA0644F"/>
    <w:rsid w:val="5EA27A5B"/>
    <w:rsid w:val="5EB06D1A"/>
    <w:rsid w:val="5EC01350"/>
    <w:rsid w:val="5EC17DED"/>
    <w:rsid w:val="5EC6323D"/>
    <w:rsid w:val="5ECA4BF7"/>
    <w:rsid w:val="5ECB1F2C"/>
    <w:rsid w:val="5ECB6EFB"/>
    <w:rsid w:val="5ECD6C99"/>
    <w:rsid w:val="5ED00916"/>
    <w:rsid w:val="5EDD54B5"/>
    <w:rsid w:val="5EDF0237"/>
    <w:rsid w:val="5EEB591E"/>
    <w:rsid w:val="5EEC1AAF"/>
    <w:rsid w:val="5EEF3BAC"/>
    <w:rsid w:val="5EF13409"/>
    <w:rsid w:val="5EF21A26"/>
    <w:rsid w:val="5EF23A26"/>
    <w:rsid w:val="5EF629FA"/>
    <w:rsid w:val="5EFC3680"/>
    <w:rsid w:val="5F09130D"/>
    <w:rsid w:val="5F093470"/>
    <w:rsid w:val="5F0B233D"/>
    <w:rsid w:val="5F116BE4"/>
    <w:rsid w:val="5F12337D"/>
    <w:rsid w:val="5F171EB4"/>
    <w:rsid w:val="5F17346F"/>
    <w:rsid w:val="5F1A6907"/>
    <w:rsid w:val="5F2327EC"/>
    <w:rsid w:val="5F232EA8"/>
    <w:rsid w:val="5F2C1782"/>
    <w:rsid w:val="5F364BA5"/>
    <w:rsid w:val="5F366FF3"/>
    <w:rsid w:val="5F383D78"/>
    <w:rsid w:val="5F394D31"/>
    <w:rsid w:val="5F3A03EF"/>
    <w:rsid w:val="5F4E46DB"/>
    <w:rsid w:val="5F543965"/>
    <w:rsid w:val="5F603A2A"/>
    <w:rsid w:val="5F6074F5"/>
    <w:rsid w:val="5F67277F"/>
    <w:rsid w:val="5F6917F1"/>
    <w:rsid w:val="5F69313F"/>
    <w:rsid w:val="5F6D1802"/>
    <w:rsid w:val="5F7256EB"/>
    <w:rsid w:val="5F885D1F"/>
    <w:rsid w:val="5F8A104C"/>
    <w:rsid w:val="5F8A21C1"/>
    <w:rsid w:val="5F974B93"/>
    <w:rsid w:val="5F995FD0"/>
    <w:rsid w:val="5F9969D7"/>
    <w:rsid w:val="5F9B0901"/>
    <w:rsid w:val="5F9B3355"/>
    <w:rsid w:val="5F9C0D9F"/>
    <w:rsid w:val="5FA21701"/>
    <w:rsid w:val="5FA35AF6"/>
    <w:rsid w:val="5FAA56F9"/>
    <w:rsid w:val="5FB06CEE"/>
    <w:rsid w:val="5FB279B4"/>
    <w:rsid w:val="5FB41622"/>
    <w:rsid w:val="5FB63AE0"/>
    <w:rsid w:val="5FB8351D"/>
    <w:rsid w:val="5FB8630B"/>
    <w:rsid w:val="5FBD2541"/>
    <w:rsid w:val="5FC96983"/>
    <w:rsid w:val="5FCD290C"/>
    <w:rsid w:val="5FCE775E"/>
    <w:rsid w:val="5FD43CC5"/>
    <w:rsid w:val="5FD65A93"/>
    <w:rsid w:val="5FD90345"/>
    <w:rsid w:val="5FDD563B"/>
    <w:rsid w:val="5FDD602F"/>
    <w:rsid w:val="5FE60008"/>
    <w:rsid w:val="5FED6CDB"/>
    <w:rsid w:val="5FEE5CAB"/>
    <w:rsid w:val="5FFD327E"/>
    <w:rsid w:val="6000344F"/>
    <w:rsid w:val="600C7D20"/>
    <w:rsid w:val="60113DB1"/>
    <w:rsid w:val="60125314"/>
    <w:rsid w:val="601B6635"/>
    <w:rsid w:val="6027328F"/>
    <w:rsid w:val="602B77BF"/>
    <w:rsid w:val="603A2ABF"/>
    <w:rsid w:val="603C15A8"/>
    <w:rsid w:val="603C343A"/>
    <w:rsid w:val="60477ED6"/>
    <w:rsid w:val="604A46C8"/>
    <w:rsid w:val="604D70D7"/>
    <w:rsid w:val="60512301"/>
    <w:rsid w:val="60522814"/>
    <w:rsid w:val="60551367"/>
    <w:rsid w:val="60574045"/>
    <w:rsid w:val="6058759C"/>
    <w:rsid w:val="60592C75"/>
    <w:rsid w:val="60607E54"/>
    <w:rsid w:val="6062570F"/>
    <w:rsid w:val="60665812"/>
    <w:rsid w:val="606950C8"/>
    <w:rsid w:val="60717E4B"/>
    <w:rsid w:val="607809D9"/>
    <w:rsid w:val="60856F54"/>
    <w:rsid w:val="608B3373"/>
    <w:rsid w:val="608F16A9"/>
    <w:rsid w:val="60920706"/>
    <w:rsid w:val="60996F9E"/>
    <w:rsid w:val="60A71426"/>
    <w:rsid w:val="60AD5F71"/>
    <w:rsid w:val="60AE005F"/>
    <w:rsid w:val="60B02C6F"/>
    <w:rsid w:val="60B15063"/>
    <w:rsid w:val="60B637FB"/>
    <w:rsid w:val="60BB0EC8"/>
    <w:rsid w:val="60BE3677"/>
    <w:rsid w:val="60BE72DD"/>
    <w:rsid w:val="60C30A17"/>
    <w:rsid w:val="60C66196"/>
    <w:rsid w:val="60CD0794"/>
    <w:rsid w:val="60D31B16"/>
    <w:rsid w:val="60E11EDE"/>
    <w:rsid w:val="60E42343"/>
    <w:rsid w:val="60EA3009"/>
    <w:rsid w:val="60EF4197"/>
    <w:rsid w:val="60F27126"/>
    <w:rsid w:val="60F34F67"/>
    <w:rsid w:val="60F66C84"/>
    <w:rsid w:val="60FA486C"/>
    <w:rsid w:val="61084F5E"/>
    <w:rsid w:val="610B34BE"/>
    <w:rsid w:val="610C109A"/>
    <w:rsid w:val="610C532A"/>
    <w:rsid w:val="610E52A4"/>
    <w:rsid w:val="61117D9D"/>
    <w:rsid w:val="611929B4"/>
    <w:rsid w:val="611A23F0"/>
    <w:rsid w:val="61201D10"/>
    <w:rsid w:val="612C4F37"/>
    <w:rsid w:val="613D6B8B"/>
    <w:rsid w:val="613E32DC"/>
    <w:rsid w:val="61402C9C"/>
    <w:rsid w:val="614C1D68"/>
    <w:rsid w:val="61536DDF"/>
    <w:rsid w:val="616B4844"/>
    <w:rsid w:val="617B31A7"/>
    <w:rsid w:val="61826CEC"/>
    <w:rsid w:val="6187178B"/>
    <w:rsid w:val="61893534"/>
    <w:rsid w:val="61980E52"/>
    <w:rsid w:val="619E5C54"/>
    <w:rsid w:val="619F4C70"/>
    <w:rsid w:val="61A008E9"/>
    <w:rsid w:val="61A34F3F"/>
    <w:rsid w:val="61BA7092"/>
    <w:rsid w:val="61C72A89"/>
    <w:rsid w:val="61C76D42"/>
    <w:rsid w:val="61D730C9"/>
    <w:rsid w:val="61D95B47"/>
    <w:rsid w:val="61DA7DDD"/>
    <w:rsid w:val="61E45C8D"/>
    <w:rsid w:val="61E531C6"/>
    <w:rsid w:val="61EB027D"/>
    <w:rsid w:val="61F4421E"/>
    <w:rsid w:val="61F52EF2"/>
    <w:rsid w:val="61FF70C6"/>
    <w:rsid w:val="62045B10"/>
    <w:rsid w:val="620D14C1"/>
    <w:rsid w:val="620E44F5"/>
    <w:rsid w:val="62125F29"/>
    <w:rsid w:val="621269F4"/>
    <w:rsid w:val="62307C20"/>
    <w:rsid w:val="62353ED7"/>
    <w:rsid w:val="624217C0"/>
    <w:rsid w:val="62462162"/>
    <w:rsid w:val="62467F4B"/>
    <w:rsid w:val="624D491F"/>
    <w:rsid w:val="62555DE7"/>
    <w:rsid w:val="62584440"/>
    <w:rsid w:val="62594BAD"/>
    <w:rsid w:val="625B4DAF"/>
    <w:rsid w:val="626456F3"/>
    <w:rsid w:val="62672037"/>
    <w:rsid w:val="626D18D2"/>
    <w:rsid w:val="626D46D9"/>
    <w:rsid w:val="6271290B"/>
    <w:rsid w:val="62731E47"/>
    <w:rsid w:val="62764827"/>
    <w:rsid w:val="627A50A0"/>
    <w:rsid w:val="627A6E15"/>
    <w:rsid w:val="627E71E5"/>
    <w:rsid w:val="62844239"/>
    <w:rsid w:val="6285278B"/>
    <w:rsid w:val="62863BD8"/>
    <w:rsid w:val="62893482"/>
    <w:rsid w:val="628C0D0A"/>
    <w:rsid w:val="628D6700"/>
    <w:rsid w:val="628F6EDC"/>
    <w:rsid w:val="62905168"/>
    <w:rsid w:val="629848D8"/>
    <w:rsid w:val="629C14C1"/>
    <w:rsid w:val="62A06919"/>
    <w:rsid w:val="62AA4E70"/>
    <w:rsid w:val="62AE4FD6"/>
    <w:rsid w:val="62B153E6"/>
    <w:rsid w:val="62B471B6"/>
    <w:rsid w:val="62BF063C"/>
    <w:rsid w:val="62C50E8D"/>
    <w:rsid w:val="62C63041"/>
    <w:rsid w:val="62DE2907"/>
    <w:rsid w:val="62E137FB"/>
    <w:rsid w:val="62E25640"/>
    <w:rsid w:val="62E77B2E"/>
    <w:rsid w:val="62EB7850"/>
    <w:rsid w:val="62EE4B0A"/>
    <w:rsid w:val="62F944D1"/>
    <w:rsid w:val="62F95EC9"/>
    <w:rsid w:val="62FD0DB1"/>
    <w:rsid w:val="630B450E"/>
    <w:rsid w:val="631252CA"/>
    <w:rsid w:val="63144600"/>
    <w:rsid w:val="631B1574"/>
    <w:rsid w:val="631C3DAD"/>
    <w:rsid w:val="63382746"/>
    <w:rsid w:val="634414A2"/>
    <w:rsid w:val="634C2B0B"/>
    <w:rsid w:val="63524760"/>
    <w:rsid w:val="637769D3"/>
    <w:rsid w:val="637F29CF"/>
    <w:rsid w:val="638634C0"/>
    <w:rsid w:val="63892BA6"/>
    <w:rsid w:val="63926349"/>
    <w:rsid w:val="639413B1"/>
    <w:rsid w:val="63965A4C"/>
    <w:rsid w:val="63965F84"/>
    <w:rsid w:val="639A53D9"/>
    <w:rsid w:val="63A75D93"/>
    <w:rsid w:val="63B17CB6"/>
    <w:rsid w:val="63B67C2C"/>
    <w:rsid w:val="63D30849"/>
    <w:rsid w:val="63D5569D"/>
    <w:rsid w:val="63D878A2"/>
    <w:rsid w:val="63E15AC1"/>
    <w:rsid w:val="63E70A84"/>
    <w:rsid w:val="63E768EF"/>
    <w:rsid w:val="63EA477E"/>
    <w:rsid w:val="63EA7508"/>
    <w:rsid w:val="63EE5036"/>
    <w:rsid w:val="63F00E30"/>
    <w:rsid w:val="63F30CE0"/>
    <w:rsid w:val="63F35152"/>
    <w:rsid w:val="63F91C3C"/>
    <w:rsid w:val="64035B35"/>
    <w:rsid w:val="64054FC3"/>
    <w:rsid w:val="6406405D"/>
    <w:rsid w:val="640878BD"/>
    <w:rsid w:val="641422FB"/>
    <w:rsid w:val="641851AC"/>
    <w:rsid w:val="641861DF"/>
    <w:rsid w:val="641A6FA3"/>
    <w:rsid w:val="641D38A8"/>
    <w:rsid w:val="642800BD"/>
    <w:rsid w:val="64323BF8"/>
    <w:rsid w:val="64352E0C"/>
    <w:rsid w:val="644538FE"/>
    <w:rsid w:val="644A0235"/>
    <w:rsid w:val="644B6387"/>
    <w:rsid w:val="645144E7"/>
    <w:rsid w:val="64574787"/>
    <w:rsid w:val="645B5BDE"/>
    <w:rsid w:val="645E7AD0"/>
    <w:rsid w:val="645E7D2F"/>
    <w:rsid w:val="646E51D9"/>
    <w:rsid w:val="647031DE"/>
    <w:rsid w:val="64721EF0"/>
    <w:rsid w:val="647405A3"/>
    <w:rsid w:val="6475258F"/>
    <w:rsid w:val="647C29CB"/>
    <w:rsid w:val="647C54C7"/>
    <w:rsid w:val="647E5D1F"/>
    <w:rsid w:val="64820B69"/>
    <w:rsid w:val="64844ABD"/>
    <w:rsid w:val="64942E4C"/>
    <w:rsid w:val="649A681D"/>
    <w:rsid w:val="64A0097B"/>
    <w:rsid w:val="64A200E9"/>
    <w:rsid w:val="64A4671D"/>
    <w:rsid w:val="64A530EE"/>
    <w:rsid w:val="64A61339"/>
    <w:rsid w:val="64A634DA"/>
    <w:rsid w:val="64AB5964"/>
    <w:rsid w:val="64AC2F64"/>
    <w:rsid w:val="64AD1ACC"/>
    <w:rsid w:val="64AE1919"/>
    <w:rsid w:val="64BB3775"/>
    <w:rsid w:val="64BB57F8"/>
    <w:rsid w:val="64BC269F"/>
    <w:rsid w:val="64C2222A"/>
    <w:rsid w:val="64C3063C"/>
    <w:rsid w:val="64C66DFC"/>
    <w:rsid w:val="64CA059F"/>
    <w:rsid w:val="64D3507C"/>
    <w:rsid w:val="64D3608D"/>
    <w:rsid w:val="64E060EB"/>
    <w:rsid w:val="64E6591B"/>
    <w:rsid w:val="64E86817"/>
    <w:rsid w:val="64EB6D9E"/>
    <w:rsid w:val="64EF5D4A"/>
    <w:rsid w:val="64F4160B"/>
    <w:rsid w:val="64F47CF3"/>
    <w:rsid w:val="64F95AE5"/>
    <w:rsid w:val="64FA7A21"/>
    <w:rsid w:val="64FC35DB"/>
    <w:rsid w:val="64FF69FB"/>
    <w:rsid w:val="65003583"/>
    <w:rsid w:val="6501166C"/>
    <w:rsid w:val="65043F4A"/>
    <w:rsid w:val="65122A22"/>
    <w:rsid w:val="65184CDC"/>
    <w:rsid w:val="651D2F4B"/>
    <w:rsid w:val="6520586C"/>
    <w:rsid w:val="65225687"/>
    <w:rsid w:val="652505C7"/>
    <w:rsid w:val="65255221"/>
    <w:rsid w:val="652F4B50"/>
    <w:rsid w:val="65320592"/>
    <w:rsid w:val="65352262"/>
    <w:rsid w:val="65391F52"/>
    <w:rsid w:val="653B030A"/>
    <w:rsid w:val="6540216E"/>
    <w:rsid w:val="6544084C"/>
    <w:rsid w:val="654C06EB"/>
    <w:rsid w:val="65711A06"/>
    <w:rsid w:val="65714BC9"/>
    <w:rsid w:val="65724683"/>
    <w:rsid w:val="65762A83"/>
    <w:rsid w:val="658524FE"/>
    <w:rsid w:val="65860477"/>
    <w:rsid w:val="658A4AC2"/>
    <w:rsid w:val="658E66A9"/>
    <w:rsid w:val="659719A5"/>
    <w:rsid w:val="659768E8"/>
    <w:rsid w:val="65994000"/>
    <w:rsid w:val="65A31A71"/>
    <w:rsid w:val="65AD2F21"/>
    <w:rsid w:val="65AD4123"/>
    <w:rsid w:val="65B228BF"/>
    <w:rsid w:val="65B45FA0"/>
    <w:rsid w:val="65B550FA"/>
    <w:rsid w:val="65B95F16"/>
    <w:rsid w:val="65BD6A37"/>
    <w:rsid w:val="65C96BF5"/>
    <w:rsid w:val="65D420B7"/>
    <w:rsid w:val="65D50280"/>
    <w:rsid w:val="65D516AB"/>
    <w:rsid w:val="65DA6FA5"/>
    <w:rsid w:val="65E469B9"/>
    <w:rsid w:val="65E94A91"/>
    <w:rsid w:val="65E97A17"/>
    <w:rsid w:val="65EB1A66"/>
    <w:rsid w:val="65F50EFF"/>
    <w:rsid w:val="65F6131A"/>
    <w:rsid w:val="65F87EE8"/>
    <w:rsid w:val="65FA2543"/>
    <w:rsid w:val="66062D34"/>
    <w:rsid w:val="660A6344"/>
    <w:rsid w:val="660B6E12"/>
    <w:rsid w:val="661150DF"/>
    <w:rsid w:val="661A4AC5"/>
    <w:rsid w:val="6624512F"/>
    <w:rsid w:val="66295EF8"/>
    <w:rsid w:val="662E67CC"/>
    <w:rsid w:val="66305A6E"/>
    <w:rsid w:val="66340B7E"/>
    <w:rsid w:val="6639754C"/>
    <w:rsid w:val="663C0E16"/>
    <w:rsid w:val="663F55ED"/>
    <w:rsid w:val="663F5CB9"/>
    <w:rsid w:val="66452604"/>
    <w:rsid w:val="66460CE3"/>
    <w:rsid w:val="664B7D87"/>
    <w:rsid w:val="664E173A"/>
    <w:rsid w:val="66530961"/>
    <w:rsid w:val="665E5F21"/>
    <w:rsid w:val="66686991"/>
    <w:rsid w:val="66735546"/>
    <w:rsid w:val="66764D34"/>
    <w:rsid w:val="6681097E"/>
    <w:rsid w:val="66865EBF"/>
    <w:rsid w:val="668670D4"/>
    <w:rsid w:val="66893AB2"/>
    <w:rsid w:val="668A2784"/>
    <w:rsid w:val="668E74C0"/>
    <w:rsid w:val="66944478"/>
    <w:rsid w:val="66961E9C"/>
    <w:rsid w:val="669C1C39"/>
    <w:rsid w:val="669F0DD7"/>
    <w:rsid w:val="66A14990"/>
    <w:rsid w:val="66B15758"/>
    <w:rsid w:val="66B2177A"/>
    <w:rsid w:val="66B43318"/>
    <w:rsid w:val="66BD7A83"/>
    <w:rsid w:val="66C2550F"/>
    <w:rsid w:val="66CB3704"/>
    <w:rsid w:val="66CD1ADC"/>
    <w:rsid w:val="66CD41A2"/>
    <w:rsid w:val="66D035E5"/>
    <w:rsid w:val="66D67F70"/>
    <w:rsid w:val="66D7383E"/>
    <w:rsid w:val="66D86466"/>
    <w:rsid w:val="66DE4DB0"/>
    <w:rsid w:val="66E0554D"/>
    <w:rsid w:val="66EF254D"/>
    <w:rsid w:val="66F17846"/>
    <w:rsid w:val="66F23762"/>
    <w:rsid w:val="671136F1"/>
    <w:rsid w:val="671D201A"/>
    <w:rsid w:val="671E19D0"/>
    <w:rsid w:val="672834E4"/>
    <w:rsid w:val="6731235A"/>
    <w:rsid w:val="673226DD"/>
    <w:rsid w:val="67325781"/>
    <w:rsid w:val="673332D4"/>
    <w:rsid w:val="67367960"/>
    <w:rsid w:val="673B457D"/>
    <w:rsid w:val="67424340"/>
    <w:rsid w:val="674C2860"/>
    <w:rsid w:val="67574881"/>
    <w:rsid w:val="675864E7"/>
    <w:rsid w:val="675A395C"/>
    <w:rsid w:val="675C4DDA"/>
    <w:rsid w:val="6764244C"/>
    <w:rsid w:val="67672D56"/>
    <w:rsid w:val="6770044D"/>
    <w:rsid w:val="67782223"/>
    <w:rsid w:val="67826625"/>
    <w:rsid w:val="678A1FB6"/>
    <w:rsid w:val="678B38B1"/>
    <w:rsid w:val="678E6802"/>
    <w:rsid w:val="6792268F"/>
    <w:rsid w:val="6796727D"/>
    <w:rsid w:val="67B10006"/>
    <w:rsid w:val="67B25853"/>
    <w:rsid w:val="67B879A2"/>
    <w:rsid w:val="67BA3E66"/>
    <w:rsid w:val="67BD36F9"/>
    <w:rsid w:val="67CE33D5"/>
    <w:rsid w:val="67D17D86"/>
    <w:rsid w:val="67D227B7"/>
    <w:rsid w:val="67D77131"/>
    <w:rsid w:val="67E7796D"/>
    <w:rsid w:val="67EB1CFB"/>
    <w:rsid w:val="67EC57FB"/>
    <w:rsid w:val="67F95C58"/>
    <w:rsid w:val="680A1F5D"/>
    <w:rsid w:val="680A3424"/>
    <w:rsid w:val="680C4A46"/>
    <w:rsid w:val="680E27C5"/>
    <w:rsid w:val="68133822"/>
    <w:rsid w:val="681D53AE"/>
    <w:rsid w:val="68205F7B"/>
    <w:rsid w:val="682B6B0F"/>
    <w:rsid w:val="682C4A9A"/>
    <w:rsid w:val="683513B2"/>
    <w:rsid w:val="68365446"/>
    <w:rsid w:val="683D6961"/>
    <w:rsid w:val="68465BE5"/>
    <w:rsid w:val="684D2161"/>
    <w:rsid w:val="685E1AB3"/>
    <w:rsid w:val="68645E35"/>
    <w:rsid w:val="686B53DF"/>
    <w:rsid w:val="68704A5E"/>
    <w:rsid w:val="68772691"/>
    <w:rsid w:val="687B09E1"/>
    <w:rsid w:val="688439FB"/>
    <w:rsid w:val="689044FE"/>
    <w:rsid w:val="6891166A"/>
    <w:rsid w:val="68954387"/>
    <w:rsid w:val="689A44A2"/>
    <w:rsid w:val="689A51A2"/>
    <w:rsid w:val="689E43D7"/>
    <w:rsid w:val="68AB3DD3"/>
    <w:rsid w:val="68AC6478"/>
    <w:rsid w:val="68AF59C1"/>
    <w:rsid w:val="68B341DF"/>
    <w:rsid w:val="68B4076A"/>
    <w:rsid w:val="68B547A5"/>
    <w:rsid w:val="68BC0290"/>
    <w:rsid w:val="68C94669"/>
    <w:rsid w:val="68CB7074"/>
    <w:rsid w:val="68D034A3"/>
    <w:rsid w:val="68D115AB"/>
    <w:rsid w:val="68D518BE"/>
    <w:rsid w:val="68EA699F"/>
    <w:rsid w:val="68EA7A68"/>
    <w:rsid w:val="68ED31FE"/>
    <w:rsid w:val="68EF0F81"/>
    <w:rsid w:val="68F267FA"/>
    <w:rsid w:val="68F35DEA"/>
    <w:rsid w:val="68FB5F53"/>
    <w:rsid w:val="69004AAD"/>
    <w:rsid w:val="69084E6C"/>
    <w:rsid w:val="69097407"/>
    <w:rsid w:val="69174989"/>
    <w:rsid w:val="69193ADA"/>
    <w:rsid w:val="69275369"/>
    <w:rsid w:val="692C198F"/>
    <w:rsid w:val="692D768A"/>
    <w:rsid w:val="69407E0E"/>
    <w:rsid w:val="6944301C"/>
    <w:rsid w:val="6944321C"/>
    <w:rsid w:val="6949485F"/>
    <w:rsid w:val="694D518E"/>
    <w:rsid w:val="69575715"/>
    <w:rsid w:val="69606004"/>
    <w:rsid w:val="696576A4"/>
    <w:rsid w:val="6967726F"/>
    <w:rsid w:val="697815AF"/>
    <w:rsid w:val="697A00D6"/>
    <w:rsid w:val="697A0310"/>
    <w:rsid w:val="69826AC0"/>
    <w:rsid w:val="698649FA"/>
    <w:rsid w:val="69875FD4"/>
    <w:rsid w:val="69894A11"/>
    <w:rsid w:val="69910FF0"/>
    <w:rsid w:val="69A03700"/>
    <w:rsid w:val="69A62159"/>
    <w:rsid w:val="69AC23A9"/>
    <w:rsid w:val="69B30344"/>
    <w:rsid w:val="69B8294C"/>
    <w:rsid w:val="69C12909"/>
    <w:rsid w:val="69C41CAD"/>
    <w:rsid w:val="69C9523C"/>
    <w:rsid w:val="69CB4B06"/>
    <w:rsid w:val="69D5345D"/>
    <w:rsid w:val="69D713B7"/>
    <w:rsid w:val="69E3424A"/>
    <w:rsid w:val="69E63BA6"/>
    <w:rsid w:val="69E97969"/>
    <w:rsid w:val="69ED1076"/>
    <w:rsid w:val="69FD3935"/>
    <w:rsid w:val="69FE76EC"/>
    <w:rsid w:val="69FF5D56"/>
    <w:rsid w:val="6A026A25"/>
    <w:rsid w:val="6A091791"/>
    <w:rsid w:val="6A094475"/>
    <w:rsid w:val="6A121D4C"/>
    <w:rsid w:val="6A2C31D8"/>
    <w:rsid w:val="6A320250"/>
    <w:rsid w:val="6A323D8C"/>
    <w:rsid w:val="6A3777A8"/>
    <w:rsid w:val="6A3877C1"/>
    <w:rsid w:val="6A40325F"/>
    <w:rsid w:val="6A4D79D5"/>
    <w:rsid w:val="6A5356F7"/>
    <w:rsid w:val="6A5A321E"/>
    <w:rsid w:val="6A5A5884"/>
    <w:rsid w:val="6A617CC5"/>
    <w:rsid w:val="6A6604F0"/>
    <w:rsid w:val="6A6B690B"/>
    <w:rsid w:val="6A6D0A35"/>
    <w:rsid w:val="6A8E655B"/>
    <w:rsid w:val="6A963C65"/>
    <w:rsid w:val="6A9764BC"/>
    <w:rsid w:val="6A9A10BC"/>
    <w:rsid w:val="6A9A7CFD"/>
    <w:rsid w:val="6AAA0966"/>
    <w:rsid w:val="6AAA54B5"/>
    <w:rsid w:val="6AB36AA8"/>
    <w:rsid w:val="6AB370FF"/>
    <w:rsid w:val="6AB66B15"/>
    <w:rsid w:val="6AB701FA"/>
    <w:rsid w:val="6AB72FE5"/>
    <w:rsid w:val="6AB82939"/>
    <w:rsid w:val="6AC120D8"/>
    <w:rsid w:val="6AC219F9"/>
    <w:rsid w:val="6AC24D84"/>
    <w:rsid w:val="6AC25F3C"/>
    <w:rsid w:val="6AC451FB"/>
    <w:rsid w:val="6AC6351C"/>
    <w:rsid w:val="6AC67705"/>
    <w:rsid w:val="6ACA0149"/>
    <w:rsid w:val="6AE0092D"/>
    <w:rsid w:val="6AE31517"/>
    <w:rsid w:val="6AE908F1"/>
    <w:rsid w:val="6AF107FC"/>
    <w:rsid w:val="6AF85B30"/>
    <w:rsid w:val="6AFA253E"/>
    <w:rsid w:val="6B081846"/>
    <w:rsid w:val="6B095854"/>
    <w:rsid w:val="6B0F3F1A"/>
    <w:rsid w:val="6B1272E7"/>
    <w:rsid w:val="6B176896"/>
    <w:rsid w:val="6B200B85"/>
    <w:rsid w:val="6B291125"/>
    <w:rsid w:val="6B2B0790"/>
    <w:rsid w:val="6B2B70B4"/>
    <w:rsid w:val="6B3346A9"/>
    <w:rsid w:val="6B3B12A1"/>
    <w:rsid w:val="6B3E4826"/>
    <w:rsid w:val="6B4A659E"/>
    <w:rsid w:val="6B4C64EA"/>
    <w:rsid w:val="6B520916"/>
    <w:rsid w:val="6B545032"/>
    <w:rsid w:val="6B682116"/>
    <w:rsid w:val="6B6838C9"/>
    <w:rsid w:val="6B722E05"/>
    <w:rsid w:val="6B751FCE"/>
    <w:rsid w:val="6B7939DA"/>
    <w:rsid w:val="6B7A5412"/>
    <w:rsid w:val="6B7C6405"/>
    <w:rsid w:val="6B7F64AB"/>
    <w:rsid w:val="6B846EF4"/>
    <w:rsid w:val="6B855BDC"/>
    <w:rsid w:val="6B8C4DA7"/>
    <w:rsid w:val="6B91486F"/>
    <w:rsid w:val="6B92723A"/>
    <w:rsid w:val="6B945BBF"/>
    <w:rsid w:val="6B9941EE"/>
    <w:rsid w:val="6B9A7CD8"/>
    <w:rsid w:val="6BAE0A1B"/>
    <w:rsid w:val="6BB30447"/>
    <w:rsid w:val="6BBE6D2F"/>
    <w:rsid w:val="6BC04A11"/>
    <w:rsid w:val="6BDD53FD"/>
    <w:rsid w:val="6BE84124"/>
    <w:rsid w:val="6BEA249C"/>
    <w:rsid w:val="6BEB4C1D"/>
    <w:rsid w:val="6BF5230D"/>
    <w:rsid w:val="6BF640CD"/>
    <w:rsid w:val="6BFD1844"/>
    <w:rsid w:val="6BFE7FD4"/>
    <w:rsid w:val="6C03128B"/>
    <w:rsid w:val="6C034FB4"/>
    <w:rsid w:val="6C05519A"/>
    <w:rsid w:val="6C0569C9"/>
    <w:rsid w:val="6C0E2A3B"/>
    <w:rsid w:val="6C1744BE"/>
    <w:rsid w:val="6C190122"/>
    <w:rsid w:val="6C1902BA"/>
    <w:rsid w:val="6C1C5A28"/>
    <w:rsid w:val="6C287541"/>
    <w:rsid w:val="6C377F0E"/>
    <w:rsid w:val="6C3A1D24"/>
    <w:rsid w:val="6C3C08B1"/>
    <w:rsid w:val="6C426ED4"/>
    <w:rsid w:val="6C466ECE"/>
    <w:rsid w:val="6C4C0DE9"/>
    <w:rsid w:val="6C594359"/>
    <w:rsid w:val="6C5C72FA"/>
    <w:rsid w:val="6C605DB0"/>
    <w:rsid w:val="6C651075"/>
    <w:rsid w:val="6C6701F2"/>
    <w:rsid w:val="6C673849"/>
    <w:rsid w:val="6C6E7A01"/>
    <w:rsid w:val="6C762570"/>
    <w:rsid w:val="6C80342F"/>
    <w:rsid w:val="6C811662"/>
    <w:rsid w:val="6C811960"/>
    <w:rsid w:val="6C853AC4"/>
    <w:rsid w:val="6C894FCD"/>
    <w:rsid w:val="6C937246"/>
    <w:rsid w:val="6C950BEA"/>
    <w:rsid w:val="6C9816CF"/>
    <w:rsid w:val="6CA55FAD"/>
    <w:rsid w:val="6CB25092"/>
    <w:rsid w:val="6CB736E9"/>
    <w:rsid w:val="6CBA5F3C"/>
    <w:rsid w:val="6CCB3706"/>
    <w:rsid w:val="6CD96CEE"/>
    <w:rsid w:val="6CDF4A66"/>
    <w:rsid w:val="6CE61633"/>
    <w:rsid w:val="6CEF2DC8"/>
    <w:rsid w:val="6CF43CCE"/>
    <w:rsid w:val="6CF536E9"/>
    <w:rsid w:val="6CF5606F"/>
    <w:rsid w:val="6CFD4C03"/>
    <w:rsid w:val="6CFF7217"/>
    <w:rsid w:val="6D04288A"/>
    <w:rsid w:val="6D0F14C3"/>
    <w:rsid w:val="6D0F4DB6"/>
    <w:rsid w:val="6D110C1A"/>
    <w:rsid w:val="6D132B21"/>
    <w:rsid w:val="6D170A5C"/>
    <w:rsid w:val="6D172E46"/>
    <w:rsid w:val="6D1A177B"/>
    <w:rsid w:val="6D1A6E88"/>
    <w:rsid w:val="6D1F797B"/>
    <w:rsid w:val="6D2B237C"/>
    <w:rsid w:val="6D313400"/>
    <w:rsid w:val="6D3C47A4"/>
    <w:rsid w:val="6D6A12BE"/>
    <w:rsid w:val="6D6B7CF9"/>
    <w:rsid w:val="6D6B7DDB"/>
    <w:rsid w:val="6D76781F"/>
    <w:rsid w:val="6D7A1B4D"/>
    <w:rsid w:val="6D7E720D"/>
    <w:rsid w:val="6D837FA1"/>
    <w:rsid w:val="6D886614"/>
    <w:rsid w:val="6D892E00"/>
    <w:rsid w:val="6D8B1C75"/>
    <w:rsid w:val="6D932EAF"/>
    <w:rsid w:val="6DA10555"/>
    <w:rsid w:val="6DAD5678"/>
    <w:rsid w:val="6DB73BF9"/>
    <w:rsid w:val="6DBD0DAF"/>
    <w:rsid w:val="6DC4482D"/>
    <w:rsid w:val="6DCA6791"/>
    <w:rsid w:val="6DCD58AB"/>
    <w:rsid w:val="6DD6111A"/>
    <w:rsid w:val="6DE00C70"/>
    <w:rsid w:val="6DE353F1"/>
    <w:rsid w:val="6DEB463B"/>
    <w:rsid w:val="6DEE24EC"/>
    <w:rsid w:val="6DF5372B"/>
    <w:rsid w:val="6DF81E00"/>
    <w:rsid w:val="6DF90DFC"/>
    <w:rsid w:val="6DFC5BBF"/>
    <w:rsid w:val="6DFE6212"/>
    <w:rsid w:val="6E040FB9"/>
    <w:rsid w:val="6E0463C0"/>
    <w:rsid w:val="6E124682"/>
    <w:rsid w:val="6E19302D"/>
    <w:rsid w:val="6E1B1178"/>
    <w:rsid w:val="6E1B3FDD"/>
    <w:rsid w:val="6E1E7048"/>
    <w:rsid w:val="6E2634B4"/>
    <w:rsid w:val="6E2C1EB9"/>
    <w:rsid w:val="6E2C223A"/>
    <w:rsid w:val="6E2F2D71"/>
    <w:rsid w:val="6E2F5F26"/>
    <w:rsid w:val="6E305619"/>
    <w:rsid w:val="6E387B7D"/>
    <w:rsid w:val="6E3F16B5"/>
    <w:rsid w:val="6E402157"/>
    <w:rsid w:val="6E406975"/>
    <w:rsid w:val="6E414522"/>
    <w:rsid w:val="6E424B3C"/>
    <w:rsid w:val="6E4B3F9A"/>
    <w:rsid w:val="6E580429"/>
    <w:rsid w:val="6E5B4A18"/>
    <w:rsid w:val="6E610468"/>
    <w:rsid w:val="6E611A4E"/>
    <w:rsid w:val="6E6219EF"/>
    <w:rsid w:val="6E63437A"/>
    <w:rsid w:val="6E6A2935"/>
    <w:rsid w:val="6E6F563B"/>
    <w:rsid w:val="6E72645D"/>
    <w:rsid w:val="6E7352B3"/>
    <w:rsid w:val="6E7516E4"/>
    <w:rsid w:val="6E766DC9"/>
    <w:rsid w:val="6E7D51C4"/>
    <w:rsid w:val="6E801620"/>
    <w:rsid w:val="6E804815"/>
    <w:rsid w:val="6E822FFE"/>
    <w:rsid w:val="6E862B6D"/>
    <w:rsid w:val="6E862F48"/>
    <w:rsid w:val="6E926828"/>
    <w:rsid w:val="6E997680"/>
    <w:rsid w:val="6EAC0AF4"/>
    <w:rsid w:val="6EAD08D9"/>
    <w:rsid w:val="6EAD7F56"/>
    <w:rsid w:val="6EB01DE3"/>
    <w:rsid w:val="6EB5146A"/>
    <w:rsid w:val="6EB86EA2"/>
    <w:rsid w:val="6EC008FC"/>
    <w:rsid w:val="6EC429D7"/>
    <w:rsid w:val="6ECD799E"/>
    <w:rsid w:val="6ECE33F4"/>
    <w:rsid w:val="6ED245B0"/>
    <w:rsid w:val="6ED71DD0"/>
    <w:rsid w:val="6EE10E0F"/>
    <w:rsid w:val="6EEE3DEA"/>
    <w:rsid w:val="6EEF756C"/>
    <w:rsid w:val="6EF32476"/>
    <w:rsid w:val="6EF55BD9"/>
    <w:rsid w:val="6EFB2C0E"/>
    <w:rsid w:val="6EFF14A7"/>
    <w:rsid w:val="6F065E48"/>
    <w:rsid w:val="6F072BA5"/>
    <w:rsid w:val="6F134346"/>
    <w:rsid w:val="6F1513F7"/>
    <w:rsid w:val="6F170A4D"/>
    <w:rsid w:val="6F193CE0"/>
    <w:rsid w:val="6F2A3DFB"/>
    <w:rsid w:val="6F3369BB"/>
    <w:rsid w:val="6F3E6C19"/>
    <w:rsid w:val="6F4C4F92"/>
    <w:rsid w:val="6F511EE4"/>
    <w:rsid w:val="6F576BAB"/>
    <w:rsid w:val="6F5B6062"/>
    <w:rsid w:val="6F5B6A33"/>
    <w:rsid w:val="6F5C3422"/>
    <w:rsid w:val="6F5F7E5D"/>
    <w:rsid w:val="6F630569"/>
    <w:rsid w:val="6F674830"/>
    <w:rsid w:val="6F6F0AA0"/>
    <w:rsid w:val="6F712CFE"/>
    <w:rsid w:val="6F724FCC"/>
    <w:rsid w:val="6F725984"/>
    <w:rsid w:val="6F726F60"/>
    <w:rsid w:val="6F73576B"/>
    <w:rsid w:val="6F757E94"/>
    <w:rsid w:val="6F783CF9"/>
    <w:rsid w:val="6F791A83"/>
    <w:rsid w:val="6F7A325E"/>
    <w:rsid w:val="6F86506B"/>
    <w:rsid w:val="6F881FEB"/>
    <w:rsid w:val="6F8B2862"/>
    <w:rsid w:val="6F8C070F"/>
    <w:rsid w:val="6F8C779B"/>
    <w:rsid w:val="6F8F1524"/>
    <w:rsid w:val="6F922CE7"/>
    <w:rsid w:val="6F936945"/>
    <w:rsid w:val="6F963980"/>
    <w:rsid w:val="6F9956D1"/>
    <w:rsid w:val="6F9B74DC"/>
    <w:rsid w:val="6F9D7521"/>
    <w:rsid w:val="6FA155D5"/>
    <w:rsid w:val="6FA945F3"/>
    <w:rsid w:val="6FAC463B"/>
    <w:rsid w:val="6FAD1747"/>
    <w:rsid w:val="6FB0406F"/>
    <w:rsid w:val="6FB658B9"/>
    <w:rsid w:val="6FBD24A6"/>
    <w:rsid w:val="6FC37E8F"/>
    <w:rsid w:val="6FCA088F"/>
    <w:rsid w:val="6FCB285C"/>
    <w:rsid w:val="6FCE07A2"/>
    <w:rsid w:val="6FD85295"/>
    <w:rsid w:val="6FDE2A2A"/>
    <w:rsid w:val="6FE26DB4"/>
    <w:rsid w:val="6FE4735A"/>
    <w:rsid w:val="6FE50C33"/>
    <w:rsid w:val="6FE81C55"/>
    <w:rsid w:val="6FED22CC"/>
    <w:rsid w:val="6FF84FF0"/>
    <w:rsid w:val="6FFD2DDD"/>
    <w:rsid w:val="6FFE3146"/>
    <w:rsid w:val="700A5AA4"/>
    <w:rsid w:val="700A5E30"/>
    <w:rsid w:val="700B4CA0"/>
    <w:rsid w:val="7010420A"/>
    <w:rsid w:val="70131D6D"/>
    <w:rsid w:val="7021525A"/>
    <w:rsid w:val="702C707B"/>
    <w:rsid w:val="702D2958"/>
    <w:rsid w:val="70323DBD"/>
    <w:rsid w:val="70351D2B"/>
    <w:rsid w:val="703A3E84"/>
    <w:rsid w:val="703C3B35"/>
    <w:rsid w:val="703D3A58"/>
    <w:rsid w:val="704114DE"/>
    <w:rsid w:val="70413BEB"/>
    <w:rsid w:val="70495E16"/>
    <w:rsid w:val="704C2DF0"/>
    <w:rsid w:val="70522D9F"/>
    <w:rsid w:val="70565D1B"/>
    <w:rsid w:val="705F7547"/>
    <w:rsid w:val="70612B4A"/>
    <w:rsid w:val="706D4A29"/>
    <w:rsid w:val="707673C3"/>
    <w:rsid w:val="70775E46"/>
    <w:rsid w:val="70870B1F"/>
    <w:rsid w:val="708D1ADE"/>
    <w:rsid w:val="709177AA"/>
    <w:rsid w:val="70917E45"/>
    <w:rsid w:val="709F7CAA"/>
    <w:rsid w:val="70A11E84"/>
    <w:rsid w:val="70A55685"/>
    <w:rsid w:val="70A75E78"/>
    <w:rsid w:val="70AC0078"/>
    <w:rsid w:val="70AC19F3"/>
    <w:rsid w:val="70C07B9A"/>
    <w:rsid w:val="70C730B6"/>
    <w:rsid w:val="70C84EED"/>
    <w:rsid w:val="70CF44E0"/>
    <w:rsid w:val="70D134DD"/>
    <w:rsid w:val="70E215AC"/>
    <w:rsid w:val="70E74002"/>
    <w:rsid w:val="70F17BE3"/>
    <w:rsid w:val="70F54537"/>
    <w:rsid w:val="70FB7FC2"/>
    <w:rsid w:val="710931B0"/>
    <w:rsid w:val="710F37E5"/>
    <w:rsid w:val="710F7CFE"/>
    <w:rsid w:val="711038EF"/>
    <w:rsid w:val="711C07AD"/>
    <w:rsid w:val="711D73A5"/>
    <w:rsid w:val="712467E0"/>
    <w:rsid w:val="71263EE7"/>
    <w:rsid w:val="7129026F"/>
    <w:rsid w:val="71304C8A"/>
    <w:rsid w:val="71332AE5"/>
    <w:rsid w:val="713A069E"/>
    <w:rsid w:val="713C75DA"/>
    <w:rsid w:val="71413502"/>
    <w:rsid w:val="714F77B8"/>
    <w:rsid w:val="71567F3A"/>
    <w:rsid w:val="715C7F5B"/>
    <w:rsid w:val="716254DB"/>
    <w:rsid w:val="71650D7C"/>
    <w:rsid w:val="716672DD"/>
    <w:rsid w:val="71690B9C"/>
    <w:rsid w:val="71696B89"/>
    <w:rsid w:val="716A7CC0"/>
    <w:rsid w:val="716C36A6"/>
    <w:rsid w:val="71701574"/>
    <w:rsid w:val="71731992"/>
    <w:rsid w:val="717447C0"/>
    <w:rsid w:val="718B0C94"/>
    <w:rsid w:val="718C797D"/>
    <w:rsid w:val="718F17A1"/>
    <w:rsid w:val="7195733C"/>
    <w:rsid w:val="719814AC"/>
    <w:rsid w:val="719C3D0B"/>
    <w:rsid w:val="719D4264"/>
    <w:rsid w:val="71A01236"/>
    <w:rsid w:val="71A30030"/>
    <w:rsid w:val="71AA150A"/>
    <w:rsid w:val="71AD71AA"/>
    <w:rsid w:val="71AF17B9"/>
    <w:rsid w:val="71BB7637"/>
    <w:rsid w:val="71BF7735"/>
    <w:rsid w:val="71C43969"/>
    <w:rsid w:val="71C574AC"/>
    <w:rsid w:val="71CA7A38"/>
    <w:rsid w:val="71D327D9"/>
    <w:rsid w:val="71D9494D"/>
    <w:rsid w:val="71DA2D4C"/>
    <w:rsid w:val="71E23EC7"/>
    <w:rsid w:val="71F570A3"/>
    <w:rsid w:val="71FD3815"/>
    <w:rsid w:val="71FE5F7E"/>
    <w:rsid w:val="71FF1E8A"/>
    <w:rsid w:val="72127AC6"/>
    <w:rsid w:val="721871DD"/>
    <w:rsid w:val="722145EB"/>
    <w:rsid w:val="7223036A"/>
    <w:rsid w:val="722364D0"/>
    <w:rsid w:val="72251ED3"/>
    <w:rsid w:val="7227679D"/>
    <w:rsid w:val="722B6E29"/>
    <w:rsid w:val="7232313D"/>
    <w:rsid w:val="723359DE"/>
    <w:rsid w:val="7235401E"/>
    <w:rsid w:val="72380CC7"/>
    <w:rsid w:val="723F58C3"/>
    <w:rsid w:val="72407594"/>
    <w:rsid w:val="72436318"/>
    <w:rsid w:val="72487CE0"/>
    <w:rsid w:val="724A0587"/>
    <w:rsid w:val="724C3775"/>
    <w:rsid w:val="72502FD4"/>
    <w:rsid w:val="72530193"/>
    <w:rsid w:val="725544BA"/>
    <w:rsid w:val="7261274C"/>
    <w:rsid w:val="726822D9"/>
    <w:rsid w:val="727C3CB9"/>
    <w:rsid w:val="72A36EC0"/>
    <w:rsid w:val="72B93507"/>
    <w:rsid w:val="72BE394E"/>
    <w:rsid w:val="72BF2E42"/>
    <w:rsid w:val="72C02CCD"/>
    <w:rsid w:val="72CB293F"/>
    <w:rsid w:val="72D2349C"/>
    <w:rsid w:val="72D41E32"/>
    <w:rsid w:val="72DA112E"/>
    <w:rsid w:val="72DC3E1E"/>
    <w:rsid w:val="72DE52DA"/>
    <w:rsid w:val="72E03114"/>
    <w:rsid w:val="72E1072F"/>
    <w:rsid w:val="72E2484B"/>
    <w:rsid w:val="72EC2869"/>
    <w:rsid w:val="72F271C1"/>
    <w:rsid w:val="73001013"/>
    <w:rsid w:val="730207B8"/>
    <w:rsid w:val="730528A9"/>
    <w:rsid w:val="73096A16"/>
    <w:rsid w:val="731275F7"/>
    <w:rsid w:val="73154FAD"/>
    <w:rsid w:val="731B706E"/>
    <w:rsid w:val="73233F97"/>
    <w:rsid w:val="73291EFE"/>
    <w:rsid w:val="732E456F"/>
    <w:rsid w:val="73312CAC"/>
    <w:rsid w:val="73387FB2"/>
    <w:rsid w:val="733A33AE"/>
    <w:rsid w:val="7353075A"/>
    <w:rsid w:val="73544E4A"/>
    <w:rsid w:val="73574851"/>
    <w:rsid w:val="73586C5A"/>
    <w:rsid w:val="735F26E2"/>
    <w:rsid w:val="73607583"/>
    <w:rsid w:val="736113F9"/>
    <w:rsid w:val="73634BD7"/>
    <w:rsid w:val="73672979"/>
    <w:rsid w:val="736B174C"/>
    <w:rsid w:val="73703965"/>
    <w:rsid w:val="737052B5"/>
    <w:rsid w:val="7371529A"/>
    <w:rsid w:val="737672E2"/>
    <w:rsid w:val="737A1CB7"/>
    <w:rsid w:val="73812E43"/>
    <w:rsid w:val="73841AAF"/>
    <w:rsid w:val="7389380C"/>
    <w:rsid w:val="738A5BDF"/>
    <w:rsid w:val="73907E7B"/>
    <w:rsid w:val="739340BB"/>
    <w:rsid w:val="73974E6A"/>
    <w:rsid w:val="73976770"/>
    <w:rsid w:val="73A92915"/>
    <w:rsid w:val="73AA26EC"/>
    <w:rsid w:val="73B77F17"/>
    <w:rsid w:val="73B97C46"/>
    <w:rsid w:val="73BF3207"/>
    <w:rsid w:val="73C2191D"/>
    <w:rsid w:val="73C46856"/>
    <w:rsid w:val="73C744FC"/>
    <w:rsid w:val="73D146B2"/>
    <w:rsid w:val="73D43118"/>
    <w:rsid w:val="73D66E6A"/>
    <w:rsid w:val="73DB651A"/>
    <w:rsid w:val="73DE3C21"/>
    <w:rsid w:val="73E32F09"/>
    <w:rsid w:val="73EA5F89"/>
    <w:rsid w:val="73EB5EF6"/>
    <w:rsid w:val="73F53D53"/>
    <w:rsid w:val="73FA2F75"/>
    <w:rsid w:val="73FA450F"/>
    <w:rsid w:val="73FE6CD9"/>
    <w:rsid w:val="7400572B"/>
    <w:rsid w:val="74076858"/>
    <w:rsid w:val="740D0F0B"/>
    <w:rsid w:val="741A3124"/>
    <w:rsid w:val="741D4811"/>
    <w:rsid w:val="74212BAF"/>
    <w:rsid w:val="742475BB"/>
    <w:rsid w:val="7426357E"/>
    <w:rsid w:val="74273E69"/>
    <w:rsid w:val="74292792"/>
    <w:rsid w:val="742B641A"/>
    <w:rsid w:val="742D4D4A"/>
    <w:rsid w:val="742D6C04"/>
    <w:rsid w:val="742F1B00"/>
    <w:rsid w:val="74364FB5"/>
    <w:rsid w:val="7444022D"/>
    <w:rsid w:val="74442F77"/>
    <w:rsid w:val="74484A9B"/>
    <w:rsid w:val="744A540C"/>
    <w:rsid w:val="744D19AB"/>
    <w:rsid w:val="74524688"/>
    <w:rsid w:val="745E5131"/>
    <w:rsid w:val="7465560D"/>
    <w:rsid w:val="7469251B"/>
    <w:rsid w:val="746C0F15"/>
    <w:rsid w:val="746C62CC"/>
    <w:rsid w:val="746F1AFB"/>
    <w:rsid w:val="74810EBA"/>
    <w:rsid w:val="74833EB5"/>
    <w:rsid w:val="74890F33"/>
    <w:rsid w:val="74910885"/>
    <w:rsid w:val="749F1E28"/>
    <w:rsid w:val="74A039B8"/>
    <w:rsid w:val="74A66772"/>
    <w:rsid w:val="74A909E5"/>
    <w:rsid w:val="74AA4F0F"/>
    <w:rsid w:val="74AB749D"/>
    <w:rsid w:val="74AD6512"/>
    <w:rsid w:val="74AD7653"/>
    <w:rsid w:val="74B13E15"/>
    <w:rsid w:val="74B1490A"/>
    <w:rsid w:val="74B6351E"/>
    <w:rsid w:val="74C52A33"/>
    <w:rsid w:val="74CB4C2F"/>
    <w:rsid w:val="74D878C5"/>
    <w:rsid w:val="74DB4EC5"/>
    <w:rsid w:val="74E17101"/>
    <w:rsid w:val="74E871F0"/>
    <w:rsid w:val="74EB34AC"/>
    <w:rsid w:val="74ED6881"/>
    <w:rsid w:val="74F40625"/>
    <w:rsid w:val="74F47AB8"/>
    <w:rsid w:val="74F52FB1"/>
    <w:rsid w:val="74F53091"/>
    <w:rsid w:val="74F574AE"/>
    <w:rsid w:val="74FE1592"/>
    <w:rsid w:val="750228B8"/>
    <w:rsid w:val="75092EF9"/>
    <w:rsid w:val="75141BBD"/>
    <w:rsid w:val="75157C52"/>
    <w:rsid w:val="75170729"/>
    <w:rsid w:val="751A141C"/>
    <w:rsid w:val="751A7F6B"/>
    <w:rsid w:val="751D6EAF"/>
    <w:rsid w:val="752162ED"/>
    <w:rsid w:val="75285F14"/>
    <w:rsid w:val="753047EE"/>
    <w:rsid w:val="753241D6"/>
    <w:rsid w:val="75451F63"/>
    <w:rsid w:val="754751A6"/>
    <w:rsid w:val="75497B05"/>
    <w:rsid w:val="754C54FC"/>
    <w:rsid w:val="756515D5"/>
    <w:rsid w:val="756631C3"/>
    <w:rsid w:val="756E741F"/>
    <w:rsid w:val="756F7EDB"/>
    <w:rsid w:val="75710B71"/>
    <w:rsid w:val="75800338"/>
    <w:rsid w:val="759503D4"/>
    <w:rsid w:val="75984DA0"/>
    <w:rsid w:val="759B40BB"/>
    <w:rsid w:val="759B5B5D"/>
    <w:rsid w:val="75A236B2"/>
    <w:rsid w:val="75A37753"/>
    <w:rsid w:val="75A641C4"/>
    <w:rsid w:val="75B3270C"/>
    <w:rsid w:val="75B50EFF"/>
    <w:rsid w:val="75BE1B38"/>
    <w:rsid w:val="75BF6F03"/>
    <w:rsid w:val="75C20090"/>
    <w:rsid w:val="75C7170E"/>
    <w:rsid w:val="75CB1B3F"/>
    <w:rsid w:val="75E0700F"/>
    <w:rsid w:val="75E1375C"/>
    <w:rsid w:val="75EE20CC"/>
    <w:rsid w:val="75F53481"/>
    <w:rsid w:val="75F71F4D"/>
    <w:rsid w:val="75F7471F"/>
    <w:rsid w:val="75F86A3D"/>
    <w:rsid w:val="75FE09C8"/>
    <w:rsid w:val="761108B6"/>
    <w:rsid w:val="761C303B"/>
    <w:rsid w:val="761E29A2"/>
    <w:rsid w:val="76206BFA"/>
    <w:rsid w:val="76252F85"/>
    <w:rsid w:val="762E2B3C"/>
    <w:rsid w:val="76307C0D"/>
    <w:rsid w:val="76410CB5"/>
    <w:rsid w:val="764456E6"/>
    <w:rsid w:val="76445F25"/>
    <w:rsid w:val="76470EE2"/>
    <w:rsid w:val="76496E5A"/>
    <w:rsid w:val="764C106C"/>
    <w:rsid w:val="764D3E17"/>
    <w:rsid w:val="7665141F"/>
    <w:rsid w:val="76672248"/>
    <w:rsid w:val="766C1EE9"/>
    <w:rsid w:val="76765292"/>
    <w:rsid w:val="76787AF5"/>
    <w:rsid w:val="767E1760"/>
    <w:rsid w:val="767F086B"/>
    <w:rsid w:val="767F20E4"/>
    <w:rsid w:val="76834A1C"/>
    <w:rsid w:val="7683693C"/>
    <w:rsid w:val="76852C07"/>
    <w:rsid w:val="768748DB"/>
    <w:rsid w:val="76883F26"/>
    <w:rsid w:val="768D70AF"/>
    <w:rsid w:val="768E0636"/>
    <w:rsid w:val="769632EF"/>
    <w:rsid w:val="76970DEF"/>
    <w:rsid w:val="76972AAB"/>
    <w:rsid w:val="76A453A4"/>
    <w:rsid w:val="76A80234"/>
    <w:rsid w:val="76A80D31"/>
    <w:rsid w:val="76AB1A36"/>
    <w:rsid w:val="76AD51CC"/>
    <w:rsid w:val="76B00ED2"/>
    <w:rsid w:val="76BD1EC6"/>
    <w:rsid w:val="76C01C98"/>
    <w:rsid w:val="76C25BA1"/>
    <w:rsid w:val="76C31B55"/>
    <w:rsid w:val="76C56BFA"/>
    <w:rsid w:val="76C60922"/>
    <w:rsid w:val="76CB7E3D"/>
    <w:rsid w:val="76DC3209"/>
    <w:rsid w:val="76EA23A7"/>
    <w:rsid w:val="76EA717D"/>
    <w:rsid w:val="76EC45E1"/>
    <w:rsid w:val="76ED0243"/>
    <w:rsid w:val="76F051EC"/>
    <w:rsid w:val="76FE351B"/>
    <w:rsid w:val="76FF0DE4"/>
    <w:rsid w:val="77006FF5"/>
    <w:rsid w:val="77180EEF"/>
    <w:rsid w:val="7719268A"/>
    <w:rsid w:val="771B2BF4"/>
    <w:rsid w:val="771E2E80"/>
    <w:rsid w:val="77242F9B"/>
    <w:rsid w:val="7728787B"/>
    <w:rsid w:val="772C7637"/>
    <w:rsid w:val="773032D4"/>
    <w:rsid w:val="773A02A1"/>
    <w:rsid w:val="773E3044"/>
    <w:rsid w:val="77407DB5"/>
    <w:rsid w:val="77460ECB"/>
    <w:rsid w:val="774631A2"/>
    <w:rsid w:val="77480ACB"/>
    <w:rsid w:val="774E5C04"/>
    <w:rsid w:val="775201BE"/>
    <w:rsid w:val="7759185C"/>
    <w:rsid w:val="775A1150"/>
    <w:rsid w:val="775F2A44"/>
    <w:rsid w:val="776131A9"/>
    <w:rsid w:val="77635C2E"/>
    <w:rsid w:val="77664ECB"/>
    <w:rsid w:val="77675268"/>
    <w:rsid w:val="77697B00"/>
    <w:rsid w:val="776A2C7E"/>
    <w:rsid w:val="77742746"/>
    <w:rsid w:val="77786DA6"/>
    <w:rsid w:val="77811371"/>
    <w:rsid w:val="778843FB"/>
    <w:rsid w:val="778E17B2"/>
    <w:rsid w:val="77990E6A"/>
    <w:rsid w:val="779979CC"/>
    <w:rsid w:val="779A0764"/>
    <w:rsid w:val="779A6024"/>
    <w:rsid w:val="779B311A"/>
    <w:rsid w:val="77A36BEC"/>
    <w:rsid w:val="77B17027"/>
    <w:rsid w:val="77B31333"/>
    <w:rsid w:val="77BA1AC8"/>
    <w:rsid w:val="77BA6CEC"/>
    <w:rsid w:val="77C14AC0"/>
    <w:rsid w:val="77CB14D2"/>
    <w:rsid w:val="77D10265"/>
    <w:rsid w:val="77D35131"/>
    <w:rsid w:val="77DD72E2"/>
    <w:rsid w:val="77E30556"/>
    <w:rsid w:val="77E86777"/>
    <w:rsid w:val="77EE4B6B"/>
    <w:rsid w:val="77F3616A"/>
    <w:rsid w:val="77F40BEF"/>
    <w:rsid w:val="77FA18D0"/>
    <w:rsid w:val="77FE1D66"/>
    <w:rsid w:val="78043735"/>
    <w:rsid w:val="78117C14"/>
    <w:rsid w:val="78176516"/>
    <w:rsid w:val="78184E67"/>
    <w:rsid w:val="78215246"/>
    <w:rsid w:val="78380FE4"/>
    <w:rsid w:val="783F4D93"/>
    <w:rsid w:val="784141EE"/>
    <w:rsid w:val="7848154A"/>
    <w:rsid w:val="784D552D"/>
    <w:rsid w:val="784E19F5"/>
    <w:rsid w:val="784E63B6"/>
    <w:rsid w:val="78505DAA"/>
    <w:rsid w:val="7852701B"/>
    <w:rsid w:val="7853559C"/>
    <w:rsid w:val="78575DAA"/>
    <w:rsid w:val="78621A20"/>
    <w:rsid w:val="78621DDA"/>
    <w:rsid w:val="78704A96"/>
    <w:rsid w:val="78710A7F"/>
    <w:rsid w:val="78721646"/>
    <w:rsid w:val="78722DB3"/>
    <w:rsid w:val="7887256E"/>
    <w:rsid w:val="788F757C"/>
    <w:rsid w:val="78900E9E"/>
    <w:rsid w:val="78903A41"/>
    <w:rsid w:val="78984D40"/>
    <w:rsid w:val="789A31ED"/>
    <w:rsid w:val="789D1371"/>
    <w:rsid w:val="78A2013A"/>
    <w:rsid w:val="78AB3A7C"/>
    <w:rsid w:val="78B02F47"/>
    <w:rsid w:val="78B04BDB"/>
    <w:rsid w:val="78B67A9B"/>
    <w:rsid w:val="78BF08A7"/>
    <w:rsid w:val="78C0160F"/>
    <w:rsid w:val="78C13147"/>
    <w:rsid w:val="78C322D8"/>
    <w:rsid w:val="78C918E5"/>
    <w:rsid w:val="78CE2EB2"/>
    <w:rsid w:val="78D452CE"/>
    <w:rsid w:val="78DD3CE9"/>
    <w:rsid w:val="78DE748C"/>
    <w:rsid w:val="78DF6223"/>
    <w:rsid w:val="78E26799"/>
    <w:rsid w:val="78E65869"/>
    <w:rsid w:val="78EF676B"/>
    <w:rsid w:val="78EF7533"/>
    <w:rsid w:val="78F13E0C"/>
    <w:rsid w:val="78F20EFD"/>
    <w:rsid w:val="78F65E8D"/>
    <w:rsid w:val="78FA0C59"/>
    <w:rsid w:val="78FB65E8"/>
    <w:rsid w:val="78FE41F1"/>
    <w:rsid w:val="7912238A"/>
    <w:rsid w:val="79165EE7"/>
    <w:rsid w:val="791A1817"/>
    <w:rsid w:val="791A48BC"/>
    <w:rsid w:val="791B77BC"/>
    <w:rsid w:val="79200B49"/>
    <w:rsid w:val="79211E4B"/>
    <w:rsid w:val="79257EF3"/>
    <w:rsid w:val="79272FC5"/>
    <w:rsid w:val="7928232A"/>
    <w:rsid w:val="792E6A79"/>
    <w:rsid w:val="793648F4"/>
    <w:rsid w:val="7940051E"/>
    <w:rsid w:val="794A2592"/>
    <w:rsid w:val="7952784C"/>
    <w:rsid w:val="795470A3"/>
    <w:rsid w:val="796075BB"/>
    <w:rsid w:val="7968243D"/>
    <w:rsid w:val="796D46FF"/>
    <w:rsid w:val="79720A2F"/>
    <w:rsid w:val="79766112"/>
    <w:rsid w:val="79771A73"/>
    <w:rsid w:val="79843AC8"/>
    <w:rsid w:val="79862181"/>
    <w:rsid w:val="79876D2B"/>
    <w:rsid w:val="798D54B0"/>
    <w:rsid w:val="79921D48"/>
    <w:rsid w:val="79922665"/>
    <w:rsid w:val="799C6A6B"/>
    <w:rsid w:val="79A87069"/>
    <w:rsid w:val="79B25FF3"/>
    <w:rsid w:val="79B53C6D"/>
    <w:rsid w:val="79B64A30"/>
    <w:rsid w:val="79B666C5"/>
    <w:rsid w:val="79B76B05"/>
    <w:rsid w:val="79C52095"/>
    <w:rsid w:val="79C65BBE"/>
    <w:rsid w:val="79D1116F"/>
    <w:rsid w:val="79D96809"/>
    <w:rsid w:val="79E03305"/>
    <w:rsid w:val="79E226D1"/>
    <w:rsid w:val="79E97929"/>
    <w:rsid w:val="79EA539B"/>
    <w:rsid w:val="79EB4459"/>
    <w:rsid w:val="79F23CDC"/>
    <w:rsid w:val="79F34CAF"/>
    <w:rsid w:val="7A15062E"/>
    <w:rsid w:val="7A1D6F2C"/>
    <w:rsid w:val="7A270D7D"/>
    <w:rsid w:val="7A2B5749"/>
    <w:rsid w:val="7A2C7B18"/>
    <w:rsid w:val="7A32236A"/>
    <w:rsid w:val="7A342DFB"/>
    <w:rsid w:val="7A3E149B"/>
    <w:rsid w:val="7A3E5311"/>
    <w:rsid w:val="7A5C4C55"/>
    <w:rsid w:val="7A5C68FE"/>
    <w:rsid w:val="7A6009F2"/>
    <w:rsid w:val="7A682E8A"/>
    <w:rsid w:val="7A6B4B0F"/>
    <w:rsid w:val="7A6D4697"/>
    <w:rsid w:val="7A73227D"/>
    <w:rsid w:val="7A791E81"/>
    <w:rsid w:val="7A7B3652"/>
    <w:rsid w:val="7A8D452F"/>
    <w:rsid w:val="7A904D85"/>
    <w:rsid w:val="7AA22EFC"/>
    <w:rsid w:val="7AAE18A2"/>
    <w:rsid w:val="7AB37FBB"/>
    <w:rsid w:val="7AB44C4D"/>
    <w:rsid w:val="7AB971D8"/>
    <w:rsid w:val="7ABF5DF1"/>
    <w:rsid w:val="7AC12D9A"/>
    <w:rsid w:val="7AC40312"/>
    <w:rsid w:val="7AC46114"/>
    <w:rsid w:val="7ACB6579"/>
    <w:rsid w:val="7AD53736"/>
    <w:rsid w:val="7AD9270A"/>
    <w:rsid w:val="7AE026C2"/>
    <w:rsid w:val="7AEC5358"/>
    <w:rsid w:val="7AF6355F"/>
    <w:rsid w:val="7AF86AE2"/>
    <w:rsid w:val="7B055E0F"/>
    <w:rsid w:val="7B081DA0"/>
    <w:rsid w:val="7B186B71"/>
    <w:rsid w:val="7B2223D2"/>
    <w:rsid w:val="7B231F28"/>
    <w:rsid w:val="7B25293B"/>
    <w:rsid w:val="7B2C4334"/>
    <w:rsid w:val="7B2C4CC0"/>
    <w:rsid w:val="7B2E2426"/>
    <w:rsid w:val="7B3A0DFE"/>
    <w:rsid w:val="7B3D4DA7"/>
    <w:rsid w:val="7B413E67"/>
    <w:rsid w:val="7B4923F6"/>
    <w:rsid w:val="7B4E236A"/>
    <w:rsid w:val="7B5016EF"/>
    <w:rsid w:val="7B517C6E"/>
    <w:rsid w:val="7B534179"/>
    <w:rsid w:val="7B575748"/>
    <w:rsid w:val="7B5A16BD"/>
    <w:rsid w:val="7B643258"/>
    <w:rsid w:val="7B664932"/>
    <w:rsid w:val="7B83373F"/>
    <w:rsid w:val="7B854C75"/>
    <w:rsid w:val="7B8748BE"/>
    <w:rsid w:val="7B881F3C"/>
    <w:rsid w:val="7B8B01B2"/>
    <w:rsid w:val="7B8E64D2"/>
    <w:rsid w:val="7B97500F"/>
    <w:rsid w:val="7B985C69"/>
    <w:rsid w:val="7B9905A9"/>
    <w:rsid w:val="7BA41BF8"/>
    <w:rsid w:val="7BB10EFE"/>
    <w:rsid w:val="7BB71DFE"/>
    <w:rsid w:val="7BBC2B27"/>
    <w:rsid w:val="7BC56F92"/>
    <w:rsid w:val="7BCE489F"/>
    <w:rsid w:val="7BCE6A58"/>
    <w:rsid w:val="7BCF3C09"/>
    <w:rsid w:val="7BD0460F"/>
    <w:rsid w:val="7BD26592"/>
    <w:rsid w:val="7BDE3918"/>
    <w:rsid w:val="7BEA3BE2"/>
    <w:rsid w:val="7BFB48C3"/>
    <w:rsid w:val="7BFC2A3F"/>
    <w:rsid w:val="7C1D23E6"/>
    <w:rsid w:val="7C1F3E57"/>
    <w:rsid w:val="7C1F7E96"/>
    <w:rsid w:val="7C256FB0"/>
    <w:rsid w:val="7C303EA0"/>
    <w:rsid w:val="7C324AC7"/>
    <w:rsid w:val="7C404365"/>
    <w:rsid w:val="7C4222EC"/>
    <w:rsid w:val="7C425F74"/>
    <w:rsid w:val="7C7566C0"/>
    <w:rsid w:val="7C7D6E82"/>
    <w:rsid w:val="7C82399E"/>
    <w:rsid w:val="7C8825B8"/>
    <w:rsid w:val="7C887B7F"/>
    <w:rsid w:val="7C897EFD"/>
    <w:rsid w:val="7C8B4132"/>
    <w:rsid w:val="7C934E11"/>
    <w:rsid w:val="7C955035"/>
    <w:rsid w:val="7C960A7C"/>
    <w:rsid w:val="7C981479"/>
    <w:rsid w:val="7C98620C"/>
    <w:rsid w:val="7CA621E0"/>
    <w:rsid w:val="7CA778E3"/>
    <w:rsid w:val="7CB47684"/>
    <w:rsid w:val="7CB9688C"/>
    <w:rsid w:val="7CC9599D"/>
    <w:rsid w:val="7CCC22F1"/>
    <w:rsid w:val="7CCF63D9"/>
    <w:rsid w:val="7CD10E3C"/>
    <w:rsid w:val="7CD472FB"/>
    <w:rsid w:val="7CD74DFA"/>
    <w:rsid w:val="7CF349A0"/>
    <w:rsid w:val="7CF43390"/>
    <w:rsid w:val="7CF87A64"/>
    <w:rsid w:val="7D063701"/>
    <w:rsid w:val="7D0C3EEB"/>
    <w:rsid w:val="7D0E6A3E"/>
    <w:rsid w:val="7D103C58"/>
    <w:rsid w:val="7D141D26"/>
    <w:rsid w:val="7D16509E"/>
    <w:rsid w:val="7D1A5047"/>
    <w:rsid w:val="7D231801"/>
    <w:rsid w:val="7D2474D9"/>
    <w:rsid w:val="7D2810B8"/>
    <w:rsid w:val="7D321D31"/>
    <w:rsid w:val="7D327CAA"/>
    <w:rsid w:val="7D3B4997"/>
    <w:rsid w:val="7D464D8B"/>
    <w:rsid w:val="7D4976D6"/>
    <w:rsid w:val="7D527871"/>
    <w:rsid w:val="7D556DD8"/>
    <w:rsid w:val="7D594D25"/>
    <w:rsid w:val="7D604354"/>
    <w:rsid w:val="7D614D41"/>
    <w:rsid w:val="7D6D1027"/>
    <w:rsid w:val="7D6D5112"/>
    <w:rsid w:val="7D755334"/>
    <w:rsid w:val="7D760599"/>
    <w:rsid w:val="7D78013B"/>
    <w:rsid w:val="7D787ECC"/>
    <w:rsid w:val="7D7C2278"/>
    <w:rsid w:val="7D8570B6"/>
    <w:rsid w:val="7D892D2B"/>
    <w:rsid w:val="7D8C206E"/>
    <w:rsid w:val="7D9220EE"/>
    <w:rsid w:val="7D952C01"/>
    <w:rsid w:val="7D9612D8"/>
    <w:rsid w:val="7D9621EC"/>
    <w:rsid w:val="7D9C08D5"/>
    <w:rsid w:val="7DA4468F"/>
    <w:rsid w:val="7DAB4491"/>
    <w:rsid w:val="7DAC3888"/>
    <w:rsid w:val="7DAE681E"/>
    <w:rsid w:val="7DB531D9"/>
    <w:rsid w:val="7DBB7CE9"/>
    <w:rsid w:val="7DC05388"/>
    <w:rsid w:val="7DCB4ECF"/>
    <w:rsid w:val="7DCC6D1C"/>
    <w:rsid w:val="7DD27EC2"/>
    <w:rsid w:val="7DD35BF7"/>
    <w:rsid w:val="7DD720D9"/>
    <w:rsid w:val="7DDA60DC"/>
    <w:rsid w:val="7DEB22A3"/>
    <w:rsid w:val="7DF15509"/>
    <w:rsid w:val="7DF21494"/>
    <w:rsid w:val="7DF24D46"/>
    <w:rsid w:val="7DF5601E"/>
    <w:rsid w:val="7DF5696A"/>
    <w:rsid w:val="7DF92346"/>
    <w:rsid w:val="7E027014"/>
    <w:rsid w:val="7E033F2E"/>
    <w:rsid w:val="7E08160E"/>
    <w:rsid w:val="7E0C5F44"/>
    <w:rsid w:val="7E0D70D3"/>
    <w:rsid w:val="7E0F3EE7"/>
    <w:rsid w:val="7E101E5B"/>
    <w:rsid w:val="7E1A1020"/>
    <w:rsid w:val="7E1B3F33"/>
    <w:rsid w:val="7E1B5F99"/>
    <w:rsid w:val="7E1C01B8"/>
    <w:rsid w:val="7E1C324B"/>
    <w:rsid w:val="7E1C4DB8"/>
    <w:rsid w:val="7E1E5E0F"/>
    <w:rsid w:val="7E255218"/>
    <w:rsid w:val="7E262176"/>
    <w:rsid w:val="7E3F288B"/>
    <w:rsid w:val="7E435CF4"/>
    <w:rsid w:val="7E464A33"/>
    <w:rsid w:val="7E4726DC"/>
    <w:rsid w:val="7E524B0D"/>
    <w:rsid w:val="7E5B760E"/>
    <w:rsid w:val="7E60723E"/>
    <w:rsid w:val="7E676DAA"/>
    <w:rsid w:val="7E691CE1"/>
    <w:rsid w:val="7E7543B0"/>
    <w:rsid w:val="7E754A27"/>
    <w:rsid w:val="7E930BD6"/>
    <w:rsid w:val="7E970804"/>
    <w:rsid w:val="7E9A7C76"/>
    <w:rsid w:val="7EA16809"/>
    <w:rsid w:val="7EA757F3"/>
    <w:rsid w:val="7EA76728"/>
    <w:rsid w:val="7EA77D82"/>
    <w:rsid w:val="7EAA6440"/>
    <w:rsid w:val="7EAD7950"/>
    <w:rsid w:val="7EB07B44"/>
    <w:rsid w:val="7EB62378"/>
    <w:rsid w:val="7EBA4E02"/>
    <w:rsid w:val="7EBD751C"/>
    <w:rsid w:val="7EC46E9A"/>
    <w:rsid w:val="7EC70DDC"/>
    <w:rsid w:val="7EC756AD"/>
    <w:rsid w:val="7ED054A1"/>
    <w:rsid w:val="7ED63B43"/>
    <w:rsid w:val="7ED81A1B"/>
    <w:rsid w:val="7EDA224D"/>
    <w:rsid w:val="7EE613DB"/>
    <w:rsid w:val="7EE85A6F"/>
    <w:rsid w:val="7EEB0D7C"/>
    <w:rsid w:val="7EEC208B"/>
    <w:rsid w:val="7EFC100C"/>
    <w:rsid w:val="7F004803"/>
    <w:rsid w:val="7F07622C"/>
    <w:rsid w:val="7F0F6799"/>
    <w:rsid w:val="7F1207B2"/>
    <w:rsid w:val="7F124DE7"/>
    <w:rsid w:val="7F132329"/>
    <w:rsid w:val="7F152856"/>
    <w:rsid w:val="7F1A3010"/>
    <w:rsid w:val="7F21785D"/>
    <w:rsid w:val="7F287205"/>
    <w:rsid w:val="7F2A4104"/>
    <w:rsid w:val="7F2B2602"/>
    <w:rsid w:val="7F351531"/>
    <w:rsid w:val="7F3C3963"/>
    <w:rsid w:val="7F47771D"/>
    <w:rsid w:val="7F4859B6"/>
    <w:rsid w:val="7F4B7D44"/>
    <w:rsid w:val="7F4F43E9"/>
    <w:rsid w:val="7F4F77B8"/>
    <w:rsid w:val="7F53595E"/>
    <w:rsid w:val="7F5C6669"/>
    <w:rsid w:val="7F607033"/>
    <w:rsid w:val="7F625085"/>
    <w:rsid w:val="7F685C6C"/>
    <w:rsid w:val="7F6951CA"/>
    <w:rsid w:val="7F6C5DF1"/>
    <w:rsid w:val="7F6F3F05"/>
    <w:rsid w:val="7F6F6014"/>
    <w:rsid w:val="7F7933D6"/>
    <w:rsid w:val="7F834CDB"/>
    <w:rsid w:val="7F836A2D"/>
    <w:rsid w:val="7F863B3E"/>
    <w:rsid w:val="7F864B9F"/>
    <w:rsid w:val="7F8D6E67"/>
    <w:rsid w:val="7F95237A"/>
    <w:rsid w:val="7F98638E"/>
    <w:rsid w:val="7FAF48B7"/>
    <w:rsid w:val="7FB3172E"/>
    <w:rsid w:val="7FB62FE3"/>
    <w:rsid w:val="7FBD7D06"/>
    <w:rsid w:val="7FC35BB5"/>
    <w:rsid w:val="7FC45EC4"/>
    <w:rsid w:val="7FC6346B"/>
    <w:rsid w:val="7FCB172A"/>
    <w:rsid w:val="7FCB362A"/>
    <w:rsid w:val="7FD20096"/>
    <w:rsid w:val="7FD270AE"/>
    <w:rsid w:val="7FD276E9"/>
    <w:rsid w:val="7FD7600E"/>
    <w:rsid w:val="7FDB6CBA"/>
    <w:rsid w:val="7FDF0629"/>
    <w:rsid w:val="7FE106D9"/>
    <w:rsid w:val="7FE1210F"/>
    <w:rsid w:val="7FE44581"/>
    <w:rsid w:val="7FED6F74"/>
    <w:rsid w:val="7FEE0D2C"/>
    <w:rsid w:val="7FF31D77"/>
    <w:rsid w:val="7FFF5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semiHidden="0"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before="50" w:beforeLines="50" w:after="120" w:line="259" w:lineRule="auto"/>
      <w:jc w:val="both"/>
    </w:pPr>
    <w:rPr>
      <w:rFonts w:ascii="Times New Roman" w:hAnsi="Times New Roman" w:eastAsia="宋体" w:cs="Times New Roman"/>
      <w:szCs w:val="22"/>
      <w:lang w:val="en-US" w:eastAsia="zh-CN" w:bidi="ar-SA"/>
    </w:rPr>
  </w:style>
  <w:style w:type="paragraph" w:styleId="2">
    <w:name w:val="heading 1"/>
    <w:basedOn w:val="1"/>
    <w:next w:val="1"/>
    <w:link w:val="55"/>
    <w:qFormat/>
    <w:uiPriority w:val="99"/>
    <w:pPr>
      <w:widowControl w:val="0"/>
      <w:numPr>
        <w:ilvl w:val="0"/>
        <w:numId w:val="1"/>
      </w:numPr>
      <w:autoSpaceDE w:val="0"/>
      <w:autoSpaceDN w:val="0"/>
      <w:adjustRightInd w:val="0"/>
      <w:spacing w:line="360" w:lineRule="auto"/>
      <w:ind w:left="431" w:hanging="431"/>
      <w:outlineLvl w:val="0"/>
    </w:pPr>
    <w:rPr>
      <w:rFonts w:ascii="Arial" w:hAnsi="Arial" w:eastAsia="黑体"/>
      <w:b/>
      <w:bCs/>
      <w:sz w:val="30"/>
      <w:szCs w:val="30"/>
      <w:lang w:val="zh-CN"/>
    </w:rPr>
  </w:style>
  <w:style w:type="paragraph" w:styleId="3">
    <w:name w:val="heading 2"/>
    <w:basedOn w:val="2"/>
    <w:next w:val="1"/>
    <w:link w:val="80"/>
    <w:qFormat/>
    <w:uiPriority w:val="0"/>
    <w:pPr>
      <w:keepNext/>
      <w:keepLines/>
      <w:numPr>
        <w:ilvl w:val="1"/>
      </w:numPr>
      <w:tabs>
        <w:tab w:val="left" w:pos="612"/>
      </w:tabs>
      <w:ind w:left="431" w:hanging="431"/>
      <w:outlineLvl w:val="1"/>
    </w:pPr>
    <w:rPr>
      <w:bCs w:val="0"/>
      <w:sz w:val="28"/>
      <w:szCs w:val="28"/>
    </w:rPr>
  </w:style>
  <w:style w:type="paragraph" w:styleId="4">
    <w:name w:val="heading 3"/>
    <w:basedOn w:val="3"/>
    <w:next w:val="1"/>
    <w:link w:val="81"/>
    <w:qFormat/>
    <w:uiPriority w:val="9"/>
    <w:pPr>
      <w:numPr>
        <w:ilvl w:val="2"/>
      </w:numPr>
      <w:outlineLvl w:val="2"/>
    </w:pPr>
    <w:rPr>
      <w:bCs/>
      <w:sz w:val="24"/>
      <w:szCs w:val="32"/>
    </w:rPr>
  </w:style>
  <w:style w:type="paragraph" w:styleId="5">
    <w:name w:val="heading 4"/>
    <w:basedOn w:val="4"/>
    <w:next w:val="1"/>
    <w:link w:val="65"/>
    <w:qFormat/>
    <w:uiPriority w:val="0"/>
    <w:pPr>
      <w:numPr>
        <w:ilvl w:val="3"/>
      </w:numPr>
      <w:overflowPunct w:val="0"/>
      <w:ind w:left="862" w:hanging="862"/>
      <w:textAlignment w:val="baseline"/>
      <w:outlineLvl w:val="3"/>
    </w:pPr>
    <w:rPr>
      <w:sz w:val="21"/>
      <w:szCs w:val="21"/>
      <w:lang w:val="en-GB"/>
    </w:rPr>
  </w:style>
  <w:style w:type="paragraph" w:styleId="6">
    <w:name w:val="heading 5"/>
    <w:basedOn w:val="5"/>
    <w:next w:val="1"/>
    <w:link w:val="68"/>
    <w:qFormat/>
    <w:uiPriority w:val="0"/>
    <w:pPr>
      <w:numPr>
        <w:ilvl w:val="4"/>
      </w:numPr>
      <w:outlineLvl w:val="4"/>
    </w:pPr>
    <w:rPr>
      <w:b w:val="0"/>
      <w:sz w:val="24"/>
      <w:szCs w:val="24"/>
    </w:rPr>
  </w:style>
  <w:style w:type="paragraph" w:styleId="7">
    <w:name w:val="heading 6"/>
    <w:basedOn w:val="1"/>
    <w:next w:val="1"/>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qFormat/>
    <w:uiPriority w:val="9"/>
    <w:pPr>
      <w:keepNext/>
      <w:keepLines/>
      <w:numPr>
        <w:ilvl w:val="6"/>
        <w:numId w:val="1"/>
      </w:numPr>
      <w:spacing w:before="240" w:after="64" w:line="317" w:lineRule="auto"/>
      <w:outlineLvl w:val="6"/>
    </w:pPr>
    <w:rPr>
      <w:b/>
      <w:sz w:val="24"/>
    </w:rPr>
  </w:style>
  <w:style w:type="paragraph" w:styleId="9">
    <w:name w:val="heading 8"/>
    <w:basedOn w:val="1"/>
    <w:next w:val="1"/>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Normal Indent"/>
    <w:basedOn w:val="1"/>
    <w:qFormat/>
    <w:uiPriority w:val="0"/>
    <w:pPr>
      <w:widowControl w:val="0"/>
      <w:spacing w:after="0" w:line="240" w:lineRule="auto"/>
      <w:ind w:firstLine="420"/>
    </w:pPr>
    <w:rPr>
      <w:kern w:val="2"/>
      <w:sz w:val="21"/>
      <w:szCs w:val="20"/>
    </w:rPr>
  </w:style>
  <w:style w:type="paragraph" w:styleId="15">
    <w:name w:val="caption"/>
    <w:basedOn w:val="1"/>
    <w:next w:val="1"/>
    <w:link w:val="57"/>
    <w:qFormat/>
    <w:uiPriority w:val="0"/>
    <w:pPr>
      <w:tabs>
        <w:tab w:val="left" w:pos="1418"/>
      </w:tabs>
      <w:spacing w:before="120" w:line="240" w:lineRule="auto"/>
    </w:pPr>
    <w:rPr>
      <w:b/>
      <w:bCs/>
      <w:szCs w:val="20"/>
      <w:lang w:val="en-GB" w:eastAsia="sv-SE"/>
    </w:rPr>
  </w:style>
  <w:style w:type="paragraph" w:styleId="16">
    <w:name w:val="List Bullet"/>
    <w:basedOn w:val="1"/>
    <w:unhideWhenUsed/>
    <w:qFormat/>
    <w:uiPriority w:val="99"/>
    <w:pPr>
      <w:numPr>
        <w:ilvl w:val="0"/>
        <w:numId w:val="2"/>
      </w:numPr>
    </w:pPr>
  </w:style>
  <w:style w:type="paragraph" w:styleId="17">
    <w:name w:val="Document Map"/>
    <w:basedOn w:val="1"/>
    <w:link w:val="83"/>
    <w:unhideWhenUsed/>
    <w:qFormat/>
    <w:uiPriority w:val="99"/>
    <w:rPr>
      <w:rFonts w:ascii="宋体"/>
      <w:sz w:val="18"/>
      <w:szCs w:val="18"/>
    </w:rPr>
  </w:style>
  <w:style w:type="paragraph" w:styleId="18">
    <w:name w:val="annotation text"/>
    <w:basedOn w:val="1"/>
    <w:link w:val="84"/>
    <w:unhideWhenUsed/>
    <w:qFormat/>
    <w:uiPriority w:val="99"/>
    <w:rPr>
      <w:szCs w:val="20"/>
    </w:rPr>
  </w:style>
  <w:style w:type="paragraph" w:styleId="19">
    <w:name w:val="Body Text"/>
    <w:basedOn w:val="1"/>
    <w:link w:val="69"/>
    <w:qFormat/>
    <w:uiPriority w:val="0"/>
    <w:pPr>
      <w:widowControl w:val="0"/>
      <w:spacing w:after="0" w:line="240" w:lineRule="auto"/>
    </w:pPr>
    <w:rPr>
      <w:color w:val="0000FF"/>
      <w:kern w:val="2"/>
      <w:sz w:val="21"/>
      <w:szCs w:val="20"/>
    </w:rPr>
  </w:style>
  <w:style w:type="paragraph" w:styleId="20">
    <w:name w:val="Body Text Indent"/>
    <w:basedOn w:val="1"/>
    <w:link w:val="87"/>
    <w:unhideWhenUsed/>
    <w:qFormat/>
    <w:uiPriority w:val="99"/>
    <w:pPr>
      <w:ind w:left="420" w:leftChars="200"/>
    </w:pPr>
  </w:style>
  <w:style w:type="paragraph" w:styleId="21">
    <w:name w:val="Plain Text"/>
    <w:basedOn w:val="1"/>
    <w:link w:val="89"/>
    <w:unhideWhenUsed/>
    <w:qFormat/>
    <w:uiPriority w:val="99"/>
    <w:pPr>
      <w:spacing w:after="0" w:line="240" w:lineRule="auto"/>
    </w:pPr>
    <w:rPr>
      <w:rFonts w:eastAsia="Calibri"/>
      <w:szCs w:val="21"/>
      <w:lang w:val="en-GB" w:eastAsia="en-US"/>
    </w:rPr>
  </w:style>
  <w:style w:type="paragraph" w:styleId="22">
    <w:name w:val="Date"/>
    <w:basedOn w:val="1"/>
    <w:next w:val="1"/>
    <w:link w:val="64"/>
    <w:unhideWhenUsed/>
    <w:qFormat/>
    <w:uiPriority w:val="99"/>
    <w:pPr>
      <w:ind w:left="100" w:leftChars="2500"/>
    </w:pPr>
  </w:style>
  <w:style w:type="paragraph" w:styleId="23">
    <w:name w:val="Balloon Text"/>
    <w:basedOn w:val="1"/>
    <w:link w:val="42"/>
    <w:unhideWhenUsed/>
    <w:qFormat/>
    <w:uiPriority w:val="99"/>
    <w:pPr>
      <w:spacing w:after="0" w:line="240" w:lineRule="auto"/>
    </w:pPr>
    <w:rPr>
      <w:rFonts w:ascii="Tahoma" w:hAnsi="Tahoma"/>
      <w:sz w:val="16"/>
      <w:szCs w:val="16"/>
    </w:rPr>
  </w:style>
  <w:style w:type="paragraph" w:styleId="24">
    <w:name w:val="footer"/>
    <w:basedOn w:val="1"/>
    <w:link w:val="45"/>
    <w:unhideWhenUsed/>
    <w:qFormat/>
    <w:uiPriority w:val="99"/>
    <w:pPr>
      <w:tabs>
        <w:tab w:val="center" w:pos="4153"/>
        <w:tab w:val="right" w:pos="8306"/>
      </w:tabs>
      <w:spacing w:line="240" w:lineRule="auto"/>
    </w:pPr>
    <w:rPr>
      <w:sz w:val="18"/>
      <w:szCs w:val="18"/>
    </w:rPr>
  </w:style>
  <w:style w:type="paragraph" w:styleId="25">
    <w:name w:val="header"/>
    <w:basedOn w:val="1"/>
    <w:link w:val="91"/>
    <w:qFormat/>
    <w:uiPriority w:val="99"/>
    <w:pPr>
      <w:tabs>
        <w:tab w:val="center" w:pos="4536"/>
        <w:tab w:val="right" w:pos="9072"/>
      </w:tabs>
      <w:spacing w:after="0" w:line="240" w:lineRule="auto"/>
    </w:pPr>
    <w:rPr>
      <w:rFonts w:ascii="Arial" w:hAnsi="Arial"/>
      <w:b/>
      <w:szCs w:val="24"/>
      <w:lang w:eastAsia="en-US"/>
    </w:rPr>
  </w:style>
  <w:style w:type="paragraph" w:styleId="26">
    <w:name w:val="footnote text"/>
    <w:basedOn w:val="1"/>
    <w:semiHidden/>
    <w:qFormat/>
    <w:uiPriority w:val="0"/>
    <w:pPr>
      <w:keepLines/>
      <w:spacing w:after="0"/>
      <w:ind w:left="454" w:hanging="454"/>
    </w:pPr>
    <w:rPr>
      <w:sz w:val="16"/>
    </w:rPr>
  </w:style>
  <w:style w:type="paragraph" w:styleId="27">
    <w:name w:val="List 4"/>
    <w:basedOn w:val="11"/>
    <w:qFormat/>
    <w:uiPriority w:val="0"/>
    <w:pPr>
      <w:ind w:left="1418"/>
    </w:pPr>
  </w:style>
  <w:style w:type="paragraph" w:styleId="28">
    <w:name w:val="Normal (Web)"/>
    <w:basedOn w:val="1"/>
    <w:unhideWhenUsed/>
    <w:qFormat/>
    <w:uiPriority w:val="99"/>
    <w:pPr>
      <w:spacing w:after="0" w:line="240" w:lineRule="auto"/>
    </w:pPr>
    <w:rPr>
      <w:rFonts w:ascii="宋体" w:hAnsi="宋体" w:cs="宋体"/>
      <w:sz w:val="24"/>
      <w:szCs w:val="24"/>
    </w:rPr>
  </w:style>
  <w:style w:type="paragraph" w:styleId="29">
    <w:name w:val="annotation subject"/>
    <w:basedOn w:val="18"/>
    <w:next w:val="18"/>
    <w:link w:val="48"/>
    <w:unhideWhenUsed/>
    <w:qFormat/>
    <w:uiPriority w:val="99"/>
    <w:rPr>
      <w:b/>
      <w:bCs/>
    </w:r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basedOn w:val="32"/>
    <w:qFormat/>
    <w:uiPriority w:val="22"/>
    <w:rPr>
      <w:b/>
    </w:rPr>
  </w:style>
  <w:style w:type="character" w:styleId="34">
    <w:name w:val="endnote reference"/>
    <w:unhideWhenUsed/>
    <w:qFormat/>
    <w:uiPriority w:val="99"/>
    <w:rPr>
      <w:vertAlign w:val="superscript"/>
    </w:rPr>
  </w:style>
  <w:style w:type="character" w:styleId="35">
    <w:name w:val="page number"/>
    <w:unhideWhenUsed/>
    <w:qFormat/>
    <w:uiPriority w:val="99"/>
  </w:style>
  <w:style w:type="character" w:styleId="36">
    <w:name w:val="FollowedHyperlink"/>
    <w:qFormat/>
    <w:uiPriority w:val="0"/>
    <w:rPr>
      <w:color w:val="954F72"/>
      <w:u w:val="single"/>
    </w:rPr>
  </w:style>
  <w:style w:type="character" w:styleId="37">
    <w:name w:val="Emphasis"/>
    <w:qFormat/>
    <w:uiPriority w:val="20"/>
  </w:style>
  <w:style w:type="character" w:styleId="38">
    <w:name w:val="Hyperlink"/>
    <w:unhideWhenUsed/>
    <w:qFormat/>
    <w:uiPriority w:val="99"/>
    <w:rPr>
      <w:color w:val="4F4F4F"/>
      <w:u w:val="none"/>
    </w:rPr>
  </w:style>
  <w:style w:type="character" w:styleId="39">
    <w:name w:val="annotation reference"/>
    <w:unhideWhenUsed/>
    <w:qFormat/>
    <w:uiPriority w:val="99"/>
    <w:rPr>
      <w:sz w:val="16"/>
      <w:szCs w:val="16"/>
    </w:rPr>
  </w:style>
  <w:style w:type="character" w:styleId="40">
    <w:name w:val="HTML Cite"/>
    <w:unhideWhenUsed/>
    <w:qFormat/>
    <w:uiPriority w:val="99"/>
    <w:rPr>
      <w:i/>
    </w:rPr>
  </w:style>
  <w:style w:type="character" w:styleId="41">
    <w:name w:val="footnote reference"/>
    <w:semiHidden/>
    <w:qFormat/>
    <w:uiPriority w:val="0"/>
    <w:rPr>
      <w:b/>
      <w:position w:val="6"/>
      <w:sz w:val="16"/>
    </w:rPr>
  </w:style>
  <w:style w:type="character" w:customStyle="1" w:styleId="42">
    <w:name w:val="批注框文本 Char"/>
    <w:link w:val="23"/>
    <w:semiHidden/>
    <w:qFormat/>
    <w:uiPriority w:val="99"/>
    <w:rPr>
      <w:rFonts w:ascii="Tahoma" w:hAnsi="Tahoma" w:cs="Tahoma"/>
      <w:sz w:val="16"/>
      <w:szCs w:val="16"/>
    </w:rPr>
  </w:style>
  <w:style w:type="character" w:customStyle="1" w:styleId="43">
    <w:name w:val="quote1"/>
    <w:qFormat/>
    <w:uiPriority w:val="0"/>
    <w:rPr>
      <w:color w:val="6B6B6B"/>
      <w:sz w:val="18"/>
      <w:szCs w:val="18"/>
    </w:rPr>
  </w:style>
  <w:style w:type="character" w:customStyle="1" w:styleId="44">
    <w:name w:val="font41"/>
    <w:qFormat/>
    <w:uiPriority w:val="0"/>
    <w:rPr>
      <w:rFonts w:hint="default" w:ascii="Times New Roman" w:hAnsi="Times New Roman" w:cs="Times New Roman"/>
      <w:color w:val="000000"/>
      <w:sz w:val="20"/>
      <w:szCs w:val="20"/>
      <w:u w:val="none"/>
    </w:rPr>
  </w:style>
  <w:style w:type="character" w:customStyle="1" w:styleId="45">
    <w:name w:val="页脚 Char"/>
    <w:link w:val="24"/>
    <w:qFormat/>
    <w:uiPriority w:val="99"/>
    <w:rPr>
      <w:sz w:val="18"/>
      <w:szCs w:val="18"/>
    </w:rPr>
  </w:style>
  <w:style w:type="character" w:customStyle="1" w:styleId="46">
    <w:name w:val="countx"/>
    <w:qFormat/>
    <w:uiPriority w:val="0"/>
    <w:rPr>
      <w:sz w:val="18"/>
      <w:szCs w:val="18"/>
    </w:rPr>
  </w:style>
  <w:style w:type="character" w:customStyle="1" w:styleId="47">
    <w:name w:val="hover6"/>
    <w:qFormat/>
    <w:uiPriority w:val="0"/>
    <w:rPr>
      <w:color w:val="FC5531"/>
      <w:bdr w:val="single" w:color="FC5531" w:sz="6" w:space="0"/>
    </w:rPr>
  </w:style>
  <w:style w:type="character" w:customStyle="1" w:styleId="48">
    <w:name w:val="批注主题 Char"/>
    <w:link w:val="29"/>
    <w:semiHidden/>
    <w:qFormat/>
    <w:uiPriority w:val="99"/>
    <w:rPr>
      <w:b/>
      <w:bCs/>
    </w:rPr>
  </w:style>
  <w:style w:type="character" w:customStyle="1" w:styleId="49">
    <w:name w:val="tip"/>
    <w:qFormat/>
    <w:uiPriority w:val="0"/>
    <w:rPr>
      <w:color w:val="999AAA"/>
      <w:sz w:val="18"/>
      <w:szCs w:val="18"/>
    </w:rPr>
  </w:style>
  <w:style w:type="character" w:customStyle="1" w:styleId="50">
    <w:name w:val="0 Main text Char"/>
    <w:link w:val="51"/>
    <w:qFormat/>
    <w:locked/>
    <w:uiPriority w:val="0"/>
    <w:rPr>
      <w:lang w:val="en-GB" w:eastAsia="en-US"/>
    </w:rPr>
  </w:style>
  <w:style w:type="paragraph" w:customStyle="1" w:styleId="51">
    <w:name w:val="0 Main text"/>
    <w:basedOn w:val="1"/>
    <w:link w:val="50"/>
    <w:qFormat/>
    <w:uiPriority w:val="0"/>
    <w:pPr>
      <w:snapToGrid/>
      <w:spacing w:after="0"/>
    </w:pPr>
    <w:rPr>
      <w:szCs w:val="20"/>
      <w:lang w:val="en-GB" w:eastAsia="en-US"/>
    </w:rPr>
  </w:style>
  <w:style w:type="character" w:customStyle="1" w:styleId="52">
    <w:name w:val="ZGSM"/>
    <w:qFormat/>
    <w:uiPriority w:val="0"/>
  </w:style>
  <w:style w:type="character" w:customStyle="1" w:styleId="53">
    <w:name w:val="text10"/>
    <w:qFormat/>
    <w:uiPriority w:val="0"/>
    <w:rPr>
      <w:vertAlign w:val="superscript"/>
    </w:rPr>
  </w:style>
  <w:style w:type="character" w:customStyle="1" w:styleId="54">
    <w:name w:val="red"/>
    <w:qFormat/>
    <w:uiPriority w:val="0"/>
    <w:rPr>
      <w:color w:val="FF0000"/>
    </w:rPr>
  </w:style>
  <w:style w:type="character" w:customStyle="1" w:styleId="55">
    <w:name w:val="标题 1 Char"/>
    <w:link w:val="2"/>
    <w:qFormat/>
    <w:uiPriority w:val="99"/>
    <w:rPr>
      <w:rFonts w:ascii="Arial" w:hAnsi="Arial" w:eastAsia="黑体"/>
      <w:b/>
      <w:bCs/>
      <w:sz w:val="30"/>
      <w:szCs w:val="30"/>
      <w:lang w:val="zh-CN"/>
    </w:rPr>
  </w:style>
  <w:style w:type="character" w:customStyle="1" w:styleId="56">
    <w:name w:val="10"/>
    <w:qFormat/>
    <w:uiPriority w:val="0"/>
    <w:rPr>
      <w:rFonts w:hint="default" w:ascii="Times New Roman" w:hAnsi="Times New Roman" w:cs="Times New Roman"/>
    </w:rPr>
  </w:style>
  <w:style w:type="character" w:customStyle="1" w:styleId="57">
    <w:name w:val="题注 Char"/>
    <w:link w:val="15"/>
    <w:qFormat/>
    <w:uiPriority w:val="0"/>
    <w:rPr>
      <w:rFonts w:ascii="Times New Roman" w:hAnsi="Times New Roman"/>
      <w:b/>
      <w:bCs/>
      <w:lang w:val="en-GB" w:eastAsia="sv-SE"/>
    </w:rPr>
  </w:style>
  <w:style w:type="character" w:customStyle="1" w:styleId="58">
    <w:name w:val="def3"/>
    <w:qFormat/>
    <w:uiPriority w:val="0"/>
    <w:rPr>
      <w:color w:val="313131"/>
    </w:rPr>
  </w:style>
  <w:style w:type="character" w:customStyle="1" w:styleId="59">
    <w:name w:val="引用1"/>
    <w:qFormat/>
    <w:uiPriority w:val="0"/>
    <w:rPr>
      <w:color w:val="6B6B6B"/>
      <w:sz w:val="18"/>
      <w:szCs w:val="18"/>
    </w:rPr>
  </w:style>
  <w:style w:type="character" w:customStyle="1" w:styleId="60">
    <w:name w:val="z-窗体顶端 Char"/>
    <w:link w:val="61"/>
    <w:semiHidden/>
    <w:qFormat/>
    <w:uiPriority w:val="99"/>
    <w:rPr>
      <w:rFonts w:ascii="Arial" w:hAnsi="Arial" w:cs="Arial"/>
      <w:vanish/>
      <w:sz w:val="16"/>
      <w:szCs w:val="16"/>
    </w:rPr>
  </w:style>
  <w:style w:type="paragraph" w:customStyle="1" w:styleId="61">
    <w:name w:val="_Style 42"/>
    <w:basedOn w:val="1"/>
    <w:next w:val="1"/>
    <w:link w:val="6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62">
    <w:name w:val="advert-count-people"/>
    <w:qFormat/>
    <w:uiPriority w:val="0"/>
    <w:rPr>
      <w:color w:val="FC5531"/>
      <w:sz w:val="21"/>
      <w:szCs w:val="21"/>
    </w:rPr>
  </w:style>
  <w:style w:type="character" w:customStyle="1" w:styleId="63">
    <w:name w:val="hot-word-count"/>
    <w:qFormat/>
    <w:uiPriority w:val="0"/>
    <w:rPr>
      <w:color w:val="FC5531"/>
    </w:rPr>
  </w:style>
  <w:style w:type="character" w:customStyle="1" w:styleId="64">
    <w:name w:val="日期 Char"/>
    <w:link w:val="22"/>
    <w:semiHidden/>
    <w:qFormat/>
    <w:uiPriority w:val="99"/>
    <w:rPr>
      <w:sz w:val="22"/>
      <w:szCs w:val="22"/>
    </w:rPr>
  </w:style>
  <w:style w:type="character" w:customStyle="1" w:styleId="65">
    <w:name w:val="标题 4 Char"/>
    <w:link w:val="5"/>
    <w:qFormat/>
    <w:uiPriority w:val="0"/>
    <w:rPr>
      <w:rFonts w:ascii="Arial" w:hAnsi="Arial" w:eastAsia="黑体"/>
      <w:b/>
      <w:bCs/>
      <w:sz w:val="21"/>
      <w:szCs w:val="21"/>
      <w:lang w:val="en-GB"/>
    </w:rPr>
  </w:style>
  <w:style w:type="character" w:customStyle="1" w:styleId="66">
    <w:name w:val="hps"/>
    <w:qFormat/>
    <w:uiPriority w:val="0"/>
  </w:style>
  <w:style w:type="character" w:customStyle="1" w:styleId="67">
    <w:name w:val="toolbar-adver-btn"/>
    <w:qFormat/>
    <w:uiPriority w:val="0"/>
    <w:rPr>
      <w:color w:val="FFFFFF"/>
      <w:sz w:val="33"/>
      <w:szCs w:val="33"/>
    </w:rPr>
  </w:style>
  <w:style w:type="character" w:customStyle="1" w:styleId="68">
    <w:name w:val="标题 5 Char"/>
    <w:link w:val="6"/>
    <w:qFormat/>
    <w:uiPriority w:val="0"/>
    <w:rPr>
      <w:rFonts w:ascii="Arial" w:hAnsi="Arial" w:eastAsia="黑体"/>
      <w:bCs/>
      <w:sz w:val="24"/>
      <w:szCs w:val="24"/>
      <w:lang w:val="en-GB"/>
    </w:rPr>
  </w:style>
  <w:style w:type="character" w:customStyle="1" w:styleId="69">
    <w:name w:val="正文文本 Char"/>
    <w:link w:val="19"/>
    <w:qFormat/>
    <w:uiPriority w:val="0"/>
    <w:rPr>
      <w:rFonts w:ascii="Times New Roman" w:hAnsi="Times New Roman"/>
      <w:color w:val="0000FF"/>
      <w:kern w:val="2"/>
      <w:sz w:val="21"/>
    </w:rPr>
  </w:style>
  <w:style w:type="character" w:customStyle="1" w:styleId="70">
    <w:name w:val="choosed"/>
    <w:qFormat/>
    <w:uiPriority w:val="0"/>
    <w:rPr>
      <w:color w:val="FC5531"/>
      <w:bdr w:val="single" w:color="FC5531" w:sz="6" w:space="0"/>
    </w:rPr>
  </w:style>
  <w:style w:type="character" w:customStyle="1" w:styleId="71">
    <w:name w:val="via2"/>
    <w:qFormat/>
    <w:uiPriority w:val="0"/>
    <w:rPr>
      <w:vanish/>
      <w:color w:val="959595"/>
    </w:rPr>
  </w:style>
  <w:style w:type="character" w:customStyle="1" w:styleId="72">
    <w:name w:val="nth-child(3n+1)"/>
    <w:qFormat/>
    <w:uiPriority w:val="0"/>
  </w:style>
  <w:style w:type="character" w:customStyle="1" w:styleId="73">
    <w:name w:val="count1"/>
    <w:qFormat/>
    <w:uiPriority w:val="0"/>
    <w:rPr>
      <w:color w:val="555666"/>
      <w:sz w:val="21"/>
      <w:szCs w:val="21"/>
    </w:rPr>
  </w:style>
  <w:style w:type="character" w:customStyle="1" w:styleId="74">
    <w:name w:val="reward-close"/>
    <w:qFormat/>
    <w:uiPriority w:val="0"/>
  </w:style>
  <w:style w:type="character" w:customStyle="1" w:styleId="75">
    <w:name w:val="txt"/>
    <w:qFormat/>
    <w:uiPriority w:val="0"/>
  </w:style>
  <w:style w:type="character" w:customStyle="1" w:styleId="76">
    <w:name w:val="B1 (文字)"/>
    <w:link w:val="77"/>
    <w:qFormat/>
    <w:locked/>
    <w:uiPriority w:val="0"/>
    <w:rPr>
      <w:rFonts w:ascii="Times New Roman" w:hAnsi="Times New Roman" w:eastAsia="宋体"/>
      <w:lang w:val="en-GB" w:eastAsia="en-US"/>
    </w:rPr>
  </w:style>
  <w:style w:type="paragraph" w:customStyle="1" w:styleId="77">
    <w:name w:val="B1"/>
    <w:basedOn w:val="13"/>
    <w:link w:val="76"/>
    <w:qFormat/>
    <w:uiPriority w:val="0"/>
    <w:pPr>
      <w:spacing w:after="180" w:line="240" w:lineRule="auto"/>
      <w:ind w:left="568" w:hanging="284" w:firstLineChars="0"/>
    </w:pPr>
    <w:rPr>
      <w:szCs w:val="20"/>
      <w:lang w:val="en-GB" w:eastAsia="en-US"/>
    </w:rPr>
  </w:style>
  <w:style w:type="character" w:customStyle="1" w:styleId="78">
    <w:name w:val="TH Char"/>
    <w:link w:val="79"/>
    <w:qFormat/>
    <w:uiPriority w:val="0"/>
    <w:rPr>
      <w:rFonts w:ascii="Arial" w:hAnsi="Arial"/>
      <w:b/>
      <w:lang w:val="en-GB" w:eastAsia="en-US"/>
    </w:rPr>
  </w:style>
  <w:style w:type="paragraph" w:customStyle="1" w:styleId="79">
    <w:name w:val="TH"/>
    <w:basedOn w:val="1"/>
    <w:link w:val="78"/>
    <w:qFormat/>
    <w:uiPriority w:val="0"/>
    <w:pPr>
      <w:keepNext/>
      <w:keepLines/>
      <w:spacing w:before="60" w:after="180" w:line="240" w:lineRule="auto"/>
      <w:jc w:val="center"/>
    </w:pPr>
    <w:rPr>
      <w:rFonts w:ascii="Arial" w:hAnsi="Arial"/>
      <w:b/>
      <w:szCs w:val="20"/>
      <w:lang w:val="en-GB" w:eastAsia="en-US"/>
    </w:rPr>
  </w:style>
  <w:style w:type="character" w:customStyle="1" w:styleId="80">
    <w:name w:val="标题 2 Char"/>
    <w:link w:val="3"/>
    <w:qFormat/>
    <w:uiPriority w:val="0"/>
    <w:rPr>
      <w:rFonts w:ascii="Arial" w:hAnsi="Arial" w:eastAsia="黑体"/>
      <w:b/>
      <w:sz w:val="28"/>
      <w:szCs w:val="28"/>
      <w:lang w:val="zh-CN"/>
    </w:rPr>
  </w:style>
  <w:style w:type="character" w:customStyle="1" w:styleId="81">
    <w:name w:val="标题 3 Char"/>
    <w:link w:val="4"/>
    <w:qFormat/>
    <w:uiPriority w:val="9"/>
    <w:rPr>
      <w:rFonts w:ascii="Arial" w:hAnsi="Arial" w:eastAsia="黑体"/>
      <w:b/>
      <w:bCs/>
      <w:sz w:val="24"/>
      <w:szCs w:val="32"/>
      <w:lang w:val="zh-CN"/>
    </w:rPr>
  </w:style>
  <w:style w:type="character" w:customStyle="1" w:styleId="82">
    <w:name w:val="TAH Car"/>
    <w:qFormat/>
    <w:locked/>
    <w:uiPriority w:val="0"/>
    <w:rPr>
      <w:rFonts w:ascii="Arial" w:hAnsi="Arial" w:eastAsia="Times New Roman"/>
      <w:b/>
      <w:sz w:val="18"/>
    </w:rPr>
  </w:style>
  <w:style w:type="character" w:customStyle="1" w:styleId="83">
    <w:name w:val="文档结构图 Char"/>
    <w:link w:val="17"/>
    <w:semiHidden/>
    <w:qFormat/>
    <w:uiPriority w:val="99"/>
    <w:rPr>
      <w:rFonts w:ascii="宋体"/>
      <w:sz w:val="18"/>
      <w:szCs w:val="18"/>
    </w:rPr>
  </w:style>
  <w:style w:type="character" w:customStyle="1" w:styleId="84">
    <w:name w:val="批注文字 Char"/>
    <w:link w:val="18"/>
    <w:qFormat/>
    <w:uiPriority w:val="99"/>
  </w:style>
  <w:style w:type="character" w:customStyle="1" w:styleId="85">
    <w:name w:val="列出段落 Char"/>
    <w:link w:val="86"/>
    <w:qFormat/>
    <w:locked/>
    <w:uiPriority w:val="34"/>
    <w:rPr>
      <w:rFonts w:ascii="Times New Roman" w:hAnsi="Times New Roman"/>
      <w:kern w:val="2"/>
      <w:sz w:val="21"/>
      <w:szCs w:val="24"/>
    </w:rPr>
  </w:style>
  <w:style w:type="paragraph" w:styleId="86">
    <w:name w:val="List Paragraph"/>
    <w:basedOn w:val="1"/>
    <w:link w:val="85"/>
    <w:qFormat/>
    <w:uiPriority w:val="34"/>
    <w:pPr>
      <w:widowControl w:val="0"/>
      <w:spacing w:after="0" w:line="240" w:lineRule="auto"/>
      <w:ind w:firstLine="420" w:firstLineChars="200"/>
    </w:pPr>
    <w:rPr>
      <w:rFonts w:ascii="Calibri" w:hAnsi="Calibri" w:eastAsia="Calibri"/>
      <w:sz w:val="22"/>
    </w:rPr>
  </w:style>
  <w:style w:type="character" w:customStyle="1" w:styleId="87">
    <w:name w:val="正文文本缩进 Char"/>
    <w:link w:val="20"/>
    <w:qFormat/>
    <w:uiPriority w:val="99"/>
    <w:rPr>
      <w:sz w:val="22"/>
      <w:szCs w:val="22"/>
    </w:rPr>
  </w:style>
  <w:style w:type="character" w:customStyle="1" w:styleId="88">
    <w:name w:val="15"/>
    <w:qFormat/>
    <w:uiPriority w:val="0"/>
    <w:rPr>
      <w:rFonts w:hint="default" w:ascii="Times New Roman" w:hAnsi="Times New Roman" w:cs="Times New Roman"/>
    </w:rPr>
  </w:style>
  <w:style w:type="character" w:customStyle="1" w:styleId="89">
    <w:name w:val="纯文本 Char"/>
    <w:link w:val="21"/>
    <w:qFormat/>
    <w:uiPriority w:val="99"/>
    <w:rPr>
      <w:rFonts w:eastAsia="Calibri"/>
      <w:sz w:val="22"/>
      <w:szCs w:val="21"/>
      <w:lang w:val="en-GB" w:eastAsia="en-US"/>
    </w:rPr>
  </w:style>
  <w:style w:type="character" w:customStyle="1" w:styleId="90">
    <w:name w:val="font21"/>
    <w:qFormat/>
    <w:uiPriority w:val="0"/>
    <w:rPr>
      <w:rFonts w:hint="default" w:ascii="Times New Roman" w:hAnsi="Times New Roman" w:cs="Times New Roman"/>
      <w:color w:val="000000"/>
      <w:sz w:val="22"/>
      <w:szCs w:val="22"/>
      <w:u w:val="none"/>
    </w:rPr>
  </w:style>
  <w:style w:type="character" w:customStyle="1" w:styleId="91">
    <w:name w:val="页眉 Char"/>
    <w:link w:val="25"/>
    <w:qFormat/>
    <w:uiPriority w:val="99"/>
    <w:rPr>
      <w:rFonts w:ascii="Arial" w:hAnsi="Arial" w:eastAsia="MS Mincho"/>
      <w:b/>
      <w:szCs w:val="24"/>
      <w:lang w:eastAsia="en-US"/>
    </w:rPr>
  </w:style>
  <w:style w:type="character" w:customStyle="1" w:styleId="92">
    <w:name w:val="count"/>
    <w:qFormat/>
    <w:uiPriority w:val="0"/>
    <w:rPr>
      <w:color w:val="999AAA"/>
      <w:sz w:val="18"/>
      <w:szCs w:val="18"/>
    </w:rPr>
  </w:style>
  <w:style w:type="character" w:customStyle="1" w:styleId="93">
    <w:name w:val="keyword"/>
    <w:qFormat/>
    <w:uiPriority w:val="0"/>
  </w:style>
  <w:style w:type="character" w:customStyle="1" w:styleId="94">
    <w:name w:val="name10"/>
    <w:qFormat/>
    <w:uiPriority w:val="0"/>
    <w:rPr>
      <w:color w:val="555666"/>
      <w:sz w:val="21"/>
      <w:szCs w:val="21"/>
    </w:rPr>
  </w:style>
  <w:style w:type="character" w:customStyle="1" w:styleId="95">
    <w:name w:val="short_text"/>
    <w:qFormat/>
    <w:uiPriority w:val="0"/>
  </w:style>
  <w:style w:type="character" w:customStyle="1" w:styleId="96">
    <w:name w:val="Doc-text2 Char"/>
    <w:link w:val="97"/>
    <w:qFormat/>
    <w:uiPriority w:val="0"/>
    <w:rPr>
      <w:rFonts w:ascii="Arial" w:hAnsi="Arial" w:eastAsia="MS Mincho"/>
      <w:szCs w:val="24"/>
      <w:lang w:val="en-GB" w:eastAsia="en-GB"/>
    </w:rPr>
  </w:style>
  <w:style w:type="paragraph" w:customStyle="1" w:styleId="97">
    <w:name w:val="Doc-text2"/>
    <w:basedOn w:val="1"/>
    <w:link w:val="96"/>
    <w:qFormat/>
    <w:uiPriority w:val="0"/>
    <w:pPr>
      <w:tabs>
        <w:tab w:val="left" w:pos="1622"/>
      </w:tabs>
      <w:spacing w:after="0" w:line="240" w:lineRule="auto"/>
      <w:ind w:left="1622" w:hanging="363"/>
    </w:pPr>
    <w:rPr>
      <w:rFonts w:ascii="Arial" w:hAnsi="Arial"/>
      <w:szCs w:val="24"/>
      <w:lang w:val="en-GB" w:eastAsia="en-GB"/>
    </w:rPr>
  </w:style>
  <w:style w:type="character" w:customStyle="1" w:styleId="98">
    <w:name w:val="TAH Char"/>
    <w:link w:val="99"/>
    <w:qFormat/>
    <w:locked/>
    <w:uiPriority w:val="0"/>
    <w:rPr>
      <w:rFonts w:ascii="Arial" w:hAnsi="Arial"/>
      <w:b/>
      <w:sz w:val="18"/>
      <w:lang w:val="en-GB" w:eastAsia="en-US"/>
    </w:rPr>
  </w:style>
  <w:style w:type="paragraph" w:customStyle="1" w:styleId="99">
    <w:name w:val="TAH"/>
    <w:basedOn w:val="100"/>
    <w:link w:val="98"/>
    <w:qFormat/>
    <w:uiPriority w:val="0"/>
    <w:rPr>
      <w:b/>
    </w:rPr>
  </w:style>
  <w:style w:type="paragraph" w:customStyle="1" w:styleId="100">
    <w:name w:val="TAC"/>
    <w:basedOn w:val="101"/>
    <w:qFormat/>
    <w:uiPriority w:val="0"/>
    <w:pPr>
      <w:spacing w:line="240" w:lineRule="auto"/>
      <w:jc w:val="center"/>
    </w:pPr>
    <w:rPr>
      <w:szCs w:val="20"/>
      <w:lang w:val="en-GB" w:eastAsia="en-US"/>
    </w:rPr>
  </w:style>
  <w:style w:type="paragraph" w:customStyle="1" w:styleId="101">
    <w:name w:val="TAL"/>
    <w:basedOn w:val="1"/>
    <w:qFormat/>
    <w:uiPriority w:val="0"/>
    <w:pPr>
      <w:keepNext/>
      <w:keepLines/>
      <w:spacing w:after="0"/>
    </w:pPr>
    <w:rPr>
      <w:rFonts w:ascii="Arial" w:hAnsi="Arial"/>
      <w:sz w:val="18"/>
    </w:rPr>
  </w:style>
  <w:style w:type="character" w:customStyle="1" w:styleId="102">
    <w:name w:val="quote2"/>
    <w:qFormat/>
    <w:uiPriority w:val="0"/>
    <w:rPr>
      <w:color w:val="6B6B6B"/>
      <w:sz w:val="18"/>
      <w:szCs w:val="18"/>
    </w:rPr>
  </w:style>
  <w:style w:type="character" w:customStyle="1" w:styleId="103">
    <w:name w:val="font11"/>
    <w:qFormat/>
    <w:uiPriority w:val="0"/>
    <w:rPr>
      <w:rFonts w:hint="default" w:ascii="Times New Roman" w:hAnsi="Times New Roman" w:cs="Times New Roman"/>
      <w:color w:val="000000"/>
      <w:sz w:val="22"/>
      <w:szCs w:val="22"/>
      <w:u w:val="none"/>
    </w:rPr>
  </w:style>
  <w:style w:type="character" w:customStyle="1" w:styleId="104">
    <w:name w:val="hot-word-bar"/>
    <w:qFormat/>
    <w:uiPriority w:val="0"/>
    <w:rPr>
      <w:shd w:val="clear" w:color="auto" w:fill="B1B1B1"/>
    </w:rPr>
  </w:style>
  <w:style w:type="character" w:customStyle="1" w:styleId="105">
    <w:name w:val="font01"/>
    <w:qFormat/>
    <w:uiPriority w:val="0"/>
    <w:rPr>
      <w:rFonts w:hint="default" w:ascii="Times New Roman" w:hAnsi="Times New Roman" w:cs="Times New Roman"/>
      <w:color w:val="000000"/>
      <w:sz w:val="20"/>
      <w:szCs w:val="20"/>
      <w:u w:val="none"/>
      <w:vertAlign w:val="superscript"/>
    </w:rPr>
  </w:style>
  <w:style w:type="character" w:customStyle="1" w:styleId="106">
    <w:name w:val="advert-money"/>
    <w:qFormat/>
    <w:uiPriority w:val="0"/>
    <w:rPr>
      <w:b/>
      <w:color w:val="FC5531"/>
      <w:sz w:val="24"/>
      <w:szCs w:val="24"/>
    </w:rPr>
  </w:style>
  <w:style w:type="character" w:customStyle="1" w:styleId="107">
    <w:name w:val="quote3"/>
    <w:qFormat/>
    <w:uiPriority w:val="0"/>
    <w:rPr>
      <w:color w:val="6B6B6B"/>
      <w:sz w:val="18"/>
      <w:szCs w:val="18"/>
    </w:rPr>
  </w:style>
  <w:style w:type="character" w:customStyle="1" w:styleId="108">
    <w:name w:val="fontstyle01"/>
    <w:qFormat/>
    <w:uiPriority w:val="0"/>
    <w:rPr>
      <w:rFonts w:hint="default" w:ascii="TimesNewRomanPSMT" w:hAnsi="TimesNewRomanPSMT"/>
      <w:color w:val="000000"/>
      <w:sz w:val="20"/>
      <w:szCs w:val="20"/>
    </w:rPr>
  </w:style>
  <w:style w:type="character" w:customStyle="1" w:styleId="109">
    <w:name w:val="apple-converted-space"/>
    <w:qFormat/>
    <w:uiPriority w:val="0"/>
  </w:style>
  <w:style w:type="character" w:customStyle="1" w:styleId="110">
    <w:name w:val="z-窗体底端 Char"/>
    <w:link w:val="111"/>
    <w:semiHidden/>
    <w:qFormat/>
    <w:uiPriority w:val="99"/>
    <w:rPr>
      <w:rFonts w:ascii="Arial" w:hAnsi="Arial" w:cs="Arial"/>
      <w:vanish/>
      <w:sz w:val="16"/>
      <w:szCs w:val="16"/>
    </w:rPr>
  </w:style>
  <w:style w:type="paragraph" w:customStyle="1" w:styleId="111">
    <w:name w:val="_Style 43"/>
    <w:basedOn w:val="1"/>
    <w:next w:val="1"/>
    <w:link w:val="110"/>
    <w:unhideWhenUsed/>
    <w:qFormat/>
    <w:uiPriority w:val="99"/>
    <w:pPr>
      <w:pBdr>
        <w:top w:val="single" w:color="auto" w:sz="6" w:space="1"/>
      </w:pBdr>
      <w:spacing w:after="0" w:line="240" w:lineRule="auto"/>
      <w:jc w:val="center"/>
    </w:pPr>
    <w:rPr>
      <w:rFonts w:ascii="Arial" w:hAnsi="Arial"/>
      <w:vanish/>
      <w:sz w:val="16"/>
      <w:szCs w:val="16"/>
    </w:rPr>
  </w:style>
  <w:style w:type="paragraph" w:customStyle="1" w:styleId="112">
    <w:name w:val="B4"/>
    <w:basedOn w:val="27"/>
    <w:qFormat/>
    <w:uiPriority w:val="0"/>
  </w:style>
  <w:style w:type="paragraph" w:customStyle="1" w:styleId="113">
    <w:name w:val="_Style 112"/>
    <w:unhideWhenUsed/>
    <w:qFormat/>
    <w:uiPriority w:val="99"/>
    <w:rPr>
      <w:rFonts w:ascii="Times New Roman" w:hAnsi="Times New Roman" w:eastAsia="宋体" w:cs="Times New Roman"/>
      <w:szCs w:val="22"/>
      <w:lang w:val="en-US" w:eastAsia="zh-CN" w:bidi="ar-SA"/>
    </w:rPr>
  </w:style>
  <w:style w:type="paragraph" w:customStyle="1" w:styleId="114">
    <w:name w:val="TF"/>
    <w:basedOn w:val="79"/>
    <w:qFormat/>
    <w:uiPriority w:val="0"/>
    <w:pPr>
      <w:keepNext w:val="0"/>
      <w:spacing w:before="0" w:after="240"/>
    </w:pPr>
  </w:style>
  <w:style w:type="paragraph" w:customStyle="1" w:styleId="115">
    <w:name w:val="Observation"/>
    <w:basedOn w:val="116"/>
    <w:qFormat/>
    <w:uiPriority w:val="0"/>
    <w:pPr>
      <w:numPr>
        <w:ilvl w:val="0"/>
        <w:numId w:val="3"/>
      </w:numPr>
      <w:tabs>
        <w:tab w:val="left" w:pos="1701"/>
      </w:tabs>
      <w:ind w:left="1701" w:hanging="1701"/>
    </w:pPr>
    <w:rPr>
      <w:lang w:eastAsia="ja-JP"/>
    </w:rPr>
  </w:style>
  <w:style w:type="paragraph" w:customStyle="1" w:styleId="116">
    <w:name w:val="Proposal"/>
    <w:basedOn w:val="19"/>
    <w:qFormat/>
    <w:uiPriority w:val="0"/>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117">
    <w:name w:val="tableheader"/>
    <w:basedOn w:val="1"/>
    <w:qFormat/>
    <w:uiPriority w:val="0"/>
    <w:pPr>
      <w:spacing w:before="40" w:after="40" w:line="240" w:lineRule="auto"/>
      <w:jc w:val="center"/>
    </w:pPr>
    <w:rPr>
      <w:rFonts w:cs="Calibri"/>
      <w:b/>
      <w:bCs/>
      <w:color w:val="000000"/>
      <w:lang w:eastAsia="en-US"/>
    </w:rPr>
  </w:style>
  <w:style w:type="paragraph" w:customStyle="1" w:styleId="118">
    <w:name w:val="_Style 53"/>
    <w:semiHidden/>
    <w:qFormat/>
    <w:uiPriority w:val="99"/>
    <w:pPr>
      <w:spacing w:after="160" w:line="259" w:lineRule="auto"/>
    </w:pPr>
    <w:rPr>
      <w:rFonts w:ascii="CG Times (WN)" w:hAnsi="CG Times (WN)" w:eastAsia="宋体" w:cs="Times New Roman"/>
      <w:sz w:val="22"/>
      <w:szCs w:val="22"/>
      <w:lang w:val="en-US" w:eastAsia="zh-CN" w:bidi="ar-SA"/>
    </w:rPr>
  </w:style>
  <w:style w:type="paragraph" w:customStyle="1" w:styleId="119">
    <w:name w:val="tablecell"/>
    <w:basedOn w:val="1"/>
    <w:qFormat/>
    <w:uiPriority w:val="0"/>
    <w:pPr>
      <w:autoSpaceDE w:val="0"/>
      <w:autoSpaceDN w:val="0"/>
      <w:adjustRightInd w:val="0"/>
      <w:spacing w:before="40" w:after="40" w:line="240" w:lineRule="auto"/>
    </w:pPr>
    <w:rPr>
      <w:lang w:eastAsia="en-US"/>
    </w:rPr>
  </w:style>
  <w:style w:type="paragraph" w:customStyle="1" w:styleId="120">
    <w:name w:val="B2"/>
    <w:basedOn w:val="12"/>
    <w:qFormat/>
    <w:uiPriority w:val="0"/>
  </w:style>
  <w:style w:type="paragraph" w:customStyle="1" w:styleId="121">
    <w:name w:val="表格文字居左"/>
    <w:basedOn w:val="1"/>
    <w:next w:val="1"/>
    <w:qFormat/>
    <w:uiPriority w:val="0"/>
    <w:pPr>
      <w:widowControl w:val="0"/>
      <w:spacing w:after="0" w:line="240" w:lineRule="auto"/>
    </w:pPr>
    <w:rPr>
      <w:rFonts w:ascii="Arial" w:hAnsi="Arial" w:cs="宋体"/>
      <w:kern w:val="2"/>
      <w:sz w:val="21"/>
      <w:szCs w:val="20"/>
    </w:rPr>
  </w:style>
  <w:style w:type="paragraph" w:customStyle="1" w:styleId="12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23">
    <w:name w:val="CR Cover Page"/>
    <w:qFormat/>
    <w:uiPriority w:val="0"/>
    <w:pPr>
      <w:spacing w:after="120" w:line="259" w:lineRule="auto"/>
    </w:pPr>
    <w:rPr>
      <w:rFonts w:ascii="Arial" w:hAnsi="Arial" w:eastAsia="宋体" w:cs="Times New Roman"/>
      <w:lang w:val="en-GB" w:eastAsia="en-US" w:bidi="ar-SA"/>
    </w:rPr>
  </w:style>
  <w:style w:type="paragraph" w:customStyle="1" w:styleId="124">
    <w:name w:val="_Style 1"/>
    <w:basedOn w:val="1"/>
    <w:qFormat/>
    <w:uiPriority w:val="34"/>
    <w:pPr>
      <w:widowControl w:val="0"/>
      <w:spacing w:after="0" w:line="240" w:lineRule="auto"/>
      <w:ind w:firstLine="420" w:firstLineChars="200"/>
    </w:pPr>
    <w:rPr>
      <w:kern w:val="2"/>
      <w:sz w:val="21"/>
      <w:szCs w:val="24"/>
    </w:rPr>
  </w:style>
  <w:style w:type="paragraph" w:customStyle="1" w:styleId="12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zh-CN" w:bidi="ar-SA"/>
    </w:rPr>
  </w:style>
  <w:style w:type="paragraph" w:customStyle="1" w:styleId="126">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27">
    <w:name w:val="TAN"/>
    <w:basedOn w:val="1"/>
    <w:qFormat/>
    <w:uiPriority w:val="0"/>
    <w:pPr>
      <w:keepNext/>
      <w:keepLines/>
      <w:spacing w:after="0" w:line="240" w:lineRule="auto"/>
      <w:ind w:left="851" w:hanging="851"/>
    </w:pPr>
    <w:rPr>
      <w:rFonts w:ascii="Arial" w:hAnsi="Arial"/>
      <w:sz w:val="18"/>
      <w:szCs w:val="20"/>
      <w:lang w:val="en-GB" w:eastAsia="en-US"/>
    </w:rPr>
  </w:style>
  <w:style w:type="paragraph" w:customStyle="1" w:styleId="128">
    <w:name w:val="Default"/>
    <w:qFormat/>
    <w:uiPriority w:val="0"/>
    <w:pPr>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129">
    <w:name w:val="EX"/>
    <w:basedOn w:val="1"/>
    <w:qFormat/>
    <w:uiPriority w:val="99"/>
    <w:pPr>
      <w:keepLines/>
      <w:ind w:left="1702" w:hanging="1418"/>
    </w:pPr>
  </w:style>
  <w:style w:type="paragraph" w:customStyle="1" w:styleId="130">
    <w:name w:val="B3"/>
    <w:basedOn w:val="11"/>
    <w:qFormat/>
    <w:uiPriority w:val="0"/>
  </w:style>
  <w:style w:type="paragraph" w:customStyle="1" w:styleId="13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32">
    <w:name w:val="Test"/>
    <w:basedOn w:val="1"/>
    <w:qFormat/>
    <w:uiPriority w:val="0"/>
    <w:pPr>
      <w:spacing w:before="60" w:after="60" w:line="280" w:lineRule="atLeast"/>
      <w:ind w:left="2160"/>
    </w:pPr>
    <w:rPr>
      <w:szCs w:val="20"/>
      <w:lang w:val="en-GB" w:eastAsia="en-US"/>
    </w:rPr>
  </w:style>
  <w:style w:type="paragraph" w:customStyle="1" w:styleId="133">
    <w:name w:val="References"/>
    <w:basedOn w:val="1"/>
    <w:qFormat/>
    <w:uiPriority w:val="0"/>
    <w:pPr>
      <w:numPr>
        <w:ilvl w:val="0"/>
        <w:numId w:val="4"/>
      </w:numPr>
      <w:autoSpaceDE w:val="0"/>
      <w:autoSpaceDN w:val="0"/>
      <w:spacing w:after="60"/>
    </w:pPr>
    <w:rPr>
      <w:szCs w:val="16"/>
      <w:lang w:eastAsia="en-US"/>
    </w:rPr>
  </w:style>
  <w:style w:type="paragraph" w:customStyle="1" w:styleId="134">
    <w:name w:val="列出段落1"/>
    <w:basedOn w:val="1"/>
    <w:qFormat/>
    <w:uiPriority w:val="72"/>
    <w:pPr>
      <w:spacing w:after="0"/>
      <w:ind w:firstLine="420" w:firstLineChars="200"/>
    </w:pPr>
    <w:rPr>
      <w:rFonts w:ascii="宋体" w:hAnsi="宋体"/>
      <w:sz w:val="24"/>
      <w:szCs w:val="24"/>
    </w:rPr>
  </w:style>
  <w:style w:type="paragraph" w:customStyle="1" w:styleId="135">
    <w:name w:val="EQ"/>
    <w:basedOn w:val="1"/>
    <w:next w:val="1"/>
    <w:qFormat/>
    <w:uiPriority w:val="0"/>
    <w:pPr>
      <w:keepLines/>
      <w:tabs>
        <w:tab w:val="center" w:pos="4536"/>
        <w:tab w:val="right" w:pos="9072"/>
      </w:tabs>
    </w:pPr>
  </w:style>
  <w:style w:type="paragraph" w:customStyle="1" w:styleId="136">
    <w:name w:val="Agreement"/>
    <w:basedOn w:val="1"/>
    <w:next w:val="97"/>
    <w:qFormat/>
    <w:uiPriority w:val="0"/>
    <w:pPr>
      <w:numPr>
        <w:ilvl w:val="0"/>
        <w:numId w:val="5"/>
      </w:numPr>
      <w:spacing w:before="60"/>
    </w:pPr>
    <w:rPr>
      <w:b/>
    </w:rPr>
  </w:style>
  <w:style w:type="paragraph" w:customStyle="1" w:styleId="137">
    <w:name w:val="TAR"/>
    <w:basedOn w:val="101"/>
    <w:qFormat/>
    <w:uiPriority w:val="0"/>
    <w:pPr>
      <w:jc w:val="right"/>
    </w:pPr>
  </w:style>
  <w:style w:type="paragraph" w:customStyle="1" w:styleId="138">
    <w:name w:val="EW"/>
    <w:basedOn w:val="129"/>
    <w:qFormat/>
    <w:uiPriority w:val="0"/>
    <w:pPr>
      <w:spacing w:after="0"/>
    </w:pPr>
  </w:style>
  <w:style w:type="paragraph" w:customStyle="1" w:styleId="139">
    <w:name w:val="List Paragraph1"/>
    <w:basedOn w:val="1"/>
    <w:qFormat/>
    <w:uiPriority w:val="34"/>
    <w:pPr>
      <w:overflowPunct w:val="0"/>
      <w:autoSpaceDE w:val="0"/>
      <w:autoSpaceDN w:val="0"/>
      <w:adjustRightInd w:val="0"/>
      <w:spacing w:after="180"/>
      <w:ind w:left="720"/>
      <w:contextualSpacing/>
      <w:textAlignment w:val="baseline"/>
    </w:pPr>
    <w:rPr>
      <w:szCs w:val="20"/>
      <w:lang w:eastAsia="ja-JP"/>
    </w:rPr>
  </w:style>
  <w:style w:type="paragraph" w:customStyle="1" w:styleId="140">
    <w:name w:val="List Paragraph2"/>
    <w:basedOn w:val="1"/>
    <w:qFormat/>
    <w:uiPriority w:val="34"/>
    <w:pPr>
      <w:spacing w:after="0"/>
      <w:ind w:left="720"/>
    </w:pPr>
    <w:rPr>
      <w:rFonts w:ascii="Calibri" w:hAnsi="Calibri" w:eastAsia="Calibri"/>
      <w:sz w:val="22"/>
    </w:rPr>
  </w:style>
  <w:style w:type="paragraph" w:customStyle="1" w:styleId="141">
    <w:name w:val="LGTdoc_제목1"/>
    <w:basedOn w:val="1"/>
    <w:qFormat/>
    <w:uiPriority w:val="0"/>
    <w:pPr>
      <w:adjustRightInd w:val="0"/>
      <w:spacing w:after="100" w:afterAutospacing="1" w:line="240" w:lineRule="auto"/>
    </w:pPr>
    <w:rPr>
      <w:rFonts w:eastAsia="Batang"/>
      <w:b/>
      <w:sz w:val="28"/>
      <w:szCs w:val="20"/>
      <w:lang w:val="en-GB" w:eastAsia="ko-KR"/>
    </w:rPr>
  </w:style>
  <w:style w:type="paragraph" w:customStyle="1" w:styleId="142">
    <w:name w:val="PropObs"/>
    <w:basedOn w:val="1"/>
    <w:qFormat/>
    <w:uiPriority w:val="0"/>
    <w:pPr>
      <w:numPr>
        <w:ilvl w:val="0"/>
        <w:numId w:val="6"/>
      </w:numPr>
      <w:ind w:left="1134" w:hanging="1134"/>
    </w:pPr>
    <w:rPr>
      <w:rFonts w:ascii="Calibri" w:hAnsi="Calibri" w:eastAsia="MS Mincho"/>
      <w:b/>
      <w:szCs w:val="20"/>
      <w:lang w:eastAsia="sv-SE"/>
    </w:rPr>
  </w:style>
  <w:style w:type="table" w:customStyle="1" w:styleId="143">
    <w:name w:val="Table Grid7"/>
    <w:basedOn w:val="30"/>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
    <w:name w:val="网格型7"/>
    <w:basedOn w:val="3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
    <w:name w:val="网格型1"/>
    <w:basedOn w:val="30"/>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46">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47">
    <w:name w:val="批注文字 Char1"/>
    <w:basedOn w:val="32"/>
    <w:qFormat/>
    <w:uiPriority w:val="0"/>
    <w:rPr>
      <w:rFonts w:hint="default" w:ascii="Times New Roman" w:hAnsi="Times New Roman" w:eastAsia="Times New Roman" w:cs="Times New Roman"/>
      <w:szCs w:val="22"/>
    </w:rPr>
  </w:style>
  <w:style w:type="paragraph" w:customStyle="1" w:styleId="148">
    <w:name w:val="列出段落2"/>
    <w:basedOn w:val="1"/>
    <w:qFormat/>
    <w:uiPriority w:val="0"/>
    <w:pPr>
      <w:spacing w:before="0" w:after="0" w:line="256" w:lineRule="auto"/>
      <w:ind w:left="840" w:leftChars="400"/>
      <w:jc w:val="left"/>
    </w:pPr>
    <w:rPr>
      <w:rFonts w:ascii="Times" w:hAnsi="Times" w:eastAsia="Batang"/>
      <w:szCs w:val="24"/>
    </w:rPr>
  </w:style>
  <w:style w:type="paragraph" w:customStyle="1" w:styleId="149">
    <w:name w:val="列出段落21"/>
    <w:basedOn w:val="1"/>
    <w:link w:val="150"/>
    <w:qFormat/>
    <w:uiPriority w:val="0"/>
    <w:pPr>
      <w:spacing w:before="0" w:after="0"/>
      <w:ind w:left="840" w:leftChars="400"/>
      <w:jc w:val="left"/>
    </w:pPr>
    <w:rPr>
      <w:rFonts w:ascii="Times" w:hAnsi="Times" w:eastAsia="Batang"/>
      <w:szCs w:val="24"/>
    </w:rPr>
  </w:style>
  <w:style w:type="character" w:customStyle="1" w:styleId="150">
    <w:name w:val="列出段落 Char1"/>
    <w:basedOn w:val="32"/>
    <w:link w:val="149"/>
    <w:qFormat/>
    <w:uiPriority w:val="0"/>
    <w:rPr>
      <w:rFonts w:hint="default" w:ascii="Times" w:hAnsi="Times" w:eastAsia="Batang" w:cs="Times"/>
      <w:szCs w:val="24"/>
      <w:lang w:val="en-US"/>
    </w:rPr>
  </w:style>
  <w:style w:type="paragraph" w:customStyle="1" w:styleId="151">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image" Target="media/image12.png"/><Relationship Id="rId24" Type="http://schemas.openxmlformats.org/officeDocument/2006/relationships/image" Target="media/image11.emf"/><Relationship Id="rId23" Type="http://schemas.openxmlformats.org/officeDocument/2006/relationships/image" Target="media/image10.emf"/><Relationship Id="rId22" Type="http://schemas.openxmlformats.org/officeDocument/2006/relationships/image" Target="media/image9.png"/><Relationship Id="rId21" Type="http://schemas.openxmlformats.org/officeDocument/2006/relationships/image" Target="media/image8.png"/><Relationship Id="rId20" Type="http://schemas.openxmlformats.org/officeDocument/2006/relationships/image" Target="media/image7.png"/><Relationship Id="rId2" Type="http://schemas.openxmlformats.org/officeDocument/2006/relationships/settings" Target="settings.xml"/><Relationship Id="rId19" Type="http://schemas.openxmlformats.org/officeDocument/2006/relationships/image" Target="media/image6.png"/><Relationship Id="rId18" Type="http://schemas.openxmlformats.org/officeDocument/2006/relationships/image" Target="media/image5.png"/><Relationship Id="rId17" Type="http://schemas.openxmlformats.org/officeDocument/2006/relationships/image" Target="media/image4.png"/><Relationship Id="rId16" Type="http://schemas.openxmlformats.org/officeDocument/2006/relationships/image" Target="media/image3.png"/><Relationship Id="rId15" Type="http://schemas.openxmlformats.org/officeDocument/2006/relationships/chart" Target="charts/chart2.xml"/><Relationship Id="rId14" Type="http://schemas.openxmlformats.org/officeDocument/2006/relationships/chart" Target="charts/chart1.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25552;&#26696;\&#20250;&#35758;\&#25353;&#36827;&#31243;&#20998;\118%20Maas\LP-WUS%20system%20overhead%20-v5.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D:\&#25552;&#26696;\&#20250;&#35758;\&#25353;&#36827;&#31243;&#20998;\118%20Maas\LP-WUS%20system%20overhead%20-v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percentage for multiple subgroups wake-up</a:t>
            </a:r>
            <a:endParaRPr lang="en-US" altLang="zh-CN"/>
          </a:p>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3% per subgroup</a:t>
            </a:r>
            <a:endParaRPr lang="en-US" altLang="zh-CN"/>
          </a:p>
        </c:rich>
      </c:tx>
      <c:layout/>
      <c:overlay val="0"/>
      <c:spPr>
        <a:noFill/>
        <a:ln>
          <a:noFill/>
        </a:ln>
        <a:effectLst/>
      </c:spPr>
    </c:title>
    <c:autoTitleDeleted val="0"/>
    <c:plotArea>
      <c:layout/>
      <c:barChart>
        <c:barDir val="col"/>
        <c:grouping val="percentStacked"/>
        <c:varyColors val="0"/>
        <c:ser>
          <c:idx val="0"/>
          <c:order val="0"/>
          <c:tx>
            <c:strRef>
              <c:f>'[LP-WUS System overhead-v3.xlsx]Sheet3'!$B$25</c:f>
              <c:strCache>
                <c:ptCount val="1"/>
                <c:pt idx="0">
                  <c:v>1 subgroup</c:v>
                </c:pt>
              </c:strCache>
            </c:strRef>
          </c:tx>
          <c:spPr>
            <a:solidFill>
              <a:schemeClr val="accent1"/>
            </a:solidFill>
            <a:ln>
              <a:noFill/>
            </a:ln>
            <a:effectLst/>
          </c:spPr>
          <c:invertIfNegative val="0"/>
          <c:dLbls>
            <c:delete val="1"/>
          </c:dLbls>
          <c:cat>
            <c:strRef>
              <c:f>'[LP-WUS System overhead-v3.xlsx]Sheet3'!$C$24:$H$24</c:f>
              <c:strCache>
                <c:ptCount val="6"/>
                <c:pt idx="0">
                  <c:v>8 groups</c:v>
                </c:pt>
                <c:pt idx="1">
                  <c:v>16 groups</c:v>
                </c:pt>
                <c:pt idx="2">
                  <c:v>32</c:v>
                </c:pt>
                <c:pt idx="3">
                  <c:v>64</c:v>
                </c:pt>
                <c:pt idx="4">
                  <c:v>128</c:v>
                </c:pt>
                <c:pt idx="5">
                  <c:v>256</c:v>
                </c:pt>
              </c:strCache>
            </c:strRef>
          </c:cat>
          <c:val>
            <c:numRef>
              <c:f>'[LP-WUS System overhead-v3.xlsx]Sheet3'!$C$25:$H$25</c:f>
              <c:numCache>
                <c:formatCode>General</c:formatCode>
                <c:ptCount val="6"/>
                <c:pt idx="0">
                  <c:v>0.1939</c:v>
                </c:pt>
                <c:pt idx="1">
                  <c:v>0.304</c:v>
                </c:pt>
                <c:pt idx="2">
                  <c:v>0.3734</c:v>
                </c:pt>
                <c:pt idx="3">
                  <c:v>0.2818</c:v>
                </c:pt>
                <c:pt idx="4">
                  <c:v>0.0802</c:v>
                </c:pt>
                <c:pt idx="5">
                  <c:v>0.0033</c:v>
                </c:pt>
              </c:numCache>
            </c:numRef>
          </c:val>
        </c:ser>
        <c:ser>
          <c:idx val="1"/>
          <c:order val="1"/>
          <c:tx>
            <c:strRef>
              <c:f>'[LP-WUS System overhead-v3.xlsx]Sheet3'!$B$26</c:f>
              <c:strCache>
                <c:ptCount val="1"/>
                <c:pt idx="0">
                  <c:v>2-4 subgroups</c:v>
                </c:pt>
              </c:strCache>
            </c:strRef>
          </c:tx>
          <c:spPr>
            <a:solidFill>
              <a:schemeClr val="accent2"/>
            </a:solidFill>
            <a:ln>
              <a:noFill/>
            </a:ln>
            <a:effectLst/>
          </c:spPr>
          <c:invertIfNegative val="0"/>
          <c:dLbls>
            <c:delete val="1"/>
          </c:dLbls>
          <c:cat>
            <c:strRef>
              <c:f>'[LP-WUS System overhead-v3.xlsx]Sheet3'!$C$24:$H$24</c:f>
              <c:strCache>
                <c:ptCount val="6"/>
                <c:pt idx="0">
                  <c:v>8 groups</c:v>
                </c:pt>
                <c:pt idx="1">
                  <c:v>16 groups</c:v>
                </c:pt>
                <c:pt idx="2">
                  <c:v>32</c:v>
                </c:pt>
                <c:pt idx="3">
                  <c:v>64</c:v>
                </c:pt>
                <c:pt idx="4">
                  <c:v>128</c:v>
                </c:pt>
                <c:pt idx="5">
                  <c:v>256</c:v>
                </c:pt>
              </c:strCache>
            </c:strRef>
          </c:cat>
          <c:val>
            <c:numRef>
              <c:f>'[LP-WUS System overhead-v3.xlsx]Sheet3'!$C$26:$H$26</c:f>
              <c:numCache>
                <c:formatCode>General</c:formatCode>
                <c:ptCount val="6"/>
                <c:pt idx="0">
                  <c:v>0.0223</c:v>
                </c:pt>
                <c:pt idx="1">
                  <c:v>0.0817</c:v>
                </c:pt>
                <c:pt idx="2">
                  <c:v>0.2468</c:v>
                </c:pt>
                <c:pt idx="3">
                  <c:v>0.5328</c:v>
                </c:pt>
                <c:pt idx="4">
                  <c:v>0.5601</c:v>
                </c:pt>
                <c:pt idx="5">
                  <c:v>0.1121</c:v>
                </c:pt>
              </c:numCache>
            </c:numRef>
          </c:val>
        </c:ser>
        <c:ser>
          <c:idx val="2"/>
          <c:order val="2"/>
          <c:tx>
            <c:strRef>
              <c:f>'[LP-WUS System overhead-v3.xlsx]Sheet3'!$B$27</c:f>
              <c:strCache>
                <c:ptCount val="1"/>
                <c:pt idx="0">
                  <c:v>&gt;4 subgroups</c:v>
                </c:pt>
              </c:strCache>
            </c:strRef>
          </c:tx>
          <c:spPr>
            <a:solidFill>
              <a:schemeClr val="accent3"/>
            </a:solidFill>
            <a:ln>
              <a:noFill/>
            </a:ln>
            <a:effectLst/>
          </c:spPr>
          <c:invertIfNegative val="0"/>
          <c:dLbls>
            <c:delete val="1"/>
          </c:dLbls>
          <c:cat>
            <c:strRef>
              <c:f>'[LP-WUS System overhead-v3.xlsx]Sheet3'!$C$24:$H$24</c:f>
              <c:strCache>
                <c:ptCount val="6"/>
                <c:pt idx="0">
                  <c:v>8 groups</c:v>
                </c:pt>
                <c:pt idx="1">
                  <c:v>16 groups</c:v>
                </c:pt>
                <c:pt idx="2">
                  <c:v>32</c:v>
                </c:pt>
                <c:pt idx="3">
                  <c:v>64</c:v>
                </c:pt>
                <c:pt idx="4">
                  <c:v>128</c:v>
                </c:pt>
                <c:pt idx="5">
                  <c:v>256</c:v>
                </c:pt>
              </c:strCache>
            </c:strRef>
          </c:cat>
          <c:val>
            <c:numRef>
              <c:f>'[LP-WUS System overhead-v3.xlsx]Sheet3'!$C$27:$H$27</c:f>
              <c:numCache>
                <c:formatCode>General</c:formatCode>
                <c:ptCount val="6"/>
                <c:pt idx="0">
                  <c:v>0</c:v>
                </c:pt>
                <c:pt idx="1">
                  <c:v>0</c:v>
                </c:pt>
                <c:pt idx="2">
                  <c:v>0.0025</c:v>
                </c:pt>
                <c:pt idx="3">
                  <c:v>0.0431</c:v>
                </c:pt>
                <c:pt idx="4">
                  <c:v>0.3394</c:v>
                </c:pt>
                <c:pt idx="5">
                  <c:v>0.8842</c:v>
                </c:pt>
              </c:numCache>
            </c:numRef>
          </c:val>
        </c:ser>
        <c:dLbls>
          <c:showLegendKey val="0"/>
          <c:showVal val="0"/>
          <c:showCatName val="0"/>
          <c:showSerName val="0"/>
          <c:showPercent val="0"/>
          <c:showBubbleSize val="0"/>
        </c:dLbls>
        <c:gapWidth val="150"/>
        <c:overlap val="100"/>
        <c:axId val="365537392"/>
        <c:axId val="365537784"/>
      </c:barChart>
      <c:catAx>
        <c:axId val="36553739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65537784"/>
        <c:crosses val="autoZero"/>
        <c:auto val="1"/>
        <c:lblAlgn val="ctr"/>
        <c:lblOffset val="100"/>
        <c:noMultiLvlLbl val="0"/>
      </c:catAx>
      <c:valAx>
        <c:axId val="36553778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65537392"/>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t>percentage for multiple subgroups wake-up</a:t>
            </a:r>
            <a:endParaRPr lang="en-US"/>
          </a:p>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1% per subgroup</a:t>
            </a:r>
            <a:endParaRPr lang="en-US" altLang="zh-CN"/>
          </a:p>
        </c:rich>
      </c:tx>
      <c:layout/>
      <c:overlay val="0"/>
      <c:spPr>
        <a:noFill/>
        <a:ln>
          <a:noFill/>
        </a:ln>
        <a:effectLst/>
      </c:spPr>
    </c:title>
    <c:autoTitleDeleted val="0"/>
    <c:plotArea>
      <c:layout/>
      <c:barChart>
        <c:barDir val="col"/>
        <c:grouping val="percentStacked"/>
        <c:varyColors val="0"/>
        <c:ser>
          <c:idx val="0"/>
          <c:order val="0"/>
          <c:tx>
            <c:strRef>
              <c:f>'[LP-WUS system overhead -v5.xlsx]probability for number of subgs'!$A$15</c:f>
              <c:strCache>
                <c:ptCount val="1"/>
                <c:pt idx="0">
                  <c:v>1 subgroup</c:v>
                </c:pt>
              </c:strCache>
            </c:strRef>
          </c:tx>
          <c:spPr>
            <a:solidFill>
              <a:schemeClr val="accent1"/>
            </a:solidFill>
            <a:ln>
              <a:noFill/>
            </a:ln>
            <a:effectLst/>
          </c:spPr>
          <c:invertIfNegative val="0"/>
          <c:dLbls>
            <c:delete val="1"/>
          </c:dLbls>
          <c:cat>
            <c:strRef>
              <c:f>'[LP-WUS system overhead -v5.xlsx]probability for number of subgs'!$B$14:$G$14</c:f>
              <c:strCache>
                <c:ptCount val="6"/>
                <c:pt idx="0">
                  <c:v>8 groups</c:v>
                </c:pt>
                <c:pt idx="1">
                  <c:v>16 groups</c:v>
                </c:pt>
                <c:pt idx="2">
                  <c:v>32</c:v>
                </c:pt>
                <c:pt idx="3">
                  <c:v>64</c:v>
                </c:pt>
                <c:pt idx="4">
                  <c:v>128</c:v>
                </c:pt>
                <c:pt idx="5">
                  <c:v>256</c:v>
                </c:pt>
              </c:strCache>
            </c:strRef>
          </c:cat>
          <c:val>
            <c:numRef>
              <c:f>'[LP-WUS system overhead -v5.xlsx]probability for number of subgs'!$B$15:$G$15</c:f>
              <c:numCache>
                <c:formatCode>General</c:formatCode>
                <c:ptCount val="6"/>
                <c:pt idx="0">
                  <c:v>0.0746</c:v>
                </c:pt>
                <c:pt idx="1">
                  <c:v>0.1376</c:v>
                </c:pt>
                <c:pt idx="2">
                  <c:v>0.2343</c:v>
                </c:pt>
                <c:pt idx="3">
                  <c:v>0.3398</c:v>
                </c:pt>
                <c:pt idx="4">
                  <c:v>0.3572</c:v>
                </c:pt>
                <c:pt idx="5">
                  <c:v>0.1973</c:v>
                </c:pt>
              </c:numCache>
            </c:numRef>
          </c:val>
        </c:ser>
        <c:ser>
          <c:idx val="1"/>
          <c:order val="1"/>
          <c:tx>
            <c:strRef>
              <c:f>'[LP-WUS system overhead -v5.xlsx]probability for number of subgs'!$A$16</c:f>
              <c:strCache>
                <c:ptCount val="1"/>
                <c:pt idx="0">
                  <c:v>2-4 subgroups</c:v>
                </c:pt>
              </c:strCache>
            </c:strRef>
          </c:tx>
          <c:spPr>
            <a:solidFill>
              <a:schemeClr val="accent2"/>
            </a:solidFill>
            <a:ln>
              <a:noFill/>
            </a:ln>
            <a:effectLst/>
          </c:spPr>
          <c:invertIfNegative val="0"/>
          <c:dLbls>
            <c:delete val="1"/>
          </c:dLbls>
          <c:cat>
            <c:strRef>
              <c:f>'[LP-WUS system overhead -v5.xlsx]probability for number of subgs'!$B$14:$G$14</c:f>
              <c:strCache>
                <c:ptCount val="6"/>
                <c:pt idx="0">
                  <c:v>8 groups</c:v>
                </c:pt>
                <c:pt idx="1">
                  <c:v>16 groups</c:v>
                </c:pt>
                <c:pt idx="2">
                  <c:v>32</c:v>
                </c:pt>
                <c:pt idx="3">
                  <c:v>64</c:v>
                </c:pt>
                <c:pt idx="4">
                  <c:v>128</c:v>
                </c:pt>
                <c:pt idx="5">
                  <c:v>256</c:v>
                </c:pt>
              </c:strCache>
            </c:strRef>
          </c:cat>
          <c:val>
            <c:numRef>
              <c:f>'[LP-WUS system overhead -v5.xlsx]probability for number of subgs'!$B$16:$G$16</c:f>
              <c:numCache>
                <c:formatCode>General</c:formatCode>
                <c:ptCount val="6"/>
                <c:pt idx="0">
                  <c:v>0.0027</c:v>
                </c:pt>
                <c:pt idx="1">
                  <c:v>0.0109</c:v>
                </c:pt>
                <c:pt idx="2">
                  <c:v>0.0407</c:v>
                </c:pt>
                <c:pt idx="3">
                  <c:v>0.1342</c:v>
                </c:pt>
                <c:pt idx="4">
                  <c:v>0.357</c:v>
                </c:pt>
                <c:pt idx="5">
                  <c:v>0.6104</c:v>
                </c:pt>
              </c:numCache>
            </c:numRef>
          </c:val>
        </c:ser>
        <c:ser>
          <c:idx val="2"/>
          <c:order val="2"/>
          <c:tx>
            <c:strRef>
              <c:f>'[LP-WUS system overhead -v5.xlsx]probability for number of subgs'!$A$17</c:f>
              <c:strCache>
                <c:ptCount val="1"/>
                <c:pt idx="0">
                  <c:v>&gt;4 subgroups</c:v>
                </c:pt>
              </c:strCache>
            </c:strRef>
          </c:tx>
          <c:spPr>
            <a:solidFill>
              <a:schemeClr val="accent3"/>
            </a:solidFill>
            <a:ln>
              <a:noFill/>
            </a:ln>
            <a:effectLst/>
          </c:spPr>
          <c:invertIfNegative val="0"/>
          <c:dLbls>
            <c:delete val="1"/>
          </c:dLbls>
          <c:cat>
            <c:strRef>
              <c:f>'[LP-WUS system overhead -v5.xlsx]probability for number of subgs'!$B$14:$G$14</c:f>
              <c:strCache>
                <c:ptCount val="6"/>
                <c:pt idx="0">
                  <c:v>8 groups</c:v>
                </c:pt>
                <c:pt idx="1">
                  <c:v>16 groups</c:v>
                </c:pt>
                <c:pt idx="2">
                  <c:v>32</c:v>
                </c:pt>
                <c:pt idx="3">
                  <c:v>64</c:v>
                </c:pt>
                <c:pt idx="4">
                  <c:v>128</c:v>
                </c:pt>
                <c:pt idx="5">
                  <c:v>256</c:v>
                </c:pt>
              </c:strCache>
            </c:strRef>
          </c:cat>
          <c:val>
            <c:numRef>
              <c:f>'[LP-WUS system overhead -v5.xlsx]probability for number of subgs'!$B$17:$G$17</c:f>
              <c:numCache>
                <c:formatCode>General</c:formatCode>
                <c:ptCount val="6"/>
                <c:pt idx="0">
                  <c:v>0</c:v>
                </c:pt>
                <c:pt idx="1">
                  <c:v>0</c:v>
                </c:pt>
                <c:pt idx="2">
                  <c:v>0</c:v>
                </c:pt>
                <c:pt idx="3">
                  <c:v>0</c:v>
                </c:pt>
                <c:pt idx="4">
                  <c:v>0.0096</c:v>
                </c:pt>
                <c:pt idx="5">
                  <c:v>0.116</c:v>
                </c:pt>
              </c:numCache>
            </c:numRef>
          </c:val>
        </c:ser>
        <c:dLbls>
          <c:showLegendKey val="0"/>
          <c:showVal val="0"/>
          <c:showCatName val="0"/>
          <c:showSerName val="0"/>
          <c:showPercent val="0"/>
          <c:showBubbleSize val="0"/>
        </c:dLbls>
        <c:gapWidth val="150"/>
        <c:overlap val="100"/>
        <c:axId val="365538960"/>
        <c:axId val="365539352"/>
      </c:barChart>
      <c:catAx>
        <c:axId val="36553896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65539352"/>
        <c:crosses val="autoZero"/>
        <c:auto val="1"/>
        <c:lblAlgn val="ctr"/>
        <c:lblOffset val="100"/>
        <c:noMultiLvlLbl val="0"/>
      </c:catAx>
      <c:valAx>
        <c:axId val="36553935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6553896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1</Pages>
  <Words>5346</Words>
  <Characters>30478</Characters>
  <Lines>253</Lines>
  <Paragraphs>71</Paragraphs>
  <TotalTime>4</TotalTime>
  <ScaleCrop>false</ScaleCrop>
  <LinksUpToDate>false</LinksUpToDate>
  <CharactersWithSpaces>35753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2023-08-02T11:40:00Z</dcterms:created>
  <dc:creator>ZTE</dc:creator>
  <cp:lastModifiedBy>ZTE,Mengzhu</cp:lastModifiedBy>
  <dcterms:modified xsi:type="dcterms:W3CDTF">2024-08-09T10:39:38Z</dcterms:modified>
  <cp:revision>113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E3D16FA27D2E4FEBA3DA54DA8ED10385</vt:lpwstr>
  </property>
</Properties>
</file>