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13558215" w:rsidR="00942235" w:rsidRPr="00976D16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>
        <w:rPr>
          <w:rFonts w:cs="Arial"/>
          <w:noProof w:val="0"/>
          <w:sz w:val="24"/>
        </w:rPr>
        <w:tab/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445762">
        <w:rPr>
          <w:rFonts w:cs="Arial"/>
          <w:noProof w:val="0"/>
          <w:sz w:val="24"/>
        </w:rPr>
        <w:t>4436</w:t>
      </w:r>
    </w:p>
    <w:p w14:paraId="09DE16E6" w14:textId="12B4F67B" w:rsidR="00942235" w:rsidRPr="00AB081E" w:rsidRDefault="00284BE0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Netherlands</w:t>
      </w:r>
      <w:r w:rsidR="00942235" w:rsidRPr="00AB081E">
        <w:rPr>
          <w:rFonts w:cs="Arial"/>
          <w:sz w:val="24"/>
          <w:szCs w:val="24"/>
        </w:rPr>
        <w:t xml:space="preserve">, </w:t>
      </w:r>
      <w:r w:rsidR="00C314E3">
        <w:rPr>
          <w:rFonts w:cs="Arial"/>
          <w:sz w:val="24"/>
          <w:szCs w:val="24"/>
        </w:rPr>
        <w:t>August</w:t>
      </w:r>
      <w:r w:rsidR="00942235">
        <w:rPr>
          <w:rFonts w:cs="Arial"/>
          <w:sz w:val="24"/>
          <w:szCs w:val="24"/>
        </w:rPr>
        <w:t xml:space="preserve"> </w:t>
      </w:r>
      <w:r w:rsidR="00C314E3">
        <w:rPr>
          <w:rFonts w:cs="Arial"/>
          <w:sz w:val="24"/>
          <w:szCs w:val="24"/>
        </w:rPr>
        <w:t>19</w:t>
      </w:r>
      <w:r w:rsidR="00942235">
        <w:rPr>
          <w:rFonts w:cs="Arial"/>
          <w:sz w:val="24"/>
          <w:szCs w:val="24"/>
        </w:rPr>
        <w:t xml:space="preserve"> – </w:t>
      </w:r>
      <w:r w:rsidR="005F3D56">
        <w:rPr>
          <w:rFonts w:cs="Arial"/>
          <w:sz w:val="24"/>
          <w:szCs w:val="24"/>
        </w:rPr>
        <w:t>2</w:t>
      </w:r>
      <w:r w:rsidR="00C314E3">
        <w:rPr>
          <w:rFonts w:cs="Arial"/>
          <w:sz w:val="24"/>
          <w:szCs w:val="24"/>
        </w:rPr>
        <w:t>3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AC0B2AF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3A1605">
        <w:rPr>
          <w:rFonts w:ascii="Arial" w:hAnsi="Arial" w:cs="Arial"/>
          <w:sz w:val="22"/>
          <w:lang w:eastAsia="zh-CN"/>
        </w:rPr>
        <w:t>10.2</w:t>
      </w:r>
    </w:p>
    <w:p w14:paraId="6402E503" w14:textId="36FDB637" w:rsidR="00D84BD0" w:rsidRPr="00942235" w:rsidRDefault="00D84BD0" w:rsidP="00C11C29">
      <w:pPr>
        <w:tabs>
          <w:tab w:val="left" w:pos="1985"/>
        </w:tabs>
        <w:ind w:left="1980" w:hanging="1980"/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  <w:r w:rsidR="007706FF">
        <w:rPr>
          <w:rFonts w:ascii="Arial" w:hAnsi="Arial" w:cs="Arial"/>
          <w:bCs/>
          <w:sz w:val="22"/>
        </w:rPr>
        <w:t>, AT&amp;T, Verizon, Ericsson</w:t>
      </w:r>
      <w:r w:rsidR="001D785E">
        <w:rPr>
          <w:rFonts w:ascii="Arial" w:hAnsi="Arial" w:cs="Arial"/>
          <w:bCs/>
          <w:sz w:val="22"/>
        </w:rPr>
        <w:t>, Nokia, Samsung</w:t>
      </w:r>
      <w:r w:rsidR="00B55114">
        <w:rPr>
          <w:rFonts w:ascii="Arial" w:hAnsi="Arial" w:cs="Arial"/>
          <w:bCs/>
          <w:sz w:val="22"/>
        </w:rPr>
        <w:t>, T-Mobile US</w:t>
      </w:r>
      <w:r w:rsidR="00C11C29">
        <w:rPr>
          <w:rFonts w:ascii="Arial" w:hAnsi="Arial" w:cs="Arial"/>
          <w:bCs/>
          <w:sz w:val="22"/>
        </w:rPr>
        <w:t xml:space="preserve">, </w:t>
      </w:r>
      <w:r w:rsidR="00C11C29" w:rsidRPr="00C11C29">
        <w:rPr>
          <w:rFonts w:ascii="Arial" w:hAnsi="Arial" w:cs="Arial"/>
          <w:bCs/>
          <w:sz w:val="22"/>
        </w:rPr>
        <w:t>Deutsche Telekom</w:t>
      </w:r>
      <w:r w:rsidR="00C11C29">
        <w:rPr>
          <w:rFonts w:ascii="Arial" w:hAnsi="Arial" w:cs="Arial"/>
          <w:bCs/>
          <w:sz w:val="22"/>
        </w:rPr>
        <w:t>, Dish Network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78870808" w:rsidR="00F07DB3" w:rsidRDefault="00F07DB3" w:rsidP="00FA67E5">
      <w:r>
        <w:t xml:space="preserve">To enable UE to support </w:t>
      </w:r>
      <w:r w:rsidR="009B584E">
        <w:t>higher</w:t>
      </w:r>
      <w:r w:rsidR="00B567EE">
        <w:t xml:space="preserve"> power class</w:t>
      </w:r>
      <w:r w:rsidR="009B584E">
        <w:t xml:space="preserve"> </w:t>
      </w:r>
      <w:r w:rsidR="002D3085">
        <w:t xml:space="preserve">than default </w:t>
      </w:r>
      <w:r w:rsidR="009B584E">
        <w:t xml:space="preserve">power class </w:t>
      </w:r>
      <w:r w:rsidR="00614269">
        <w:t xml:space="preserve">for </w:t>
      </w:r>
      <w:r w:rsidR="009B584E">
        <w:t>single configured UL</w:t>
      </w:r>
      <w:r w:rsidR="00B567EE">
        <w:t xml:space="preserve"> carrier</w:t>
      </w:r>
      <w:r w:rsidR="009B584E">
        <w:t xml:space="preserve"> </w:t>
      </w:r>
      <w:r w:rsidR="00614269">
        <w:t>with DL CA configuration when HPUE requirements</w:t>
      </w:r>
      <w:r w:rsidR="009B584E">
        <w:t xml:space="preserve"> for the </w:t>
      </w:r>
      <w:r w:rsidR="002D3085">
        <w:t>band combination have not been specified</w:t>
      </w:r>
      <w:r w:rsidR="00F02B6D">
        <w:t>:</w:t>
      </w:r>
    </w:p>
    <w:p w14:paraId="1B2AD9C1" w14:textId="758D8B35" w:rsidR="003A1605" w:rsidRDefault="00F02B6D" w:rsidP="003A1605">
      <w:pPr>
        <w:pStyle w:val="ListParagraph"/>
        <w:numPr>
          <w:ilvl w:val="0"/>
          <w:numId w:val="42"/>
        </w:numPr>
        <w:ind w:firstLineChars="0"/>
      </w:pPr>
      <w:r>
        <w:t xml:space="preserve">Reference sensitivity requirements </w:t>
      </w:r>
      <w:r w:rsidR="00640AD7">
        <w:t xml:space="preserve">(e.g. MSD) </w:t>
      </w:r>
      <w:r>
        <w:t>for the band combination are</w:t>
      </w:r>
      <w:r w:rsidR="00FA67E5">
        <w:t xml:space="preserve"> </w:t>
      </w:r>
      <w:r w:rsidR="00614269">
        <w:t xml:space="preserve">only </w:t>
      </w:r>
      <w:r w:rsidR="00FA67E5">
        <w:t>verified with default power class</w:t>
      </w:r>
      <w:r w:rsidR="001D785E">
        <w:t xml:space="preserve"> transmission</w:t>
      </w:r>
      <w:r w:rsidR="008F5760">
        <w:t>, unless otherwise specified</w:t>
      </w:r>
    </w:p>
    <w:p w14:paraId="6631B577" w14:textId="47D2E639" w:rsidR="00171B64" w:rsidRDefault="00171B64" w:rsidP="00171B64">
      <w:pPr>
        <w:pStyle w:val="ListParagraph"/>
        <w:numPr>
          <w:ilvl w:val="1"/>
          <w:numId w:val="42"/>
        </w:numPr>
        <w:ind w:firstLineChars="0"/>
      </w:pPr>
      <w:r>
        <w:t>This approach is specific for the case under RAN task and de-coupled from MSD discussion under other WI</w:t>
      </w:r>
      <w:r w:rsidR="00B567EE">
        <w:t>s</w:t>
      </w:r>
    </w:p>
    <w:p w14:paraId="23E49ADB" w14:textId="71B5D690" w:rsidR="00A92EE0" w:rsidRPr="00614269" w:rsidRDefault="00E519E7" w:rsidP="00614269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to </w:t>
      </w:r>
      <w:r w:rsidR="00174A2E">
        <w:t>enable</w:t>
      </w:r>
      <w:r w:rsidR="00174A2E" w:rsidRPr="00AB46C9">
        <w:t xml:space="preserve"> </w:t>
      </w:r>
      <w:r>
        <w:t xml:space="preserve">higher power class than </w:t>
      </w:r>
      <w:r w:rsidR="00174A2E">
        <w:t xml:space="preserve">default power class of </w:t>
      </w:r>
      <w:r w:rsidR="00280112">
        <w:t xml:space="preserve">single configured </w:t>
      </w:r>
      <w:r w:rsidR="00A92EE0">
        <w:t>UL</w:t>
      </w:r>
      <w:r w:rsidR="00B567EE">
        <w:t xml:space="preserve"> carrier</w:t>
      </w:r>
      <w:r w:rsidR="00A92EE0">
        <w:t xml:space="preserve"> with DL CA</w:t>
      </w:r>
      <w:r w:rsidR="00B567EE">
        <w:t xml:space="preserve"> configuration</w:t>
      </w:r>
      <w:r w:rsidR="00614269">
        <w:t xml:space="preserve"> when </w:t>
      </w:r>
      <w:r w:rsidR="00A92EE0">
        <w:t>single carrier</w:t>
      </w:r>
      <w:r w:rsidR="008F5760">
        <w:t xml:space="preserve"> requirements with</w:t>
      </w:r>
      <w:r w:rsidR="00B91B78">
        <w:t xml:space="preserve"> </w:t>
      </w:r>
      <w:r w:rsidR="00EB021B">
        <w:t xml:space="preserve">higher power class </w:t>
      </w:r>
      <w:r w:rsidR="00B91B78">
        <w:t xml:space="preserve">requirements </w:t>
      </w:r>
      <w:r w:rsidR="00614269">
        <w:t xml:space="preserve">and default power class requirements for the CA configuration </w:t>
      </w:r>
      <w:r w:rsidR="00EB021B">
        <w:t>exist in specification</w:t>
      </w:r>
    </w:p>
    <w:p w14:paraId="367D1E84" w14:textId="48CC8EAB" w:rsidR="00280112" w:rsidRPr="00D914A6" w:rsidRDefault="00280112" w:rsidP="00280112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000C" w14:textId="77777777" w:rsidR="00CD2E47" w:rsidRPr="00A10429" w:rsidRDefault="00CD2E4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F44C255" w14:textId="77777777" w:rsidR="00CD2E47" w:rsidRPr="00A10429" w:rsidRDefault="00CD2E47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C050" w14:textId="77777777" w:rsidR="00CD2E47" w:rsidRPr="00A10429" w:rsidRDefault="00CD2E4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2CD18FC" w14:textId="77777777" w:rsidR="00CD2E47" w:rsidRPr="00A10429" w:rsidRDefault="00CD2E47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399809">
    <w:abstractNumId w:val="31"/>
  </w:num>
  <w:num w:numId="2" w16cid:durableId="581139811">
    <w:abstractNumId w:val="15"/>
  </w:num>
  <w:num w:numId="3" w16cid:durableId="786005656">
    <w:abstractNumId w:val="28"/>
  </w:num>
  <w:num w:numId="4" w16cid:durableId="1418676987">
    <w:abstractNumId w:val="13"/>
  </w:num>
  <w:num w:numId="5" w16cid:durableId="1201864737">
    <w:abstractNumId w:val="6"/>
  </w:num>
  <w:num w:numId="6" w16cid:durableId="1672946921">
    <w:abstractNumId w:val="21"/>
  </w:num>
  <w:num w:numId="7" w16cid:durableId="1187252534">
    <w:abstractNumId w:val="5"/>
  </w:num>
  <w:num w:numId="8" w16cid:durableId="1603145340">
    <w:abstractNumId w:val="20"/>
  </w:num>
  <w:num w:numId="9" w16cid:durableId="1334995940">
    <w:abstractNumId w:val="31"/>
  </w:num>
  <w:num w:numId="10" w16cid:durableId="827868133">
    <w:abstractNumId w:val="31"/>
  </w:num>
  <w:num w:numId="11" w16cid:durableId="1305115772">
    <w:abstractNumId w:val="1"/>
  </w:num>
  <w:num w:numId="12" w16cid:durableId="1651984992">
    <w:abstractNumId w:val="9"/>
  </w:num>
  <w:num w:numId="13" w16cid:durableId="873620603">
    <w:abstractNumId w:val="8"/>
  </w:num>
  <w:num w:numId="14" w16cid:durableId="773863656">
    <w:abstractNumId w:val="27"/>
  </w:num>
  <w:num w:numId="15" w16cid:durableId="1954628047">
    <w:abstractNumId w:val="31"/>
  </w:num>
  <w:num w:numId="16" w16cid:durableId="324430910">
    <w:abstractNumId w:val="31"/>
  </w:num>
  <w:num w:numId="17" w16cid:durableId="976644643">
    <w:abstractNumId w:val="19"/>
  </w:num>
  <w:num w:numId="18" w16cid:durableId="177812655">
    <w:abstractNumId w:val="34"/>
  </w:num>
  <w:num w:numId="19" w16cid:durableId="718892812">
    <w:abstractNumId w:val="31"/>
  </w:num>
  <w:num w:numId="20" w16cid:durableId="1609771333">
    <w:abstractNumId w:val="7"/>
  </w:num>
  <w:num w:numId="21" w16cid:durableId="1336111909">
    <w:abstractNumId w:val="31"/>
  </w:num>
  <w:num w:numId="22" w16cid:durableId="304428686">
    <w:abstractNumId w:val="31"/>
  </w:num>
  <w:num w:numId="23" w16cid:durableId="1270354265">
    <w:abstractNumId w:val="10"/>
  </w:num>
  <w:num w:numId="24" w16cid:durableId="1274939584">
    <w:abstractNumId w:val="3"/>
  </w:num>
  <w:num w:numId="25" w16cid:durableId="394352372">
    <w:abstractNumId w:val="0"/>
  </w:num>
  <w:num w:numId="26" w16cid:durableId="836380105">
    <w:abstractNumId w:val="11"/>
  </w:num>
  <w:num w:numId="27" w16cid:durableId="2066562630">
    <w:abstractNumId w:val="12"/>
  </w:num>
  <w:num w:numId="28" w16cid:durableId="1861239906">
    <w:abstractNumId w:val="22"/>
  </w:num>
  <w:num w:numId="29" w16cid:durableId="154146914">
    <w:abstractNumId w:val="25"/>
  </w:num>
  <w:num w:numId="30" w16cid:durableId="1546406705">
    <w:abstractNumId w:val="18"/>
  </w:num>
  <w:num w:numId="31" w16cid:durableId="996834980">
    <w:abstractNumId w:val="16"/>
  </w:num>
  <w:num w:numId="32" w16cid:durableId="1765372818">
    <w:abstractNumId w:val="26"/>
  </w:num>
  <w:num w:numId="33" w16cid:durableId="1523007363">
    <w:abstractNumId w:val="29"/>
  </w:num>
  <w:num w:numId="34" w16cid:durableId="1567375868">
    <w:abstractNumId w:val="30"/>
  </w:num>
  <w:num w:numId="35" w16cid:durableId="1984893818">
    <w:abstractNumId w:val="14"/>
  </w:num>
  <w:num w:numId="36" w16cid:durableId="1557738737">
    <w:abstractNumId w:val="17"/>
  </w:num>
  <w:num w:numId="37" w16cid:durableId="782961713">
    <w:abstractNumId w:val="33"/>
  </w:num>
  <w:num w:numId="38" w16cid:durableId="890652698">
    <w:abstractNumId w:val="32"/>
  </w:num>
  <w:num w:numId="39" w16cid:durableId="155726950">
    <w:abstractNumId w:val="2"/>
  </w:num>
  <w:num w:numId="40" w16cid:durableId="356009822">
    <w:abstractNumId w:val="23"/>
  </w:num>
  <w:num w:numId="41" w16cid:durableId="1242373267">
    <w:abstractNumId w:val="4"/>
  </w:num>
  <w:num w:numId="42" w16cid:durableId="162176048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linkStyle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D785E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078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762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3D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024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38D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269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6FF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1ED2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760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6D16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21D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114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29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E47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078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649-68A2-49FC-A7F5-04343C6C19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2</cp:revision>
  <dcterms:created xsi:type="dcterms:W3CDTF">2024-08-23T10:08:00Z</dcterms:created>
  <dcterms:modified xsi:type="dcterms:W3CDTF">2024-08-23T10:08:00Z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