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7ED8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230454EA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51A15E8" w14:textId="3EC4E7FB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2FD451B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draft </w:t>
      </w:r>
      <w:r w:rsidR="00B71822">
        <w:rPr>
          <w:rFonts w:ascii="Arial" w:eastAsiaTheme="minorEastAsia" w:hAnsi="Arial" w:cs="Arial"/>
          <w:color w:val="000000"/>
          <w:sz w:val="22"/>
          <w:lang w:eastAsia="zh-CN"/>
        </w:rPr>
        <w:t>Minutes</w:t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 for LP-WUR ad hoc discussion</w:t>
      </w:r>
    </w:p>
    <w:p w14:paraId="351A15ED" w14:textId="08D99C76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A40C9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8A7CE31" w14:textId="77777777" w:rsidR="00651E3B" w:rsidRDefault="00651E3B" w:rsidP="005C5047">
      <w:pPr>
        <w:pStyle w:val="1"/>
        <w:numPr>
          <w:ilvl w:val="0"/>
          <w:numId w:val="0"/>
        </w:numPr>
        <w:rPr>
          <w:lang w:val="en-US" w:eastAsia="ja-JP"/>
        </w:rPr>
      </w:pPr>
    </w:p>
    <w:p w14:paraId="77871E37" w14:textId="77777777" w:rsidR="00B873EC" w:rsidRDefault="00B873EC" w:rsidP="00B873EC">
      <w:pPr>
        <w:spacing w:after="100" w:afterAutospacing="1"/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Based on the latest approved WI in [RP-240135], the objectives of the WI are duplicated as below:</w:t>
      </w:r>
    </w:p>
    <w:p w14:paraId="159F17E6" w14:textId="77777777" w:rsidR="00B873EC" w:rsidRDefault="00B873EC" w:rsidP="00B873EC">
      <w:pPr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noProof/>
          <w:color w:val="0070C0"/>
          <w:lang w:val="en-US" w:eastAsia="zh-CN"/>
        </w:rPr>
        <w:lastRenderedPageBreak/>
        <mc:AlternateContent>
          <mc:Choice Requires="wps">
            <w:drawing>
              <wp:inline distT="0" distB="0" distL="0" distR="0" wp14:anchorId="6D778E8D" wp14:editId="1EA4ABBD">
                <wp:extent cx="5486400" cy="4564380"/>
                <wp:effectExtent l="0" t="0" r="10160" b="1143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64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945797" w14:textId="77777777" w:rsidR="00B873EC" w:rsidRDefault="00B873EC" w:rsidP="00B873EC">
                            <w:pPr>
                              <w:spacing w:after="0"/>
                              <w:rPr>
                                <w:bCs/>
                                <w:lang w:eastAsia="zh-CN"/>
                              </w:rPr>
                            </w:pPr>
                            <w:bookmarkStart w:id="0" w:name="_Hlk153295984"/>
                            <w:r>
                              <w:rPr>
                                <w:rFonts w:hint="eastAsia"/>
                                <w:bCs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he objectives of the work item are the following:</w:t>
                            </w:r>
                          </w:p>
                          <w:p w14:paraId="11F1274E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To specify an LP-WUS design commonly applicable to both IDLE/INACTIVE and CONNECTED modes (RAN1, RAN4)</w:t>
                            </w:r>
                          </w:p>
                          <w:p w14:paraId="6B7DA11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OOK (OOK-1 and/or OOK-4) based LP-WUS with </w:t>
                            </w:r>
                            <w:r>
                              <w:t>overlaid OFDM sequence(s) over OOK symbol</w:t>
                            </w:r>
                          </w:p>
                          <w:p w14:paraId="4D99F3AE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  <w:t xml:space="preserve">he LP-WUS design shall ensure that for IDLE/INACTIVE operation, the same information is delivered irrespective of LP-WUR type. 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The OFDM sequence c</w:t>
                            </w:r>
                            <w:r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n carry information.</w:t>
                            </w:r>
                          </w:p>
                          <w:p w14:paraId="26262BA9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At least duty-cycled monitoring of LP-WUS is supported</w:t>
                            </w:r>
                          </w:p>
                          <w:p w14:paraId="2165B6E2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For IDLE/INACTIVE modes</w:t>
                            </w:r>
                          </w:p>
                          <w:p w14:paraId="5625B053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procedure and configuration of LP-WUS indicating paging monitoring triggered by LP-WUS, including at least configuration, sub-grouping and entry/exit condition for LP-WUS monitoring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 xml:space="preserve">(RAN2, </w:t>
                            </w:r>
                            <w:r>
                              <w:rPr>
                                <w:bCs/>
                                <w:lang w:val="en-US" w:eastAsia="zh-CN" w:bidi="ar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>AN1,</w:t>
                            </w: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>RAN3, RAN4)</w:t>
                            </w:r>
                          </w:p>
                          <w:p w14:paraId="7EEA5124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Specify LP-SS with periodicity with Yms for LP-WUR, for synchronization and/or RRM for serving cell. (RAN1, RAN4)</w:t>
                            </w:r>
                          </w:p>
                          <w:p w14:paraId="7E37CEFB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LP-SS is based on OOK-1 and/or OOK-4 waveform with or without overlaid OFDM sequences. Further down selection between with and without overlaid OFDM sequences is to be done within WI.</w:t>
                            </w:r>
                          </w:p>
                          <w:p w14:paraId="3E0C6B98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color w:val="000000"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lang w:val="en-US" w:eastAsia="zh-CN" w:bidi="ar"/>
                              </w:rPr>
                              <w:t>Note: For LP-WUR that can receive existing PSS/SSS, existing PSS/SSS can be used for synchronization and RRM instead of LP-SS.</w:t>
                            </w:r>
                          </w:p>
                          <w:p w14:paraId="7D887C28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Y will be decided within WI. 320ms is the start point.</w:t>
                            </w:r>
                          </w:p>
                          <w:p w14:paraId="781017D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Specify further RRM relaxation of UE MR for both serving and neighbor cell measurements, and UE serving cell RRM measurement offloaded from MR to LP-WUR, including the necessary conditions (RAN4, RAN2)</w:t>
                            </w:r>
                          </w:p>
                          <w:p w14:paraId="1C6FA97D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For CONNECTED mode, specify procedures to allow UE MR PDCCH monitoring triggered by LP-WUS including activation and deactivation procedure of LP-WUS monitoring (RAN2, RAN1)</w:t>
                            </w:r>
                          </w:p>
                          <w:p w14:paraId="02C5E92B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Check in RAN#105 for potential TU adjustment in RAN2</w:t>
                            </w:r>
                          </w:p>
                          <w:p w14:paraId="7D8ED86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Note: In CONNECTED mode, UE MR ultra-deep sleep is not considered, and UE RRM/RLM/BFD/CSI measurements are performed by MR</w:t>
                            </w:r>
                          </w:p>
                          <w:p w14:paraId="6C10FA0D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Note: The target coverage of LP-WUS and LP-SS shall be the coverage of PUSCH for message3.</w:t>
                            </w:r>
                          </w:p>
                          <w:p w14:paraId="6255C79F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Note: The optimization of LP-WUS signal design for idle/inactive mode is prioritized over the optimization for connected mode.</w:t>
                            </w:r>
                          </w:p>
                          <w:bookmarkEnd w:id="0"/>
                          <w:p w14:paraId="0FD80531" w14:textId="77777777" w:rsidR="00B873EC" w:rsidRDefault="00B873EC" w:rsidP="00B873EC">
                            <w:pPr>
                              <w:numPr>
                                <w:ilvl w:val="0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/>
                              </w:rPr>
                              <w:t>Specify the necessary RAN4 core requirement(s) to support the feature (RAN4).</w:t>
                            </w:r>
                          </w:p>
                          <w:p w14:paraId="6D4BE7E3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Specifying UE low-power wake-up receiver requirements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at least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REFSENS, ACS and ASCS requirements with consideration of possible new methodology</w:t>
                            </w:r>
                          </w:p>
                          <w:p w14:paraId="140BED6C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Define guard RBs for ACS and ASCS cases</w:t>
                            </w:r>
                          </w:p>
                          <w:p w14:paraId="28A008C0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Study testability of above requirements</w:t>
                            </w:r>
                          </w:p>
                          <w:p w14:paraId="1E7C704A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Consider impacts of different architecture and impairments</w:t>
                            </w:r>
                          </w:p>
                          <w:p w14:paraId="26EC85C0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Study and specify, if necessary, any BS requirements, e.g.,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 xml:space="preserve">crease upper limit for LP-WUS/LP-SS beyond current dynamic range </w:t>
                            </w:r>
                          </w:p>
                          <w:p w14:paraId="5AD3D96F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Specify necessary RRM requirements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778E8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6in;height:359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">
                <v:textbox style="mso-fit-shape-to-text:t">
                  <w:txbxContent>
                    <w:p w14:paraId="6C945797" w14:textId="77777777" w:rsidR="00B873EC" w:rsidRDefault="00B873EC" w:rsidP="00B873EC">
                      <w:pPr>
                        <w:spacing w:after="0"/>
                        <w:rPr>
                          <w:bCs/>
                          <w:lang w:eastAsia="zh-CN"/>
                        </w:rPr>
                      </w:pPr>
                      <w:bookmarkStart w:id="1" w:name="_Hlk153295984"/>
                      <w:r>
                        <w:rPr>
                          <w:rFonts w:hint="eastAsia"/>
                          <w:bCs/>
                          <w:lang w:eastAsia="zh-CN"/>
                        </w:rPr>
                        <w:t>T</w:t>
                      </w:r>
                      <w:r>
                        <w:rPr>
                          <w:bCs/>
                          <w:lang w:eastAsia="zh-CN"/>
                        </w:rPr>
                        <w:t>he objectives of the work item are the following:</w:t>
                      </w:r>
                    </w:p>
                    <w:p w14:paraId="11F1274E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To specify an LP-WUS design commonly applicable to both IDLE/INACTIVE and CONNECTED modes (RAN1, RAN4)</w:t>
                      </w:r>
                    </w:p>
                    <w:p w14:paraId="6B7DA11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OOK (OOK-1 and/or OOK-4) based LP-WUS with </w:t>
                      </w:r>
                      <w:r>
                        <w:t>overlaid OFDM sequence(s) over OOK symbol</w:t>
                      </w:r>
                    </w:p>
                    <w:p w14:paraId="4D99F3AE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T</w:t>
                      </w:r>
                      <w:r>
                        <w:rPr>
                          <w:bCs/>
                          <w:color w:val="000000"/>
                          <w:lang w:val="en-US" w:eastAsia="zh-CN"/>
                        </w:rPr>
                        <w:t xml:space="preserve">he LP-WUS design shall ensure that for IDLE/INACTIVE operation, the same information is delivered irrespective of LP-WUR type. </w:t>
                      </w: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The OFDM sequence c</w:t>
                      </w:r>
                      <w:r>
                        <w:rPr>
                          <w:bCs/>
                          <w:color w:val="000000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n carry information.</w:t>
                      </w:r>
                    </w:p>
                    <w:p w14:paraId="26262BA9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At least duty-cycled monitoring of LP-WUS is supported</w:t>
                      </w:r>
                    </w:p>
                    <w:p w14:paraId="2165B6E2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For IDLE/INACTIVE modes</w:t>
                      </w:r>
                    </w:p>
                    <w:p w14:paraId="5625B053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 w:eastAsia="zh-CN" w:bidi="ar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procedure and configuration of LP-WUS indicating paging monitoring triggered by LP-WUS, including at least configuration, sub-grouping and entry/exit condition for LP-WUS monitoring 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 xml:space="preserve">(RAN2, </w:t>
                      </w:r>
                      <w:r>
                        <w:rPr>
                          <w:bCs/>
                          <w:lang w:val="en-US" w:eastAsia="zh-CN" w:bidi="ar"/>
                        </w:rPr>
                        <w:t>R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>AN1,</w:t>
                      </w:r>
                      <w:r>
                        <w:rPr>
                          <w:bCs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>RAN3, RAN4)</w:t>
                      </w:r>
                    </w:p>
                    <w:p w14:paraId="7EEA5124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Specify LP-SS with periodicity with Yms for LP-WUR, for synchronization and/or RRM for serving cell. (RAN1, RAN4)</w:t>
                      </w:r>
                    </w:p>
                    <w:p w14:paraId="7E37CEFB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LP-SS is based on OOK-1 and/or OOK-4 waveform with or without overlaid OFDM sequences. Further down selection between with and without overlaid OFDM sequences is to be done within WI.</w:t>
                      </w:r>
                    </w:p>
                    <w:p w14:paraId="3E0C6B98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color w:val="000000"/>
                          <w:lang w:val="en-US" w:eastAsia="zh-CN" w:bidi="ar"/>
                        </w:rPr>
                      </w:pPr>
                      <w:r>
                        <w:rPr>
                          <w:bCs/>
                          <w:color w:val="000000"/>
                          <w:lang w:val="en-US" w:eastAsia="zh-CN" w:bidi="ar"/>
                        </w:rPr>
                        <w:t>Note: For LP-WUR that can receive existing PSS/SSS, existing PSS/SSS can be used for synchronization and RRM instead of LP-SS.</w:t>
                      </w:r>
                    </w:p>
                    <w:p w14:paraId="7D887C28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 w:eastAsia="zh-CN" w:bidi="ar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Y will be decided within WI. 320ms is the start point.</w:t>
                      </w:r>
                    </w:p>
                    <w:p w14:paraId="781017D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Specify further RRM relaxation of UE MR for both serving and neighbor cell measurements, and UE serving cell RRM measurement offloaded from MR to LP-WUR, including the necessary conditions (RAN4, RAN2)</w:t>
                      </w:r>
                    </w:p>
                    <w:p w14:paraId="1C6FA97D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For CONNECTED mode, specify procedures to allow UE MR PDCCH monitoring triggered by LP-WUS including activation and deactivation procedure of LP-WUS monitoring (RAN2, RAN1)</w:t>
                      </w:r>
                    </w:p>
                    <w:p w14:paraId="02C5E92B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Check in RAN#105 for potential TU adjustment in RAN2</w:t>
                      </w:r>
                    </w:p>
                    <w:p w14:paraId="7D8ED86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Note: In CONNECTED mode, UE MR ultra-deep sleep is not considered, and UE RRM/RLM/BFD/CSI measurements are performed by MR</w:t>
                      </w:r>
                    </w:p>
                    <w:p w14:paraId="6C10FA0D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Note: The target coverage of LP-WUS and LP-SS shall be the coverage of PUSCH for message3.</w:t>
                      </w:r>
                    </w:p>
                    <w:p w14:paraId="6255C79F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Note: The optimization of LP-WUS signal design for idle/inactive mode is prioritized over the optimization for connected mode.</w:t>
                      </w:r>
                    </w:p>
                    <w:bookmarkEnd w:id="1"/>
                    <w:p w14:paraId="0FD80531" w14:textId="77777777" w:rsidR="00B873EC" w:rsidRDefault="00B873EC" w:rsidP="00B873EC">
                      <w:pPr>
                        <w:numPr>
                          <w:ilvl w:val="0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rFonts w:hint="eastAsia"/>
                          <w:bCs/>
                          <w:lang w:val="en-US"/>
                        </w:rPr>
                        <w:t>Specify the necessary RAN4 core requirement(s) to support the feature (RAN4).</w:t>
                      </w:r>
                    </w:p>
                    <w:p w14:paraId="6D4BE7E3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Specifying UE low-power wake-up receiver requirements</w:t>
                      </w: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,</w:t>
                      </w:r>
                      <w:r>
                        <w:rPr>
                          <w:bCs/>
                          <w:lang w:val="en-US" w:eastAsia="zh-CN"/>
                        </w:rPr>
                        <w:t xml:space="preserve"> at least </w:t>
                      </w:r>
                      <w:r>
                        <w:rPr>
                          <w:bCs/>
                          <w:lang w:val="en-US"/>
                        </w:rPr>
                        <w:t>REFSENS, ACS and ASCS requirements with consideration of possible new methodology</w:t>
                      </w:r>
                    </w:p>
                    <w:p w14:paraId="140BED6C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Define guard RBs for ACS and ASCS cases</w:t>
                      </w:r>
                    </w:p>
                    <w:p w14:paraId="28A008C0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Study testability of above requirements</w:t>
                      </w:r>
                    </w:p>
                    <w:p w14:paraId="1E7C704A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Consider impacts of different architecture and impairments</w:t>
                      </w:r>
                    </w:p>
                    <w:p w14:paraId="26EC85C0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Study and specify, if necessary, any BS requirements, e.g., </w:t>
                      </w: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in</w:t>
                      </w:r>
                      <w:r>
                        <w:rPr>
                          <w:bCs/>
                          <w:lang w:val="en-US"/>
                        </w:rPr>
                        <w:t xml:space="preserve">crease upper limit for LP-WUS/LP-SS beyond current dynamic range </w:t>
                      </w:r>
                    </w:p>
                    <w:p w14:paraId="5AD3D96F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</w:pPr>
                      <w:r>
                        <w:rPr>
                          <w:bCs/>
                          <w:lang w:val="en-US"/>
                        </w:rPr>
                        <w:t>Specify necessary RRM 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47C42" w14:textId="77777777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2-1-1-1: SNR setting for serving and interference cell derivation from SINR setting</w:t>
      </w:r>
    </w:p>
    <w:p w14:paraId="44DF9C2F" w14:textId="77777777" w:rsidR="00B873EC" w:rsidRDefault="00B873EC" w:rsidP="00B873EC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5177975B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Use two cells for RAN4 simulation. To derive SNR for serving cell and interference cell from serving cell Ês/Iot, a relationship for the SNR or transmission power between serving cell and interference cell need be pre-defined. Suggest to consider the SNR/transmission power of the interference cell is 9 dB or 6 dB lower compared with that of the serving cell. (vivo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73F6678E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Discuss what is the meaning of Cell 1 and Cell 2 in the simulated scenario as the LP-WUR only supports serving cell measurements. (Nokia)</w:t>
      </w:r>
    </w:p>
    <w:p w14:paraId="4EEFA932" w14:textId="77777777" w:rsidR="00B873EC" w:rsidRDefault="00B873EC" w:rsidP="00B873E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24D575A" w14:textId="150C21A4" w:rsidR="006A524C" w:rsidRPr="00456942" w:rsidRDefault="006A524C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5449D1D4" w14:textId="4A45C96E" w:rsidR="002A3EF3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To derive SNR for serving cell and interference cell from serving cell Ês/Iot, a relationship for the SNR or transmission power between serving cell and interference cell need be pre-defined. </w:t>
      </w:r>
    </w:p>
    <w:p w14:paraId="4125D97B" w14:textId="3121BF0B" w:rsidR="00B873EC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Consider the SNR/transmission power of the interference cell is 9 dB or 6 dB lower compared with that of the serving cell.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 </w:t>
      </w:r>
      <w:r w:rsidR="00F155C1" w:rsidRPr="00456942">
        <w:rPr>
          <w:rFonts w:hint="eastAsia"/>
          <w:color w:val="000000"/>
          <w:sz w:val="21"/>
          <w:szCs w:val="21"/>
          <w:highlight w:val="green"/>
          <w:lang w:val="en-US" w:eastAsia="zh-CN"/>
        </w:rPr>
        <w:t>Oth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er value can be considered. </w:t>
      </w:r>
    </w:p>
    <w:p w14:paraId="3E31369F" w14:textId="77777777" w:rsidR="00856F23" w:rsidRDefault="00856F23" w:rsidP="00B873EC">
      <w:pPr>
        <w:rPr>
          <w:b/>
          <w:color w:val="000000" w:themeColor="text1"/>
          <w:u w:val="single"/>
          <w:lang w:val="en-US" w:eastAsia="ko-KR"/>
        </w:rPr>
      </w:pPr>
    </w:p>
    <w:p w14:paraId="7F48DBFD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292C7033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28D90E99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</w:t>
      </w:r>
      <w:r>
        <w:rPr>
          <w:bCs/>
          <w:color w:val="000000"/>
          <w:szCs w:val="21"/>
        </w:rPr>
        <w:t>Suggest that 5 ppm is used for SSB based LP-WUR receivers and [5 10 20]ppm is used for OOK based receivers. Suggest the timing error are: OFDM type receiver: Residual timing error + 5*320ms; OOK type receiver: Residual timing error + [5 10 20] *320ms</w:t>
      </w:r>
      <w:r>
        <w:rPr>
          <w:bCs/>
        </w:rPr>
        <w:t>. (vivo)</w:t>
      </w:r>
    </w:p>
    <w:p w14:paraId="2A11D4A8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P2: Discuss </w:t>
      </w:r>
      <w:r>
        <w:rPr>
          <w:rFonts w:hint="eastAsia"/>
          <w:bCs/>
        </w:rPr>
        <w:t>Time/</w:t>
      </w:r>
      <w:r>
        <w:rPr>
          <w:bCs/>
        </w:rPr>
        <w:t>frequency error in simulation assumption based on RAN1’s and RF’s agreement (Apple)</w:t>
      </w:r>
    </w:p>
    <w:p w14:paraId="0917F90B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Use 20ppm Residual Frequency error as the simulation baseline, 0ppm and 10ppm can also be involved if companies interested. Further update is not precluded.</w:t>
      </w:r>
      <w:r>
        <w:rPr>
          <w:bCs/>
        </w:rPr>
        <w:t xml:space="preserve"> (CMCC)</w:t>
      </w:r>
    </w:p>
    <w:p w14:paraId="77B9BD7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P4: 20 ppm frequency error can be considered for OOK based on LR for initial RAN4 evaluation work. (Samsung)</w:t>
      </w:r>
    </w:p>
    <w:p w14:paraId="2BA646FD" w14:textId="77777777" w:rsidR="00A85B92" w:rsidRPr="00CB206A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5ppm; Time error: up to companies to report (Huawei)</w:t>
      </w:r>
    </w:p>
    <w:p w14:paraId="24FE19C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</w:t>
      </w:r>
      <w:r>
        <w:rPr>
          <w:rFonts w:eastAsiaTheme="minorEastAsia" w:hint="eastAsia"/>
          <w:bCs/>
          <w:color w:val="000000"/>
          <w:szCs w:val="21"/>
          <w:lang w:eastAsia="zh-CN"/>
        </w:rPr>
        <w:t xml:space="preserve"> for SSB based and [5, 10]ppm for OOK based (Ericsson)</w:t>
      </w:r>
    </w:p>
    <w:p w14:paraId="432F8DCE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125FFF9D" w14:textId="07381BDB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0E915550" w14:textId="1E11D1C7" w:rsidR="00AF3B3E" w:rsidRPr="00456942" w:rsidRDefault="00AF3B3E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07DDF378" w14:textId="50E6A478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OFDM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[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5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]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 ppm</w:t>
      </w:r>
    </w:p>
    <w:p w14:paraId="68D1F65E" w14:textId="348379DA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OOK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[ 10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20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]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ppm </w:t>
      </w:r>
    </w:p>
    <w:p w14:paraId="7F88EB70" w14:textId="77777777" w:rsidR="000E17FD" w:rsidRDefault="000E17FD" w:rsidP="00A85B92">
      <w:pPr>
        <w:rPr>
          <w:bCs/>
          <w:color w:val="000000"/>
          <w:szCs w:val="21"/>
        </w:rPr>
      </w:pPr>
    </w:p>
    <w:p w14:paraId="59E561B1" w14:textId="7F5BCB08" w:rsidR="00A85B92" w:rsidRDefault="00A85B92" w:rsidP="00A85B9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Timing error </w:t>
      </w:r>
    </w:p>
    <w:p w14:paraId="4FE1B292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bCs/>
          <w:color w:val="000000"/>
          <w:szCs w:val="21"/>
        </w:rPr>
        <w:t>Timing error = Residual timing error (up to company report) + residual frequency error* reference signal periodicity (320ms);</w:t>
      </w:r>
    </w:p>
    <w:p w14:paraId="4382CEDF" w14:textId="1D135A5C" w:rsidR="00A85B92" w:rsidRDefault="00A85B92" w:rsidP="00B873EC">
      <w:pPr>
        <w:rPr>
          <w:b/>
          <w:color w:val="000000" w:themeColor="text1"/>
          <w:u w:val="single"/>
          <w:lang w:eastAsia="ko-KR"/>
        </w:rPr>
      </w:pPr>
    </w:p>
    <w:p w14:paraId="2A8E690A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2-1-5: Measurement interval</w:t>
      </w:r>
    </w:p>
    <w:p w14:paraId="34607DA6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74C11B0C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LP-SS measurement</w:t>
      </w:r>
      <w:r>
        <w:rPr>
          <w:rFonts w:hint="eastAsia"/>
          <w:bCs/>
        </w:rPr>
        <w:t xml:space="preserve"> requirement</w:t>
      </w:r>
      <w:r>
        <w:rPr>
          <w:bCs/>
        </w:rPr>
        <w:t xml:space="preserve"> in IDLE/Inactive mode shall be defined based on LP-SS periodicity (Apple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2F37A215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Define the LR measurement requirements based on measurement interval of 320ms for both LP-SS and SSB based measurement. (vivo Huawei)</w:t>
      </w:r>
    </w:p>
    <w:p w14:paraId="0451C9E3" w14:textId="3A47242D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SSB burst periodicity: 20ms</w:t>
      </w:r>
      <w:r>
        <w:rPr>
          <w:bCs/>
        </w:rPr>
        <w:t xml:space="preserve"> </w:t>
      </w:r>
      <w:r>
        <w:rPr>
          <w:rFonts w:hint="eastAsia"/>
          <w:bCs/>
        </w:rPr>
        <w:t>(</w:t>
      </w:r>
      <w:r>
        <w:rPr>
          <w:bCs/>
        </w:rPr>
        <w:t>CMCC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56439C87" w14:textId="734A8191" w:rsidR="00213028" w:rsidRDefault="00213028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P4: SSB periodicity 160ms (CATT)</w:t>
      </w:r>
    </w:p>
    <w:p w14:paraId="50BABD2A" w14:textId="0640A615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E042119" w14:textId="512BB772" w:rsidR="00966268" w:rsidRPr="00A466CA" w:rsidRDefault="00A466CA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A</w:t>
      </w:r>
      <w:r w:rsidR="00966268" w:rsidRPr="00A466CA">
        <w:rPr>
          <w:color w:val="000000"/>
          <w:sz w:val="21"/>
          <w:szCs w:val="21"/>
          <w:highlight w:val="green"/>
          <w:lang w:val="en-US" w:eastAsia="zh-CN"/>
        </w:rPr>
        <w:t>greement:</w:t>
      </w:r>
    </w:p>
    <w:p w14:paraId="26F7DAD6" w14:textId="0005EA8F" w:rsidR="00A85B92" w:rsidRPr="00A466CA" w:rsidRDefault="00F33A88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U</w:t>
      </w:r>
      <w:r w:rsidR="00A85B92" w:rsidRPr="00A466CA">
        <w:rPr>
          <w:color w:val="000000"/>
          <w:sz w:val="21"/>
          <w:szCs w:val="21"/>
          <w:highlight w:val="green"/>
          <w:lang w:val="en-US" w:eastAsia="zh-CN"/>
        </w:rPr>
        <w:t>se 320ms for SSB based LP-WUR</w:t>
      </w:r>
      <w:r w:rsidR="00D30172" w:rsidRPr="00A466CA">
        <w:rPr>
          <w:color w:val="000000"/>
          <w:sz w:val="21"/>
          <w:szCs w:val="21"/>
          <w:highlight w:val="green"/>
          <w:lang w:val="en-US" w:eastAsia="zh-CN"/>
        </w:rPr>
        <w:t xml:space="preserve"> firstly.</w:t>
      </w:r>
    </w:p>
    <w:p w14:paraId="73F28708" w14:textId="77777777" w:rsidR="00D30172" w:rsidRPr="00AF4BC6" w:rsidRDefault="00D30172" w:rsidP="00A85B92">
      <w:pPr>
        <w:rPr>
          <w:rFonts w:eastAsiaTheme="minorEastAsia"/>
          <w:i/>
          <w:color w:val="92D050"/>
          <w:lang w:val="en-US" w:eastAsia="zh-CN"/>
        </w:rPr>
      </w:pPr>
    </w:p>
    <w:p w14:paraId="0A7E4E4C" w14:textId="77777777" w:rsidR="00A85B92" w:rsidRPr="00A85B92" w:rsidRDefault="00A85B92" w:rsidP="00B873EC">
      <w:pPr>
        <w:rPr>
          <w:b/>
          <w:color w:val="000000" w:themeColor="text1"/>
          <w:u w:val="single"/>
          <w:lang w:val="en-US" w:eastAsia="ko-KR"/>
        </w:rPr>
      </w:pPr>
    </w:p>
    <w:p w14:paraId="3FB29F2D" w14:textId="208C5AC4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08243029" w14:textId="77777777" w:rsidR="003E7439" w:rsidRDefault="003E7439" w:rsidP="003E7439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6F584E10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The accuracy requirement defined for Redcap with 1Rx for RSRP or RSRQ in 10.1A can be used as the base when defining requirements for LP-WUR serving cell measurement. (vivo)</w:t>
      </w:r>
    </w:p>
    <w:p w14:paraId="29B7AC5B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 w:rsidRPr="00CB206A">
        <w:rPr>
          <w:rFonts w:eastAsiaTheme="minorEastAsia"/>
          <w:szCs w:val="24"/>
          <w:lang w:val="sv-SE" w:eastAsia="zh-CN"/>
        </w:rPr>
        <w:t xml:space="preserve">P2: RAN4 to use the legacy measurement accuracy for CONNECTED mode in Clause 10.1.2 TS 38.133 as baseline. </w:t>
      </w:r>
      <w:r>
        <w:rPr>
          <w:rFonts w:eastAsiaTheme="minorEastAsia"/>
          <w:szCs w:val="24"/>
          <w:lang w:val="sv-SE" w:eastAsia="zh-CN"/>
        </w:rPr>
        <w:t>(CATT CMCC)</w:t>
      </w:r>
    </w:p>
    <w:p w14:paraId="065BF24F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eastAsia="宋体"/>
          <w:bCs/>
          <w:lang w:eastAsia="zh-CN"/>
        </w:rPr>
        <w:t>P3: Use</w:t>
      </w:r>
      <w:r>
        <w:rPr>
          <w:rFonts w:eastAsia="宋体" w:hint="eastAsia"/>
          <w:bCs/>
          <w:lang w:val="en-US" w:eastAsia="zh-CN"/>
        </w:rPr>
        <w:t xml:space="preserve"> t</w:t>
      </w:r>
      <w:r>
        <w:rPr>
          <w:rFonts w:eastAsia="宋体" w:hint="eastAsia"/>
          <w:bCs/>
        </w:rPr>
        <w:t>he accuracy requirement defined for</w:t>
      </w:r>
      <w:bookmarkStart w:id="2" w:name="OLE_LINK17"/>
      <w:r>
        <w:rPr>
          <w:rFonts w:eastAsia="宋体" w:hint="eastAsia"/>
          <w:bCs/>
          <w:lang w:val="en-US" w:eastAsia="zh-CN"/>
        </w:rPr>
        <w:t xml:space="preserve"> CA/DC Idle Mode Measurements</w:t>
      </w:r>
      <w:bookmarkEnd w:id="2"/>
      <w:r>
        <w:rPr>
          <w:rFonts w:eastAsia="宋体" w:hint="eastAsia"/>
          <w:bCs/>
          <w:lang w:val="en-US" w:eastAsia="zh-CN"/>
        </w:rPr>
        <w:t xml:space="preserve">, i.e.,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6dB RSRP measurement accuracy and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4dB RSRQ measurement accuracy, </w:t>
      </w:r>
      <w:r>
        <w:rPr>
          <w:rFonts w:eastAsia="宋体" w:hint="eastAsia"/>
          <w:bCs/>
        </w:rPr>
        <w:t xml:space="preserve">as the </w:t>
      </w:r>
      <w:r>
        <w:rPr>
          <w:rFonts w:eastAsia="宋体" w:hint="eastAsia"/>
          <w:bCs/>
          <w:lang w:val="en-US" w:eastAsia="zh-CN"/>
        </w:rPr>
        <w:t xml:space="preserve">starting point </w:t>
      </w:r>
      <w:r>
        <w:rPr>
          <w:rFonts w:eastAsia="宋体" w:hint="eastAsia"/>
          <w:bCs/>
        </w:rPr>
        <w:t>when determin</w:t>
      </w:r>
      <w:r>
        <w:rPr>
          <w:rFonts w:eastAsia="宋体" w:hint="eastAsia"/>
          <w:bCs/>
          <w:lang w:val="en-US" w:eastAsia="zh-CN"/>
        </w:rPr>
        <w:t>ing</w:t>
      </w:r>
      <w:r>
        <w:rPr>
          <w:rFonts w:eastAsia="宋体" w:hint="eastAsia"/>
          <w:bCs/>
        </w:rPr>
        <w:t xml:space="preserve"> the measurement accuracy in RRC_IDLE/INACTIVE state for LP-WUR serving cell measurement</w:t>
      </w:r>
      <w:r>
        <w:rPr>
          <w:rFonts w:eastAsia="宋体" w:hint="eastAsia"/>
          <w:bCs/>
          <w:lang w:eastAsia="zh-CN"/>
        </w:rPr>
        <w:t>.</w:t>
      </w:r>
      <w:r>
        <w:rPr>
          <w:rFonts w:eastAsia="宋体"/>
          <w:bCs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RAN4 to consider the same target accuracy when defining LP-SS based and PSS/SSS based RRM delay requirements for LP-WUR</w:t>
      </w:r>
      <w:r>
        <w:rPr>
          <w:rFonts w:eastAsia="宋体"/>
          <w:bCs/>
        </w:rPr>
        <w:t xml:space="preserve"> (xiaomi)</w:t>
      </w:r>
    </w:p>
    <w:p w14:paraId="106B6C9C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P4: </w:t>
      </w:r>
      <w:r>
        <w:rPr>
          <w:rFonts w:eastAsiaTheme="minorEastAsia"/>
          <w:lang w:eastAsia="zh-CN"/>
        </w:rPr>
        <w:t>RAN4 not to define baseline for accuracy requirements for LR measurement.</w:t>
      </w:r>
      <w:r>
        <w:rPr>
          <w:rFonts w:eastAsiaTheme="minorEastAsia" w:hint="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lang w:val="en-US" w:eastAsia="zh-CN"/>
        </w:rPr>
        <w:t>(Huawei</w:t>
      </w:r>
      <w:r>
        <w:rPr>
          <w:rFonts w:eastAsiaTheme="minorEastAsia" w:hint="eastAsia"/>
          <w:color w:val="000000" w:themeColor="text1"/>
          <w:lang w:val="en-US" w:eastAsia="zh-CN"/>
        </w:rPr>
        <w:t>)</w:t>
      </w:r>
    </w:p>
    <w:p w14:paraId="04326116" w14:textId="77777777" w:rsidR="003E7439" w:rsidRDefault="003E7439" w:rsidP="003E743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6CF0D064" w14:textId="73CD663D" w:rsidR="00B873EC" w:rsidRDefault="00B873EC" w:rsidP="00B873EC">
      <w:pPr>
        <w:rPr>
          <w:b/>
          <w:color w:val="000000" w:themeColor="text1"/>
          <w:u w:val="single"/>
          <w:lang w:eastAsia="ko-KR"/>
        </w:rPr>
      </w:pPr>
    </w:p>
    <w:p w14:paraId="6513F6E9" w14:textId="77777777" w:rsidR="0051538E" w:rsidRDefault="0051538E" w:rsidP="0051538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2-2-2: Simulation parameters (include all other parameters not discussed in above issues)</w:t>
      </w:r>
    </w:p>
    <w:p w14:paraId="49F43A63" w14:textId="518DCE2D" w:rsidR="0051538E" w:rsidRDefault="0051538E" w:rsidP="0051538E">
      <w:pPr>
        <w:rPr>
          <w:rFonts w:eastAsiaTheme="minorEastAsia"/>
          <w:b/>
          <w:i/>
          <w:color w:val="000000" w:themeColor="text1"/>
          <w:lang w:val="en-US" w:eastAsia="zh-CN"/>
        </w:rPr>
      </w:pPr>
    </w:p>
    <w:p w14:paraId="7E559C25" w14:textId="58CE5791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3D7546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7F022C84" w14:textId="77777777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5622"/>
      </w:tblGrid>
      <w:tr w:rsidR="00A847F5" w:rsidRPr="003D7546" w14:paraId="0BDFFF9F" w14:textId="77777777" w:rsidTr="006768E9">
        <w:tc>
          <w:tcPr>
            <w:tcW w:w="2694" w:type="dxa"/>
            <w:shd w:val="clear" w:color="auto" w:fill="auto"/>
          </w:tcPr>
          <w:p w14:paraId="4038C983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LP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5D978705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132 subcarriers for 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SCS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=30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kHz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 for LP-SS initially</w:t>
            </w:r>
          </w:p>
          <w:p w14:paraId="1923C241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</w:tr>
    </w:tbl>
    <w:p w14:paraId="7A664382" w14:textId="77777777" w:rsidR="00A847F5" w:rsidRPr="00A847F5" w:rsidRDefault="00A847F5" w:rsidP="0051538E">
      <w:pPr>
        <w:rPr>
          <w:rFonts w:eastAsiaTheme="minorEastAsia"/>
          <w:b/>
          <w:i/>
          <w:color w:val="000000" w:themeColor="text1"/>
          <w:lang w:eastAsia="zh-CN"/>
        </w:rPr>
      </w:pPr>
    </w:p>
    <w:p w14:paraId="63030D75" w14:textId="7EB00C01" w:rsidR="00525F32" w:rsidRDefault="00525F32" w:rsidP="0051538E">
      <w:pPr>
        <w:pStyle w:val="a7"/>
        <w:ind w:right="72"/>
        <w:jc w:val="center"/>
        <w:rPr>
          <w:sz w:val="22"/>
          <w:szCs w:val="22"/>
          <w:lang w:val="en-US"/>
        </w:rPr>
      </w:pPr>
    </w:p>
    <w:p w14:paraId="3970B777" w14:textId="5974703F" w:rsidR="0051538E" w:rsidRDefault="0051538E" w:rsidP="0051538E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51538E" w14:paraId="2A70B8A5" w14:textId="77777777" w:rsidTr="00676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3B1F5B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2EB8B4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51538E" w14:paraId="620496E0" w14:textId="77777777" w:rsidTr="006768E9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14:paraId="416850F5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C62D61">
              <w:rPr>
                <w:color w:val="FF0000"/>
                <w:lang w:eastAsia="ja-JP"/>
              </w:rPr>
              <w:t>Carrier frequency for Cell 1 and Cell 2</w:t>
            </w:r>
          </w:p>
        </w:tc>
        <w:tc>
          <w:tcPr>
            <w:tcW w:w="5936" w:type="dxa"/>
            <w:tcBorders>
              <w:top w:val="double" w:sz="4" w:space="0" w:color="auto"/>
            </w:tcBorders>
            <w:shd w:val="clear" w:color="auto" w:fill="auto"/>
          </w:tcPr>
          <w:p w14:paraId="59F697A0" w14:textId="2FBC1C2F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O</w:t>
            </w:r>
            <w:r w:rsidR="00D16BDF">
              <w:rPr>
                <w:lang w:eastAsia="ja-JP"/>
              </w:rPr>
              <w:t xml:space="preserve">ption </w:t>
            </w:r>
            <w:r w:rsidRPr="007512C1">
              <w:rPr>
                <w:lang w:eastAsia="ja-JP"/>
              </w:rPr>
              <w:t>1: FR1: 2.6 GHz and 700MHz (vivo Ericsson Nokia)</w:t>
            </w:r>
          </w:p>
          <w:p w14:paraId="6423C00C" w14:textId="77777777" w:rsidR="0051538E" w:rsidRPr="007512C1" w:rsidRDefault="0051538E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O2: </w:t>
            </w:r>
            <w:r w:rsidRPr="007512C1">
              <w:rPr>
                <w:rFonts w:eastAsia="宋体" w:hint="eastAsia"/>
                <w:sz w:val="20"/>
                <w:szCs w:val="20"/>
                <w:lang w:val="en-GB" w:eastAsia="ja-JP"/>
              </w:rPr>
              <w:t>FR1: 2.6 GHz</w:t>
            </w: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 (CATT Apple MTK)</w:t>
            </w:r>
          </w:p>
          <w:p w14:paraId="4A8B6DEA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73B7DFAB" w14:textId="77777777" w:rsidTr="006768E9">
        <w:tc>
          <w:tcPr>
            <w:tcW w:w="2694" w:type="dxa"/>
            <w:shd w:val="clear" w:color="auto" w:fill="auto"/>
          </w:tcPr>
          <w:p w14:paraId="651D0CA7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C62D61">
              <w:rPr>
                <w:color w:val="FF0000"/>
                <w:lang w:eastAsia="ja-JP"/>
              </w:rPr>
              <w:t>System bandwidth</w:t>
            </w:r>
          </w:p>
        </w:tc>
        <w:tc>
          <w:tcPr>
            <w:tcW w:w="5936" w:type="dxa"/>
            <w:shd w:val="clear" w:color="auto" w:fill="auto"/>
          </w:tcPr>
          <w:p w14:paraId="267B577C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O1: 20 and 100 MHz; (vivo CATT)</w:t>
            </w:r>
          </w:p>
          <w:p w14:paraId="64D7EA57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O2: 20MHz (Apple Ericsson MTK)</w:t>
            </w:r>
          </w:p>
          <w:p w14:paraId="4A45F195" w14:textId="77777777" w:rsidR="0051538E" w:rsidRPr="007512C1" w:rsidRDefault="0051538E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O3: </w:t>
            </w:r>
            <w:r w:rsidRPr="007512C1">
              <w:rPr>
                <w:rFonts w:eastAsia="宋体" w:hint="eastAsia"/>
                <w:sz w:val="20"/>
                <w:szCs w:val="20"/>
                <w:lang w:val="en-GB" w:eastAsia="ja-JP"/>
              </w:rPr>
              <w:t>20MHz for 700MHz carrier frequency</w:t>
            </w: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>/</w:t>
            </w:r>
            <w:r w:rsidRPr="007512C1">
              <w:rPr>
                <w:rFonts w:eastAsia="宋体" w:hint="eastAsia"/>
                <w:sz w:val="20"/>
                <w:szCs w:val="20"/>
                <w:lang w:val="en-GB" w:eastAsia="ja-JP"/>
              </w:rPr>
              <w:t>100 MHz for 2.6GHz carrier frequency</w:t>
            </w: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 (Huawei)</w:t>
            </w:r>
          </w:p>
          <w:p w14:paraId="7851C322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76992CC2" w14:textId="77777777" w:rsidTr="006768E9">
        <w:tc>
          <w:tcPr>
            <w:tcW w:w="2694" w:type="dxa"/>
            <w:shd w:val="clear" w:color="auto" w:fill="auto"/>
          </w:tcPr>
          <w:p w14:paraId="700C87BF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2BC0A87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936" w:type="dxa"/>
            <w:shd w:val="clear" w:color="auto" w:fill="auto"/>
          </w:tcPr>
          <w:p w14:paraId="190CB83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1804435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42D29FA6" w14:textId="77777777" w:rsidTr="006768E9">
        <w:tc>
          <w:tcPr>
            <w:tcW w:w="2694" w:type="dxa"/>
            <w:shd w:val="clear" w:color="auto" w:fill="auto"/>
          </w:tcPr>
          <w:p w14:paraId="6D5716D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936" w:type="dxa"/>
            <w:shd w:val="clear" w:color="auto" w:fill="auto"/>
          </w:tcPr>
          <w:p w14:paraId="41144CC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51538E" w14:paraId="04D72119" w14:textId="77777777" w:rsidTr="006768E9">
        <w:tc>
          <w:tcPr>
            <w:tcW w:w="2694" w:type="dxa"/>
            <w:shd w:val="clear" w:color="auto" w:fill="auto"/>
          </w:tcPr>
          <w:p w14:paraId="25437AF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936" w:type="dxa"/>
            <w:shd w:val="clear" w:color="auto" w:fill="auto"/>
          </w:tcPr>
          <w:p w14:paraId="28D169D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51538E" w14:paraId="2D4E67F9" w14:textId="77777777" w:rsidTr="006768E9">
        <w:tc>
          <w:tcPr>
            <w:tcW w:w="2694" w:type="dxa"/>
            <w:shd w:val="clear" w:color="auto" w:fill="auto"/>
          </w:tcPr>
          <w:p w14:paraId="4C1D7F7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936" w:type="dxa"/>
            <w:shd w:val="clear" w:color="auto" w:fill="auto"/>
          </w:tcPr>
          <w:p w14:paraId="22AEF735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51538E" w14:paraId="096AA88F" w14:textId="77777777" w:rsidTr="006768E9">
        <w:tc>
          <w:tcPr>
            <w:tcW w:w="2694" w:type="dxa"/>
            <w:shd w:val="clear" w:color="auto" w:fill="auto"/>
            <w:vAlign w:val="center"/>
          </w:tcPr>
          <w:p w14:paraId="33F78C6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8D2DEC">
              <w:rPr>
                <w:color w:val="FF0000"/>
                <w:lang w:eastAsia="ja-JP"/>
              </w:rPr>
              <w:t>Data and control channel subcarrier spacing</w:t>
            </w:r>
          </w:p>
        </w:tc>
        <w:tc>
          <w:tcPr>
            <w:tcW w:w="5936" w:type="dxa"/>
            <w:shd w:val="clear" w:color="auto" w:fill="auto"/>
          </w:tcPr>
          <w:p w14:paraId="3AD145AC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Data, SSB and LP-SS have the same SCS [for cell 1 and cell 2]</w:t>
            </w:r>
          </w:p>
        </w:tc>
      </w:tr>
      <w:tr w:rsidR="0051538E" w14:paraId="52250A49" w14:textId="77777777" w:rsidTr="006768E9">
        <w:tc>
          <w:tcPr>
            <w:tcW w:w="2694" w:type="dxa"/>
            <w:shd w:val="clear" w:color="auto" w:fill="auto"/>
          </w:tcPr>
          <w:p w14:paraId="5BD13DF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C62D61">
              <w:rPr>
                <w:color w:val="FF0000"/>
                <w:lang w:eastAsia="ja-JP"/>
              </w:rPr>
              <w:t>Subcarrier spacing</w:t>
            </w:r>
          </w:p>
        </w:tc>
        <w:tc>
          <w:tcPr>
            <w:tcW w:w="5936" w:type="dxa"/>
            <w:shd w:val="clear" w:color="auto" w:fill="auto"/>
          </w:tcPr>
          <w:p w14:paraId="0542A8D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30KHz   </w:t>
            </w:r>
          </w:p>
          <w:p w14:paraId="6953E27F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[15 KHz for 700 MHz] (Huawei)</w:t>
            </w:r>
          </w:p>
        </w:tc>
      </w:tr>
      <w:tr w:rsidR="0051538E" w14:paraId="70284B46" w14:textId="77777777" w:rsidTr="006768E9">
        <w:tc>
          <w:tcPr>
            <w:tcW w:w="2694" w:type="dxa"/>
            <w:shd w:val="clear" w:color="auto" w:fill="auto"/>
            <w:vAlign w:val="center"/>
          </w:tcPr>
          <w:p w14:paraId="72087EC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C62D61">
              <w:rPr>
                <w:color w:val="FF0000"/>
                <w:lang w:eastAsia="ja-JP"/>
              </w:rPr>
              <w:t>Measurement period (in number of measurement samples)</w:t>
            </w:r>
          </w:p>
        </w:tc>
        <w:tc>
          <w:tcPr>
            <w:tcW w:w="5936" w:type="dxa"/>
            <w:shd w:val="clear" w:color="auto" w:fill="auto"/>
          </w:tcPr>
          <w:p w14:paraId="4AF4F74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 for OOK based LP-WUR: [4, 5, other number could be studied upon a need]</w:t>
            </w:r>
          </w:p>
          <w:p w14:paraId="32BF4E36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SSB for OFDM based LP-WUR: [4, 5] (other number could be studied upon a need)</w:t>
            </w:r>
          </w:p>
        </w:tc>
      </w:tr>
      <w:tr w:rsidR="0051538E" w14:paraId="7D51ACC0" w14:textId="77777777" w:rsidTr="006768E9">
        <w:tc>
          <w:tcPr>
            <w:tcW w:w="2694" w:type="dxa"/>
            <w:shd w:val="clear" w:color="auto" w:fill="auto"/>
          </w:tcPr>
          <w:p w14:paraId="54DCBE9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C62D61">
              <w:rPr>
                <w:rFonts w:hint="eastAsia"/>
                <w:color w:val="FF0000"/>
                <w:lang w:eastAsia="ja-JP"/>
              </w:rPr>
              <w:t>LP</w:t>
            </w:r>
            <w:r w:rsidRPr="00C62D61">
              <w:rPr>
                <w:color w:val="FF0000"/>
                <w:lang w:eastAsia="ja-JP"/>
              </w:rPr>
              <w:t>-SS/SSB burst periodicity</w:t>
            </w:r>
          </w:p>
        </w:tc>
        <w:tc>
          <w:tcPr>
            <w:tcW w:w="5936" w:type="dxa"/>
            <w:shd w:val="clear" w:color="auto" w:fill="auto"/>
          </w:tcPr>
          <w:p w14:paraId="3388213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LP-SS: 320 ms</w:t>
            </w:r>
          </w:p>
          <w:p w14:paraId="086FE31A" w14:textId="23B2A4C9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SSB: 320 ms </w:t>
            </w:r>
          </w:p>
          <w:p w14:paraId="476809E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261E1D70" w14:textId="77777777" w:rsidTr="006768E9">
        <w:tc>
          <w:tcPr>
            <w:tcW w:w="2694" w:type="dxa"/>
            <w:shd w:val="clear" w:color="auto" w:fill="auto"/>
          </w:tcPr>
          <w:p w14:paraId="415D31EB" w14:textId="77777777" w:rsidR="0051538E" w:rsidRPr="00E538E8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C62D61">
              <w:rPr>
                <w:rFonts w:hint="eastAsia"/>
                <w:color w:val="FF0000"/>
                <w:lang w:eastAsia="ja-JP"/>
              </w:rPr>
              <w:t>LP</w:t>
            </w:r>
            <w:r w:rsidRPr="00C62D61">
              <w:rPr>
                <w:color w:val="FF0000"/>
                <w:lang w:eastAsia="ja-JP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2F50DB11" w14:textId="4D91C5CA" w:rsidR="0051538E" w:rsidRPr="00E538E8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E538E8">
              <w:rPr>
                <w:lang w:eastAsia="ja-JP"/>
              </w:rPr>
              <w:t xml:space="preserve">132 subcarriers for </w:t>
            </w:r>
            <w:r w:rsidRPr="00E538E8">
              <w:rPr>
                <w:rFonts w:hint="eastAsia"/>
                <w:lang w:eastAsia="ja-JP"/>
              </w:rPr>
              <w:t>SCS</w:t>
            </w:r>
            <w:r w:rsidRPr="00E538E8">
              <w:rPr>
                <w:lang w:eastAsia="ja-JP"/>
              </w:rPr>
              <w:t>=30</w:t>
            </w:r>
            <w:r w:rsidRPr="00E538E8">
              <w:rPr>
                <w:rFonts w:hint="eastAsia"/>
                <w:lang w:eastAsia="ja-JP"/>
              </w:rPr>
              <w:t>kHz</w:t>
            </w:r>
            <w:r w:rsidRPr="00E538E8">
              <w:rPr>
                <w:lang w:eastAsia="ja-JP"/>
              </w:rPr>
              <w:t xml:space="preserve"> for LP-SS </w:t>
            </w:r>
            <w:r w:rsidR="00FD11CC" w:rsidRPr="00E538E8">
              <w:rPr>
                <w:lang w:eastAsia="ja-JP"/>
              </w:rPr>
              <w:t>initially</w:t>
            </w:r>
          </w:p>
          <w:p w14:paraId="14589A24" w14:textId="6C5DB683" w:rsidR="0051538E" w:rsidRPr="00E538E8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51538E" w14:paraId="4430EF7C" w14:textId="77777777" w:rsidTr="006768E9">
        <w:tc>
          <w:tcPr>
            <w:tcW w:w="2694" w:type="dxa"/>
            <w:shd w:val="clear" w:color="auto" w:fill="auto"/>
          </w:tcPr>
          <w:p w14:paraId="6C5C1AA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C62D61">
              <w:rPr>
                <w:color w:val="FF0000"/>
                <w:lang w:eastAsia="ja-JP"/>
              </w:rPr>
              <w:t xml:space="preserve">SSS block </w:t>
            </w:r>
          </w:p>
        </w:tc>
        <w:tc>
          <w:tcPr>
            <w:tcW w:w="5936" w:type="dxa"/>
            <w:shd w:val="clear" w:color="auto" w:fill="auto"/>
          </w:tcPr>
          <w:p w14:paraId="2477E8D1" w14:textId="77777777" w:rsidR="0051538E" w:rsidRPr="00000BB6" w:rsidRDefault="0051538E" w:rsidP="006768E9">
            <w:pPr>
              <w:pStyle w:val="cjk"/>
              <w:spacing w:after="0"/>
              <w:ind w:left="363"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000BB6">
              <w:rPr>
                <w:rFonts w:eastAsia="宋体" w:hint="eastAsia"/>
                <w:sz w:val="20"/>
                <w:szCs w:val="20"/>
                <w:lang w:val="en-GB" w:eastAsia="ja-JP"/>
              </w:rPr>
              <w:t>20PRBs for 15kHz and 30kHz</w:t>
            </w:r>
            <w:r w:rsidRPr="00000BB6">
              <w:rPr>
                <w:rFonts w:eastAsia="宋体"/>
                <w:sz w:val="20"/>
                <w:szCs w:val="20"/>
                <w:lang w:val="en-GB" w:eastAsia="ja-JP"/>
              </w:rPr>
              <w:t xml:space="preserve"> for SSS (CATT)</w:t>
            </w:r>
          </w:p>
          <w:p w14:paraId="272B538C" w14:textId="77777777" w:rsidR="0051538E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51538E" w14:paraId="2EB7ED0C" w14:textId="77777777" w:rsidTr="006768E9">
        <w:tc>
          <w:tcPr>
            <w:tcW w:w="2694" w:type="dxa"/>
            <w:shd w:val="clear" w:color="auto" w:fill="auto"/>
          </w:tcPr>
          <w:p w14:paraId="246048C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936" w:type="dxa"/>
            <w:shd w:val="clear" w:color="auto" w:fill="auto"/>
          </w:tcPr>
          <w:p w14:paraId="1CD4E73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51538E" w14:paraId="2AE5B38D" w14:textId="77777777" w:rsidTr="006768E9">
        <w:tc>
          <w:tcPr>
            <w:tcW w:w="2694" w:type="dxa"/>
            <w:shd w:val="clear" w:color="auto" w:fill="auto"/>
          </w:tcPr>
          <w:p w14:paraId="610DAFB0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936" w:type="dxa"/>
            <w:shd w:val="clear" w:color="auto" w:fill="auto"/>
          </w:tcPr>
          <w:p w14:paraId="6519D3F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4925F5A0" w14:textId="77777777" w:rsidR="0051538E" w:rsidRDefault="0051538E" w:rsidP="0051538E"/>
    <w:p w14:paraId="504CC6F4" w14:textId="77777777" w:rsidR="0051538E" w:rsidRDefault="0051538E" w:rsidP="0051538E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51538E" w14:paraId="3511A22B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5196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BC441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4C682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03B5A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51538E" w14:paraId="1D2AE136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77D" w14:textId="77777777" w:rsidR="0051538E" w:rsidRDefault="0051538E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E0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F9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7D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51538E" w14:paraId="007E9E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2FF" w14:textId="77777777" w:rsidR="0051538E" w:rsidRPr="00BE1109" w:rsidRDefault="0051538E" w:rsidP="006768E9">
            <w:pPr>
              <w:spacing w:after="0"/>
              <w:ind w:right="72"/>
              <w:rPr>
                <w:color w:val="FF0000"/>
                <w:lang w:val="it-IT"/>
              </w:rPr>
            </w:pPr>
            <w:r w:rsidRPr="00BE1109">
              <w:rPr>
                <w:color w:val="FF0000"/>
                <w:lang w:val="it-IT"/>
              </w:rPr>
              <w:t>NR-PSS, NR-SSS (OFDM based LP-WUR)</w:t>
            </w:r>
          </w:p>
          <w:p w14:paraId="798FC3F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B5D9E7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CD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7C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  <w:p w14:paraId="737966C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36909C9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in R4-1708698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(Apple)</w:t>
            </w:r>
          </w:p>
          <w:p w14:paraId="3FA91E1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96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  <w:p w14:paraId="12E628F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in R4-1708698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(Apple)</w:t>
            </w:r>
          </w:p>
          <w:p w14:paraId="22BE7AE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</w:tr>
      <w:tr w:rsidR="0051538E" w14:paraId="38938E7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5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BE1109">
              <w:rPr>
                <w:color w:val="FF0000"/>
                <w:lang w:val="it-IT"/>
              </w:rPr>
              <w:lastRenderedPageBreak/>
              <w:t>LP-SS (OOK based LP-WUR receiver)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13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88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OOK-1; or</w:t>
            </w:r>
          </w:p>
          <w:p w14:paraId="1104EDB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OOK-4 with M = 2,4,</w:t>
            </w:r>
            <w:r w:rsidRPr="00083C0E">
              <w:rPr>
                <w:rFonts w:hint="eastAsia"/>
                <w:lang w:val="it-IT"/>
              </w:rPr>
              <w:t>[</w:t>
            </w:r>
            <w:r w:rsidRPr="00083C0E">
              <w:rPr>
                <w:lang w:val="it-IT"/>
              </w:rPr>
              <w:t>8]</w:t>
            </w:r>
          </w:p>
          <w:p w14:paraId="051F6D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8 is up to company’s preference</w:t>
            </w:r>
          </w:p>
          <w:p w14:paraId="21BF5F8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5C0F4DE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To be indicated by companies, including number of OFDM symbols, M value for OOK-4, binary sequence and overlaid sequence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(Huawei)</w:t>
            </w:r>
          </w:p>
          <w:p w14:paraId="167ECA4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1922F9A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EA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EA0452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when Cell 1 uses OOK-1; OOK-1 or NR signal is used for Cell 2</w:t>
            </w:r>
          </w:p>
          <w:p w14:paraId="7588E01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F0AFD0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when Cell 1 uses OOK-4,</w:t>
            </w:r>
          </w:p>
          <w:p w14:paraId="0398A6A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OOK-4 with same </w:t>
            </w:r>
            <w:r w:rsidRPr="00083C0E">
              <w:rPr>
                <w:rFonts w:hint="eastAsia"/>
                <w:lang w:val="it-IT"/>
              </w:rPr>
              <w:t>M</w:t>
            </w:r>
            <w:r w:rsidRPr="00083C0E">
              <w:rPr>
                <w:lang w:val="it-IT"/>
              </w:rPr>
              <w:t xml:space="preserve"> </w:t>
            </w:r>
            <w:r w:rsidRPr="00083C0E">
              <w:rPr>
                <w:rFonts w:hint="eastAsia"/>
                <w:lang w:val="it-IT"/>
              </w:rPr>
              <w:t>v</w:t>
            </w:r>
            <w:r w:rsidRPr="00083C0E">
              <w:rPr>
                <w:lang w:val="it-IT"/>
              </w:rPr>
              <w:t>alue as cell 1 or NR signal is used for Cell 2</w:t>
            </w:r>
          </w:p>
          <w:p w14:paraId="123EB46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0A9BBBCC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Cell 1 but with different sequences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(Huawei)</w:t>
            </w:r>
          </w:p>
          <w:p w14:paraId="1380359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</w:tr>
      <w:tr w:rsidR="0051538E" w14:paraId="39456DB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53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BE1109">
              <w:rPr>
                <w:color w:val="FF0000"/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52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6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[M sequence] </w:t>
            </w:r>
          </w:p>
          <w:p w14:paraId="12D031A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[Golden sequence] </w:t>
            </w:r>
          </w:p>
          <w:p w14:paraId="580DCCE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[</w:t>
            </w:r>
            <w:r w:rsidRPr="00083C0E">
              <w:rPr>
                <w:rFonts w:hint="eastAsia"/>
                <w:lang w:val="it-IT"/>
              </w:rPr>
              <w:t>Computer</w:t>
            </w:r>
            <w:r w:rsidRPr="00083C0E">
              <w:rPr>
                <w:lang w:val="it-IT"/>
              </w:rPr>
              <w:t xml:space="preserve"> search sequence]</w:t>
            </w:r>
          </w:p>
          <w:p w14:paraId="247A8FB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Company can simulate one or all of them</w:t>
            </w:r>
          </w:p>
          <w:p w14:paraId="0CE8122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4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[M sequence] </w:t>
            </w:r>
          </w:p>
          <w:p w14:paraId="7ECEC3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[Golden sequence] </w:t>
            </w:r>
          </w:p>
          <w:p w14:paraId="5D2C902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[</w:t>
            </w:r>
            <w:r w:rsidRPr="00083C0E">
              <w:rPr>
                <w:rFonts w:hint="eastAsia"/>
                <w:lang w:val="it-IT"/>
              </w:rPr>
              <w:t>Computer</w:t>
            </w:r>
            <w:r w:rsidRPr="00083C0E">
              <w:rPr>
                <w:lang w:val="it-IT"/>
              </w:rPr>
              <w:t xml:space="preserve"> search sequence]</w:t>
            </w:r>
          </w:p>
          <w:p w14:paraId="11A31AB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Company can simulate one or all of them</w:t>
            </w:r>
          </w:p>
        </w:tc>
      </w:tr>
      <w:tr w:rsidR="0051538E" w14:paraId="22298D6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A5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88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0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7F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5C11765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E3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0F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48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F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1763E47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27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DF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A4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51538E" w14:paraId="17693663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443D5BA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D4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0A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38FADF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43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2037CAB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51538E" w14:paraId="53F78788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E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F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5A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B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51538E" w14:paraId="31515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D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005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0A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A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51538E" w14:paraId="5F425DC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EBF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18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8F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602B3924" w14:textId="77777777" w:rsidR="00BE1109" w:rsidRPr="00456942" w:rsidRDefault="00BE1109" w:rsidP="00BE1109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OFDM based receiver [5] ppm</w:t>
            </w:r>
          </w:p>
          <w:p w14:paraId="3EE13140" w14:textId="1CA0FB27" w:rsidR="00BE1109" w:rsidRPr="00BE1109" w:rsidRDefault="00BE1109" w:rsidP="00BE1109">
            <w:pPr>
              <w:snapToGrid w:val="0"/>
              <w:spacing w:after="120"/>
              <w:rPr>
                <w:color w:val="000000" w:themeColor="text1"/>
                <w:lang w:val="en-US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OOK based receiver [ 10 20] ppm </w:t>
            </w:r>
          </w:p>
          <w:p w14:paraId="2FEC2B6E" w14:textId="77777777" w:rsidR="0051538E" w:rsidRPr="007512C1" w:rsidRDefault="0051538E" w:rsidP="00BE1109">
            <w:pPr>
              <w:pStyle w:val="cjk"/>
              <w:spacing w:after="0"/>
              <w:ind w:right="74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BB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N/A</w:t>
            </w:r>
          </w:p>
        </w:tc>
      </w:tr>
      <w:tr w:rsidR="0051538E" w14:paraId="6133382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E10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313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969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1087831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39BDAD9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CB8C987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181813D1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F3F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51538E" w14:paraId="26F1542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C98" w14:textId="77777777" w:rsidR="0051538E" w:rsidRDefault="0051538E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951" w14:textId="77777777" w:rsidR="0051538E" w:rsidRDefault="0051538E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7CF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2CE" w14:textId="77777777" w:rsidR="0051538E" w:rsidRDefault="0051538E" w:rsidP="006768E9">
            <w:pPr>
              <w:spacing w:after="0"/>
              <w:ind w:right="72"/>
            </w:pPr>
            <w:r>
              <w:t>CP/2</w:t>
            </w:r>
          </w:p>
        </w:tc>
      </w:tr>
      <w:tr w:rsidR="0051538E" w14:paraId="6A0FC54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5F0" w14:textId="77777777" w:rsidR="0051538E" w:rsidRDefault="0051538E" w:rsidP="006768E9">
            <w:pPr>
              <w:spacing w:after="0"/>
              <w:ind w:right="72"/>
            </w:pPr>
            <w:r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585" w14:textId="77777777" w:rsidR="0051538E" w:rsidRDefault="0051538E" w:rsidP="006768E9">
            <w:pPr>
              <w:spacing w:after="0"/>
              <w:ind w:right="72"/>
            </w:pPr>
            <w:r>
              <w:t>ms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509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C50" w14:textId="77777777" w:rsidR="0051538E" w:rsidRDefault="0051538E" w:rsidP="006768E9">
            <w:pPr>
              <w:spacing w:after="0"/>
              <w:ind w:right="72"/>
            </w:pPr>
            <w:r>
              <w:t>3 ms</w:t>
            </w:r>
          </w:p>
        </w:tc>
      </w:tr>
      <w:tr w:rsidR="00111444" w14:paraId="439ADB4A" w14:textId="77777777" w:rsidTr="006077DE">
        <w:trPr>
          <w:cantSplit/>
          <w:trHeight w:val="834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0AE60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  <w:r w:rsidRPr="006E1EE4">
              <w:rPr>
                <w:color w:val="FF0000"/>
              </w:rPr>
              <w:lastRenderedPageBreak/>
              <w:t xml:space="preserve">SNR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9ACC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887C" w14:textId="77777777" w:rsidR="00111444" w:rsidRDefault="00111444" w:rsidP="00F500C5">
            <w:pPr>
              <w:spacing w:after="0"/>
              <w:ind w:right="72"/>
            </w:pPr>
          </w:p>
          <w:p w14:paraId="6303C4E0" w14:textId="2EA1C2E5" w:rsidR="00111444" w:rsidRPr="00DB67E8" w:rsidRDefault="00111444" w:rsidP="00F500C5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  <w:r>
              <w:t xml:space="preserve">When </w:t>
            </w:r>
            <w:r>
              <w:t>Ês/Iot</w:t>
            </w:r>
            <w:r>
              <w:t xml:space="preserve"> = -3 dB</w:t>
            </w:r>
          </w:p>
          <w:p w14:paraId="52D27C5C" w14:textId="77777777" w:rsidR="00111444" w:rsidRDefault="00111444" w:rsidP="000736F2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</w:rPr>
            </w:pPr>
            <w:r w:rsidRPr="00F500C5">
              <w:rPr>
                <w:rFonts w:eastAsia="微软雅黑"/>
                <w:iCs/>
                <w:color w:val="000000" w:themeColor="text1"/>
              </w:rPr>
              <w:t xml:space="preserve">When SNR of cell 2 is 9 dB lower compared with cell 2; </w:t>
            </w:r>
            <w:r>
              <w:rPr>
                <w:rFonts w:eastAsia="微软雅黑"/>
                <w:iCs/>
                <w:color w:val="000000" w:themeColor="text1"/>
              </w:rPr>
              <w:t xml:space="preserve">  </w:t>
            </w:r>
          </w:p>
          <w:p w14:paraId="22A4C162" w14:textId="2B901DC3" w:rsidR="00111444" w:rsidRPr="0000640E" w:rsidRDefault="00111444" w:rsidP="0000640E">
            <w:pPr>
              <w:spacing w:after="0"/>
              <w:ind w:left="576"/>
              <w:rPr>
                <w:rFonts w:eastAsia="微软雅黑"/>
                <w:iCs/>
                <w:color w:val="000000" w:themeColor="text1"/>
              </w:rPr>
            </w:pPr>
            <w:r w:rsidRPr="0000640E">
              <w:rPr>
                <w:rFonts w:eastAsia="微软雅黑" w:hint="eastAsia"/>
                <w:iCs/>
                <w:color w:val="000000" w:themeColor="text1"/>
              </w:rPr>
              <w:t>SNR</w:t>
            </w:r>
            <w:r w:rsidRPr="0000640E">
              <w:rPr>
                <w:rFonts w:eastAsia="微软雅黑"/>
                <w:iCs/>
                <w:color w:val="000000" w:themeColor="text1"/>
              </w:rPr>
              <w:t xml:space="preserve"> = [-2.7]</w:t>
            </w:r>
          </w:p>
          <w:p w14:paraId="6E3A7F27" w14:textId="77777777" w:rsidR="00111444" w:rsidRDefault="00111444" w:rsidP="000736F2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</w:rPr>
            </w:pPr>
            <w:r w:rsidRPr="00F500C5">
              <w:rPr>
                <w:rFonts w:eastAsia="微软雅黑"/>
                <w:iCs/>
                <w:color w:val="000000" w:themeColor="text1"/>
              </w:rPr>
              <w:t xml:space="preserve">When SNR of cell 2 is </w:t>
            </w:r>
            <w:r w:rsidRPr="00F500C5">
              <w:rPr>
                <w:rFonts w:eastAsia="微软雅黑"/>
                <w:iCs/>
                <w:color w:val="000000" w:themeColor="text1"/>
              </w:rPr>
              <w:t>6</w:t>
            </w:r>
            <w:r w:rsidRPr="00F500C5">
              <w:rPr>
                <w:rFonts w:eastAsia="微软雅黑"/>
                <w:iCs/>
                <w:color w:val="000000" w:themeColor="text1"/>
              </w:rPr>
              <w:t xml:space="preserve"> dB lower compared with cell 2</w:t>
            </w:r>
            <w:r w:rsidRPr="00F500C5">
              <w:rPr>
                <w:rFonts w:eastAsia="微软雅黑"/>
                <w:iCs/>
                <w:color w:val="000000" w:themeColor="text1"/>
              </w:rPr>
              <w:t xml:space="preserve"> </w:t>
            </w:r>
          </w:p>
          <w:p w14:paraId="5D16C833" w14:textId="27046244" w:rsidR="00111444" w:rsidRPr="0000640E" w:rsidRDefault="00111444" w:rsidP="0000640E">
            <w:pPr>
              <w:spacing w:after="0"/>
              <w:ind w:left="576"/>
              <w:rPr>
                <w:rFonts w:eastAsia="微软雅黑"/>
                <w:iCs/>
                <w:color w:val="000000" w:themeColor="text1"/>
              </w:rPr>
            </w:pPr>
            <w:r w:rsidRPr="0000640E">
              <w:rPr>
                <w:rFonts w:eastAsia="微软雅黑" w:hint="eastAsia"/>
                <w:iCs/>
                <w:color w:val="000000" w:themeColor="text1"/>
              </w:rPr>
              <w:t>SNR</w:t>
            </w:r>
            <w:r w:rsidRPr="0000640E">
              <w:rPr>
                <w:rFonts w:eastAsia="微软雅黑"/>
                <w:iCs/>
                <w:color w:val="000000" w:themeColor="text1"/>
              </w:rPr>
              <w:t xml:space="preserve"> = [-2.4]</w:t>
            </w:r>
          </w:p>
          <w:p w14:paraId="4E0B2C23" w14:textId="77777777" w:rsidR="00111444" w:rsidRPr="00DB67E8" w:rsidRDefault="00111444" w:rsidP="006768E9">
            <w:pPr>
              <w:spacing w:after="0"/>
              <w:rPr>
                <w:rFonts w:eastAsia="微软雅黑"/>
                <w:iCs/>
                <w:color w:val="000000" w:themeColor="text1"/>
              </w:rPr>
            </w:pPr>
          </w:p>
          <w:p w14:paraId="1DA90BDD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0C2A288A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17CC8B0D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67FD7" w14:textId="68DEB8C8" w:rsidR="00111444" w:rsidRPr="00DB67E8" w:rsidRDefault="00111444" w:rsidP="00C945CC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  <w:r>
              <w:t>When Ês/Iot = -3 dB</w:t>
            </w:r>
          </w:p>
          <w:p w14:paraId="4920606C" w14:textId="77777777" w:rsidR="00111444" w:rsidRDefault="00111444" w:rsidP="00AE0EC1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</w:rPr>
            </w:pPr>
            <w:r w:rsidRPr="000736F2">
              <w:rPr>
                <w:rFonts w:eastAsia="微软雅黑"/>
                <w:iCs/>
                <w:color w:val="000000" w:themeColor="text1"/>
              </w:rPr>
              <w:t>When SNR of cell 2 is 9 dB lower compared with cell 2</w:t>
            </w:r>
            <w:r>
              <w:rPr>
                <w:rFonts w:eastAsia="微软雅黑"/>
                <w:iCs/>
                <w:color w:val="000000" w:themeColor="text1"/>
              </w:rPr>
              <w:t xml:space="preserve">; </w:t>
            </w:r>
          </w:p>
          <w:p w14:paraId="068481B3" w14:textId="3A041181" w:rsidR="00111444" w:rsidRPr="00DA383D" w:rsidRDefault="00111444" w:rsidP="00DA383D">
            <w:pPr>
              <w:spacing w:after="0"/>
              <w:ind w:left="442"/>
              <w:rPr>
                <w:rFonts w:eastAsia="微软雅黑"/>
                <w:iCs/>
                <w:color w:val="000000" w:themeColor="text1"/>
              </w:rPr>
            </w:pPr>
            <w:r w:rsidRPr="00DA383D">
              <w:rPr>
                <w:rFonts w:eastAsia="微软雅黑"/>
                <w:iCs/>
                <w:color w:val="000000" w:themeColor="text1"/>
              </w:rPr>
              <w:t xml:space="preserve">SNR = [-11.7] </w:t>
            </w:r>
          </w:p>
          <w:p w14:paraId="36908051" w14:textId="77777777" w:rsidR="00111444" w:rsidRDefault="00111444" w:rsidP="009A3067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</w:rPr>
            </w:pPr>
            <w:r w:rsidRPr="000736F2">
              <w:rPr>
                <w:rFonts w:eastAsia="微软雅黑"/>
                <w:iCs/>
                <w:color w:val="000000" w:themeColor="text1"/>
              </w:rPr>
              <w:t>When SNR of cell 2 is 6 dB lower compared with cell 2</w:t>
            </w:r>
            <w:r>
              <w:rPr>
                <w:rFonts w:eastAsia="微软雅黑"/>
                <w:iCs/>
                <w:color w:val="000000" w:themeColor="text1"/>
              </w:rPr>
              <w:t xml:space="preserve">; </w:t>
            </w:r>
          </w:p>
          <w:p w14:paraId="1F20AE3F" w14:textId="7A1FF1E9" w:rsidR="00111444" w:rsidRPr="00DA383D" w:rsidRDefault="00111444" w:rsidP="00DA383D">
            <w:pPr>
              <w:spacing w:after="0"/>
              <w:ind w:left="442"/>
              <w:rPr>
                <w:rFonts w:eastAsia="微软雅黑"/>
                <w:iCs/>
                <w:color w:val="000000" w:themeColor="text1"/>
              </w:rPr>
            </w:pPr>
            <w:r w:rsidRPr="00DA383D">
              <w:rPr>
                <w:rFonts w:eastAsia="微软雅黑"/>
                <w:iCs/>
                <w:color w:val="000000" w:themeColor="text1"/>
              </w:rPr>
              <w:t>SNR = [-8.4]</w:t>
            </w:r>
          </w:p>
          <w:p w14:paraId="50BF3219" w14:textId="77777777" w:rsidR="00111444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3F7C705" w14:textId="5BD896DE" w:rsidR="00111444" w:rsidRPr="00DB67E8" w:rsidRDefault="00111444" w:rsidP="00C96A69">
            <w:pPr>
              <w:snapToGrid w:val="0"/>
              <w:spacing w:after="120"/>
              <w:rPr>
                <w:color w:val="000000" w:themeColor="text1"/>
              </w:rPr>
            </w:pPr>
          </w:p>
        </w:tc>
      </w:tr>
      <w:tr w:rsidR="00111444" w14:paraId="051B6C79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276F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8299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B2E" w14:textId="54A5DEDC" w:rsidR="000812F0" w:rsidRDefault="000812F0" w:rsidP="000812F0">
            <w:pPr>
              <w:spacing w:after="0"/>
              <w:ind w:right="72"/>
            </w:pPr>
            <w:r>
              <w:t>When Ês/Iot = -</w:t>
            </w:r>
            <w:r>
              <w:t>0.5</w:t>
            </w:r>
            <w:r>
              <w:t xml:space="preserve"> dB</w:t>
            </w:r>
          </w:p>
          <w:p w14:paraId="7A638F96" w14:textId="77777777" w:rsidR="006B71B3" w:rsidRPr="00DB67E8" w:rsidRDefault="006B71B3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</w:p>
          <w:p w14:paraId="45E4070A" w14:textId="2AE33E01" w:rsidR="00111444" w:rsidRDefault="000812F0" w:rsidP="00F500C5">
            <w:pPr>
              <w:spacing w:after="0"/>
              <w:ind w:right="72"/>
            </w:pPr>
            <w:r>
              <w:t xml:space="preserve">Determine the SNR based on the method used for when </w:t>
            </w:r>
            <w:r>
              <w:t>Ês/Iot = -</w:t>
            </w:r>
            <w:r>
              <w:t>3</w:t>
            </w:r>
            <w:r>
              <w:t xml:space="preserve"> dB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C4C8" w14:textId="58885C63" w:rsidR="000812F0" w:rsidRDefault="000812F0" w:rsidP="000812F0">
            <w:pPr>
              <w:spacing w:after="0"/>
              <w:ind w:right="72"/>
            </w:pPr>
            <w:r>
              <w:t>When Ês/Iot = -</w:t>
            </w:r>
            <w:r>
              <w:t>0.5</w:t>
            </w:r>
            <w:r>
              <w:t xml:space="preserve"> dB</w:t>
            </w:r>
          </w:p>
          <w:p w14:paraId="024D1537" w14:textId="62338AE3" w:rsidR="006B71B3" w:rsidRDefault="006B71B3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</w:p>
          <w:p w14:paraId="6E64113D" w14:textId="0FF63BC9" w:rsidR="006B71B3" w:rsidRPr="00DB67E8" w:rsidRDefault="006B71B3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  <w:r>
              <w:t>Determine the SNR based on the method used for when Ês/Iot = -3 dB</w:t>
            </w:r>
          </w:p>
          <w:p w14:paraId="57EEF435" w14:textId="77777777" w:rsidR="00111444" w:rsidRDefault="00111444" w:rsidP="00C945CC">
            <w:pPr>
              <w:spacing w:after="0"/>
              <w:ind w:right="72"/>
            </w:pPr>
          </w:p>
        </w:tc>
      </w:tr>
      <w:tr w:rsidR="00111444" w14:paraId="71AC487F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1EC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48B" w14:textId="77777777" w:rsidR="00111444" w:rsidRPr="00DB67E8" w:rsidRDefault="00111444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B07" w14:textId="39A0AA10" w:rsidR="000812F0" w:rsidRDefault="000812F0" w:rsidP="000812F0">
            <w:pPr>
              <w:spacing w:after="0"/>
              <w:ind w:right="72"/>
            </w:pPr>
            <w:r>
              <w:t xml:space="preserve">When Ês/Iot = </w:t>
            </w:r>
            <w:r>
              <w:t>2</w:t>
            </w:r>
            <w:r>
              <w:t xml:space="preserve"> dB</w:t>
            </w:r>
          </w:p>
          <w:p w14:paraId="63A8EC4C" w14:textId="627DFA32" w:rsidR="006B71B3" w:rsidRDefault="006B71B3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</w:p>
          <w:p w14:paraId="15F44129" w14:textId="56747213" w:rsidR="006B71B3" w:rsidRPr="00DB67E8" w:rsidRDefault="006B71B3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  <w:r>
              <w:t>Determine the SNR based on the method used for when Ês/Iot = -3 dB</w:t>
            </w:r>
          </w:p>
          <w:p w14:paraId="1BDA2FF9" w14:textId="77777777" w:rsidR="00111444" w:rsidRDefault="00111444" w:rsidP="00F500C5">
            <w:pPr>
              <w:spacing w:after="0"/>
              <w:ind w:right="72"/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473" w14:textId="4C4914E0" w:rsidR="000812F0" w:rsidRDefault="000812F0" w:rsidP="000812F0">
            <w:pPr>
              <w:spacing w:after="0"/>
              <w:ind w:right="72"/>
            </w:pPr>
            <w:r>
              <w:t xml:space="preserve">When Ês/Iot = </w:t>
            </w:r>
            <w:r>
              <w:t>2</w:t>
            </w:r>
            <w:r>
              <w:t xml:space="preserve"> dB</w:t>
            </w:r>
          </w:p>
          <w:p w14:paraId="2AB2A447" w14:textId="2254F589" w:rsidR="006B71B3" w:rsidRDefault="006B71B3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</w:p>
          <w:p w14:paraId="305C5606" w14:textId="615CE212" w:rsidR="006B71B3" w:rsidRPr="00DB67E8" w:rsidRDefault="006B71B3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</w:rPr>
            </w:pPr>
            <w:r>
              <w:t>Determine the SNR based on the method used for when Ês/Iot = -3 dB</w:t>
            </w:r>
          </w:p>
          <w:p w14:paraId="1C6F3761" w14:textId="77777777" w:rsidR="00111444" w:rsidRDefault="00111444" w:rsidP="00C945CC">
            <w:pPr>
              <w:spacing w:after="0"/>
              <w:ind w:right="72"/>
            </w:pPr>
          </w:p>
        </w:tc>
      </w:tr>
      <w:tr w:rsidR="0051538E" w14:paraId="6BEE593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2DF" w14:textId="77777777" w:rsidR="0051538E" w:rsidRDefault="0051538E" w:rsidP="006768E9">
            <w:pPr>
              <w:spacing w:after="0"/>
              <w:ind w:right="72"/>
            </w:pPr>
            <w:r>
              <w:t>Ês/Iot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872" w14:textId="77777777" w:rsidR="0051538E" w:rsidRDefault="0051538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89" w14:textId="692400F6" w:rsidR="0051538E" w:rsidRDefault="0051538E" w:rsidP="006768E9">
            <w:pPr>
              <w:spacing w:after="0"/>
              <w:ind w:right="72"/>
            </w:pPr>
            <w:r>
              <w:t>-3</w:t>
            </w:r>
            <w:r w:rsidR="003B1287">
              <w:t>;</w:t>
            </w:r>
            <w:r w:rsidR="00762E2A">
              <w:t xml:space="preserve"> </w:t>
            </w:r>
            <w:r w:rsidR="005C2520">
              <w:rPr>
                <w:bCs/>
              </w:rPr>
              <w:t>-0.5dB</w:t>
            </w:r>
            <w:r w:rsidR="003B1287">
              <w:rPr>
                <w:bCs/>
              </w:rPr>
              <w:t>;</w:t>
            </w:r>
            <w:r w:rsidR="005C2520">
              <w:rPr>
                <w:bCs/>
              </w:rPr>
              <w:t xml:space="preserve">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ABC" w14:textId="77777777" w:rsidR="0051538E" w:rsidRDefault="0051538E" w:rsidP="006768E9">
            <w:pPr>
              <w:spacing w:after="0"/>
              <w:ind w:right="72"/>
            </w:pPr>
            <w:r>
              <w:t>N/A</w:t>
            </w:r>
          </w:p>
        </w:tc>
      </w:tr>
      <w:tr w:rsidR="0051538E" w14:paraId="0FECFD00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95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7C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D5B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5F68E347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55E415F9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2A2BE2FA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0AF4B6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51538E" w14:paraId="239BAA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43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C7B34">
              <w:rPr>
                <w:color w:val="FF0000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43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AB0" w14:textId="2783216C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7EAD23AD" w14:textId="77777777" w:rsidR="0051538E" w:rsidRPr="00DB67E8" w:rsidRDefault="0051538E" w:rsidP="00CB6514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 w:hint="eastAsia"/>
                <w:color w:val="000000" w:themeColor="text1"/>
                <w:sz w:val="22"/>
                <w:lang w:val="sv-SE"/>
              </w:rPr>
              <w:t>30km/h</w:t>
            </w: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 (MTK)</w:t>
            </w:r>
          </w:p>
          <w:p w14:paraId="533E99B6" w14:textId="77777777" w:rsidR="0051538E" w:rsidRPr="00DB67E8" w:rsidRDefault="0051538E" w:rsidP="006768E9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51538E" w14:paraId="606AC5C3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F0B" w14:textId="77777777" w:rsidR="0051538E" w:rsidRDefault="0051538E" w:rsidP="006768E9">
            <w:pPr>
              <w:spacing w:after="0"/>
              <w:ind w:right="72"/>
            </w:pPr>
          </w:p>
        </w:tc>
      </w:tr>
    </w:tbl>
    <w:p w14:paraId="7B31AF97" w14:textId="77777777" w:rsidR="0051538E" w:rsidRPr="0051538E" w:rsidRDefault="0051538E" w:rsidP="0051538E">
      <w:pPr>
        <w:pStyle w:val="TH"/>
        <w:spacing w:after="60"/>
        <w:ind w:right="72"/>
        <w:rPr>
          <w:lang w:val="en-US"/>
        </w:rPr>
      </w:pPr>
    </w:p>
    <w:p w14:paraId="3C2A2752" w14:textId="77777777" w:rsidR="0051538E" w:rsidRDefault="0051538E" w:rsidP="0051538E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51538E" w14:paraId="55A21F50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38334B2F" w14:textId="77777777" w:rsidR="0051538E" w:rsidRDefault="0051538E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22D80E1C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51538E" w14:paraId="62A7F65B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4798236B" w14:textId="77777777" w:rsidR="0051538E" w:rsidRDefault="0051538E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3293942B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51538E" w14:paraId="04EEC4FB" w14:textId="77777777" w:rsidTr="003F728A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0A2FEDD" w14:textId="77777777" w:rsidR="0051538E" w:rsidRDefault="0051538E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8183D26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29D82BC5" w14:textId="77777777" w:rsidR="0051538E" w:rsidRDefault="0051538E" w:rsidP="00B873EC">
      <w:pPr>
        <w:rPr>
          <w:b/>
          <w:color w:val="000000" w:themeColor="text1"/>
          <w:u w:val="single"/>
          <w:lang w:eastAsia="ko-KR"/>
        </w:rPr>
      </w:pPr>
    </w:p>
    <w:p w14:paraId="351A17F9" w14:textId="05207D51" w:rsidR="00B37845" w:rsidRDefault="00B37845" w:rsidP="00B873EC">
      <w:pPr>
        <w:rPr>
          <w:b/>
          <w:color w:val="000000" w:themeColor="text1"/>
          <w:u w:val="single"/>
          <w:lang w:eastAsia="ko-KR"/>
        </w:rPr>
      </w:pPr>
    </w:p>
    <w:p w14:paraId="49BA290B" w14:textId="77777777" w:rsidR="00467643" w:rsidRDefault="00467643" w:rsidP="00467643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1-1-8: On jointly consideration on issue 1-1-5, 1-1-6 and 1-1-7 </w:t>
      </w:r>
    </w:p>
    <w:p w14:paraId="05C56FEE" w14:textId="77777777" w:rsidR="00467643" w:rsidRDefault="00467643" w:rsidP="00467643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0263A447" w14:textId="77777777" w:rsidR="00467643" w:rsidRDefault="00467643" w:rsidP="00467643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P1:</w:t>
      </w:r>
      <w:r>
        <w:rPr>
          <w:rFonts w:eastAsia="宋体"/>
          <w:bCs/>
          <w:lang w:val="en-US" w:eastAsia="zh-CN"/>
        </w:rPr>
        <w:t xml:space="preserve"> </w:t>
      </w:r>
      <w:r>
        <w:rPr>
          <w:rFonts w:eastAsia="宋体" w:hint="eastAsia"/>
          <w:bCs/>
          <w:lang w:val="en-US" w:eastAsia="zh-CN"/>
        </w:rPr>
        <w:t xml:space="preserve">It is suggested to define the same </w:t>
      </w:r>
      <w:r>
        <w:rPr>
          <w:rFonts w:eastAsia="宋体" w:hint="eastAsia"/>
          <w:bCs/>
        </w:rPr>
        <w:t>entry/exit conditions for LP-WUR</w:t>
      </w:r>
      <w:r>
        <w:rPr>
          <w:rFonts w:eastAsia="宋体" w:hint="eastAsia"/>
          <w:bCs/>
          <w:lang w:val="en-US" w:eastAsia="zh-CN"/>
        </w:rPr>
        <w:t xml:space="preserve"> serving</w:t>
      </w:r>
      <w:r>
        <w:rPr>
          <w:rFonts w:eastAsia="宋体" w:hint="eastAsia"/>
          <w:bCs/>
        </w:rPr>
        <w:t xml:space="preserve"> </w:t>
      </w:r>
      <w:r>
        <w:rPr>
          <w:rFonts w:eastAsia="宋体" w:hint="eastAsia"/>
          <w:bCs/>
          <w:lang w:val="en-US" w:eastAsia="zh-CN"/>
        </w:rPr>
        <w:t xml:space="preserve">cell </w:t>
      </w:r>
      <w:r>
        <w:rPr>
          <w:rFonts w:eastAsia="宋体" w:hint="eastAsia"/>
          <w:bCs/>
        </w:rPr>
        <w:t xml:space="preserve">measurement </w:t>
      </w:r>
      <w:r>
        <w:rPr>
          <w:rFonts w:eastAsia="宋体" w:hint="eastAsia"/>
          <w:bCs/>
          <w:lang w:val="en-US" w:eastAsia="zh-CN"/>
        </w:rPr>
        <w:t xml:space="preserve">and </w:t>
      </w:r>
      <w:r>
        <w:rPr>
          <w:rFonts w:eastAsia="宋体" w:hint="eastAsia"/>
          <w:bCs/>
        </w:rPr>
        <w:t>LP-WUS monitoring</w:t>
      </w:r>
      <w:r>
        <w:rPr>
          <w:rFonts w:eastAsia="宋体"/>
          <w:color w:val="000000" w:themeColor="text1"/>
          <w:szCs w:val="24"/>
          <w:lang w:eastAsia="zh-CN"/>
        </w:rPr>
        <w:t xml:space="preserve"> (Xiaomi LG)</w:t>
      </w:r>
    </w:p>
    <w:p w14:paraId="43A1EEB7" w14:textId="77777777" w:rsidR="00467643" w:rsidRDefault="00467643" w:rsidP="00467643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Same criteria and same/different entry/exit conditions can be used for LP-WUS monitoring and case 1, or case 2 or 3 if case 2 or 3 are supported (vivo). </w:t>
      </w:r>
    </w:p>
    <w:p w14:paraId="364FC1CB" w14:textId="77777777" w:rsidR="00467643" w:rsidRDefault="00467643" w:rsidP="00467643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 xml:space="preserve">P3: </w:t>
      </w:r>
      <w:r>
        <w:rPr>
          <w:rFonts w:eastAsia="宋体" w:hint="eastAsia"/>
          <w:color w:val="000000" w:themeColor="text1"/>
          <w:szCs w:val="24"/>
          <w:lang w:eastAsia="zh-CN"/>
        </w:rPr>
        <w:t>In order to guarantee the power saving gain, the serving cell quality threshold in entry/exit condition for LP-WUS monitoring and the serving cell quality threshold entry/exit condition for LP-WUR measurement should be considered jointly.</w:t>
      </w:r>
      <w:r>
        <w:rPr>
          <w:rFonts w:eastAsia="宋体"/>
          <w:color w:val="000000" w:themeColor="text1"/>
          <w:szCs w:val="24"/>
          <w:lang w:eastAsia="zh-CN"/>
        </w:rPr>
        <w:t xml:space="preserve"> (CMCC)</w:t>
      </w:r>
    </w:p>
    <w:p w14:paraId="2CCA5506" w14:textId="77777777" w:rsidR="00467643" w:rsidRDefault="00467643" w:rsidP="00467643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bCs/>
          <w:lang w:val="en-US" w:eastAsia="ko-KR" w:bidi="ar"/>
        </w:rPr>
        <w:t>P4: RAN4 needs to consider overall entry/exit condition for LP-</w:t>
      </w:r>
      <w:r>
        <w:rPr>
          <w:rFonts w:hint="eastAsia"/>
          <w:bCs/>
          <w:lang w:val="en-US" w:eastAsia="ko-KR" w:bidi="ar"/>
        </w:rPr>
        <w:t>W</w:t>
      </w:r>
      <w:r>
        <w:rPr>
          <w:bCs/>
          <w:lang w:val="en-US" w:eastAsia="ko-KR" w:bidi="ar"/>
        </w:rPr>
        <w:t xml:space="preserve">UR measurement, MR measurement relaxation, and LP-WUS monitoring jointly based on RAN2 agreements of entry/exit condition for LP-WUS monitoring. And </w:t>
      </w:r>
      <w:r>
        <w:rPr>
          <w:lang w:eastAsia="ko-KR"/>
        </w:rPr>
        <w:t>if there are other conditions that should be considered, RAN4 needs to provide input to RAN2 (LG)</w:t>
      </w:r>
    </w:p>
    <w:p w14:paraId="692C9D92" w14:textId="77777777" w:rsidR="00467643" w:rsidRDefault="00467643" w:rsidP="00467643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P5: RAN4 shall be involved on criterion and scenario (entry/exit condition) design for LP-WUR measurement and MR RRM measurement relaxation together with  RAN1 and RAN2. (Samsung)</w:t>
      </w:r>
    </w:p>
    <w:p w14:paraId="6FA5D46F" w14:textId="77777777" w:rsidR="00467643" w:rsidRDefault="00467643" w:rsidP="00467643">
      <w:pPr>
        <w:pStyle w:val="aff7"/>
        <w:numPr>
          <w:ilvl w:val="2"/>
          <w:numId w:val="39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RAN4 shall further discuss the applicable side condition /scenario with corresponding assumption on MR serving cell measurement, MR neighbouring cell measurement and LP-WUR measurement as a package</w:t>
      </w:r>
    </w:p>
    <w:p w14:paraId="47D3A3D4" w14:textId="77777777" w:rsidR="00467643" w:rsidRDefault="00467643" w:rsidP="00467643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P6: assumption of thresholds for RAN4 discussion can be (Apple):</w:t>
      </w:r>
    </w:p>
    <w:p w14:paraId="1D40DF73" w14:textId="77777777" w:rsidR="00467643" w:rsidRDefault="00467643" w:rsidP="00467643">
      <w:pPr>
        <w:pStyle w:val="aff7"/>
        <w:numPr>
          <w:ilvl w:val="2"/>
          <w:numId w:val="39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the threshold for MR fully offloading to LR can be same as the threshold for neighbor cell measurement triggering (highest one between SIntraSearchP/SIntraSearchQ and SnonIntraSearchP/SnonIntraSearchQ), or at least offloading threshold can be not lower than threshold for neighbor cell measurement triggering.  </w:t>
      </w:r>
    </w:p>
    <w:p w14:paraId="5CC8F3AD" w14:textId="77777777" w:rsidR="00467643" w:rsidRDefault="00467643" w:rsidP="00467643">
      <w:pPr>
        <w:pStyle w:val="aff7"/>
        <w:numPr>
          <w:ilvl w:val="2"/>
          <w:numId w:val="39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the threshold to turn on LR or to involve LR for measurement can be equivalent to the threshold of entry condition for LP-WUS monitoring. </w:t>
      </w:r>
    </w:p>
    <w:p w14:paraId="243916D4" w14:textId="77777777" w:rsidR="00467643" w:rsidRDefault="00467643" w:rsidP="00467643">
      <w:pPr>
        <w:spacing w:after="12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3D2D9AD5" w14:textId="77777777" w:rsidR="00467643" w:rsidRDefault="00467643" w:rsidP="00467643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Suggest to check whether the following top level description:</w:t>
      </w:r>
    </w:p>
    <w:p w14:paraId="1999B2BA" w14:textId="77777777" w:rsidR="00467643" w:rsidRDefault="00467643" w:rsidP="00467643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LP-WUR monitoring is triggered not early than MR </w:t>
      </w:r>
      <w:r w:rsidRPr="00282277">
        <w:rPr>
          <w:rFonts w:eastAsiaTheme="minorEastAsia"/>
          <w:i/>
          <w:color w:val="000000" w:themeColor="text1"/>
          <w:lang w:val="en-US" w:eastAsia="zh-CN"/>
        </w:rPr>
        <w:t xml:space="preserve">RRM relaxation or MR serving cell offloading (case 1) </w:t>
      </w:r>
    </w:p>
    <w:p w14:paraId="4A74364F" w14:textId="77777777" w:rsidR="00467643" w:rsidRPr="00467643" w:rsidRDefault="00467643" w:rsidP="00B873EC">
      <w:pPr>
        <w:rPr>
          <w:b/>
          <w:color w:val="000000" w:themeColor="text1"/>
          <w:u w:val="single"/>
          <w:lang w:val="en-US" w:eastAsia="ko-KR"/>
        </w:rPr>
      </w:pPr>
      <w:bookmarkStart w:id="3" w:name="_GoBack"/>
      <w:bookmarkEnd w:id="3"/>
    </w:p>
    <w:sectPr w:rsidR="00467643" w:rsidRPr="00467643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A726" w14:textId="77777777" w:rsidR="004F07EE" w:rsidRDefault="004F07EE">
      <w:pPr>
        <w:spacing w:after="0"/>
      </w:pPr>
      <w:r>
        <w:separator/>
      </w:r>
    </w:p>
  </w:endnote>
  <w:endnote w:type="continuationSeparator" w:id="0">
    <w:p w14:paraId="0A3AD4BE" w14:textId="77777777" w:rsidR="004F07EE" w:rsidRDefault="004F0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9F59D" w14:textId="77777777" w:rsidR="004F07EE" w:rsidRDefault="004F07EE">
      <w:pPr>
        <w:spacing w:after="0"/>
      </w:pPr>
      <w:r>
        <w:separator/>
      </w:r>
    </w:p>
  </w:footnote>
  <w:footnote w:type="continuationSeparator" w:id="0">
    <w:p w14:paraId="4CDA1E7F" w14:textId="77777777" w:rsidR="004F07EE" w:rsidRDefault="004F0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42C406E"/>
    <w:multiLevelType w:val="hybridMultilevel"/>
    <w:tmpl w:val="CE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9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372B7B"/>
    <w:multiLevelType w:val="hybridMultilevel"/>
    <w:tmpl w:val="A4E2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1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8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9"/>
  </w:num>
  <w:num w:numId="6">
    <w:abstractNumId w:val="37"/>
  </w:num>
  <w:num w:numId="7">
    <w:abstractNumId w:val="34"/>
  </w:num>
  <w:num w:numId="8">
    <w:abstractNumId w:val="6"/>
  </w:num>
  <w:num w:numId="9">
    <w:abstractNumId w:val="25"/>
  </w:num>
  <w:num w:numId="10">
    <w:abstractNumId w:val="36"/>
  </w:num>
  <w:num w:numId="11">
    <w:abstractNumId w:val="44"/>
  </w:num>
  <w:num w:numId="12">
    <w:abstractNumId w:val="4"/>
  </w:num>
  <w:num w:numId="13">
    <w:abstractNumId w:val="12"/>
  </w:num>
  <w:num w:numId="14">
    <w:abstractNumId w:val="8"/>
  </w:num>
  <w:num w:numId="15">
    <w:abstractNumId w:val="15"/>
  </w:num>
  <w:num w:numId="16">
    <w:abstractNumId w:val="13"/>
  </w:num>
  <w:num w:numId="17">
    <w:abstractNumId w:val="42"/>
  </w:num>
  <w:num w:numId="18">
    <w:abstractNumId w:val="32"/>
  </w:num>
  <w:num w:numId="19">
    <w:abstractNumId w:val="35"/>
  </w:num>
  <w:num w:numId="20">
    <w:abstractNumId w:val="31"/>
  </w:num>
  <w:num w:numId="21">
    <w:abstractNumId w:val="14"/>
  </w:num>
  <w:num w:numId="22">
    <w:abstractNumId w:val="33"/>
  </w:num>
  <w:num w:numId="23">
    <w:abstractNumId w:val="38"/>
  </w:num>
  <w:num w:numId="24">
    <w:abstractNumId w:val="0"/>
  </w:num>
  <w:num w:numId="25">
    <w:abstractNumId w:val="5"/>
  </w:num>
  <w:num w:numId="26">
    <w:abstractNumId w:val="11"/>
  </w:num>
  <w:num w:numId="27">
    <w:abstractNumId w:val="17"/>
  </w:num>
  <w:num w:numId="28">
    <w:abstractNumId w:val="26"/>
  </w:num>
  <w:num w:numId="29">
    <w:abstractNumId w:val="27"/>
  </w:num>
  <w:num w:numId="30">
    <w:abstractNumId w:val="28"/>
  </w:num>
  <w:num w:numId="31">
    <w:abstractNumId w:val="1"/>
  </w:num>
  <w:num w:numId="32">
    <w:abstractNumId w:val="20"/>
  </w:num>
  <w:num w:numId="33">
    <w:abstractNumId w:val="2"/>
  </w:num>
  <w:num w:numId="34">
    <w:abstractNumId w:val="30"/>
  </w:num>
  <w:num w:numId="35">
    <w:abstractNumId w:val="3"/>
  </w:num>
  <w:num w:numId="36">
    <w:abstractNumId w:val="19"/>
  </w:num>
  <w:num w:numId="37">
    <w:abstractNumId w:val="41"/>
  </w:num>
  <w:num w:numId="38">
    <w:abstractNumId w:val="43"/>
  </w:num>
  <w:num w:numId="39">
    <w:abstractNumId w:val="29"/>
  </w:num>
  <w:num w:numId="40">
    <w:abstractNumId w:val="23"/>
  </w:num>
  <w:num w:numId="41">
    <w:abstractNumId w:val="16"/>
  </w:num>
  <w:num w:numId="42">
    <w:abstractNumId w:val="40"/>
  </w:num>
  <w:num w:numId="43">
    <w:abstractNumId w:val="39"/>
  </w:num>
  <w:num w:numId="44">
    <w:abstractNumId w:val="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640E"/>
    <w:rsid w:val="0000766F"/>
    <w:rsid w:val="00007A2E"/>
    <w:rsid w:val="00010E30"/>
    <w:rsid w:val="00011AFE"/>
    <w:rsid w:val="00016572"/>
    <w:rsid w:val="00016B85"/>
    <w:rsid w:val="0001765A"/>
    <w:rsid w:val="00017F93"/>
    <w:rsid w:val="00020C56"/>
    <w:rsid w:val="0002278B"/>
    <w:rsid w:val="00023FF5"/>
    <w:rsid w:val="00025302"/>
    <w:rsid w:val="00026ACC"/>
    <w:rsid w:val="00027B06"/>
    <w:rsid w:val="00027B3E"/>
    <w:rsid w:val="00027C9F"/>
    <w:rsid w:val="0003002A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786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6F2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2F0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40C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6BC"/>
    <w:rsid w:val="000E0E2B"/>
    <w:rsid w:val="000E17FD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1444"/>
    <w:rsid w:val="00112105"/>
    <w:rsid w:val="0011261E"/>
    <w:rsid w:val="001128E7"/>
    <w:rsid w:val="00114236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5F3"/>
    <w:rsid w:val="00134686"/>
    <w:rsid w:val="00134801"/>
    <w:rsid w:val="00134B62"/>
    <w:rsid w:val="00135614"/>
    <w:rsid w:val="00136ADC"/>
    <w:rsid w:val="00136D4C"/>
    <w:rsid w:val="00137856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3D4C"/>
    <w:rsid w:val="00183DF3"/>
    <w:rsid w:val="00183E00"/>
    <w:rsid w:val="00183F6D"/>
    <w:rsid w:val="00184437"/>
    <w:rsid w:val="00185650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40C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24BA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2337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028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D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0B4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271C"/>
    <w:rsid w:val="002A2C28"/>
    <w:rsid w:val="002A34D8"/>
    <w:rsid w:val="002A3771"/>
    <w:rsid w:val="002A3EF3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D7C30"/>
    <w:rsid w:val="002E0CAD"/>
    <w:rsid w:val="002E0E9B"/>
    <w:rsid w:val="002E137D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F10A1"/>
    <w:rsid w:val="002F158C"/>
    <w:rsid w:val="002F3816"/>
    <w:rsid w:val="002F4093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3D0"/>
    <w:rsid w:val="00313B42"/>
    <w:rsid w:val="0031440E"/>
    <w:rsid w:val="00315867"/>
    <w:rsid w:val="00315944"/>
    <w:rsid w:val="00315AD2"/>
    <w:rsid w:val="00316216"/>
    <w:rsid w:val="0031685F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47D69"/>
    <w:rsid w:val="0035128F"/>
    <w:rsid w:val="00351DC4"/>
    <w:rsid w:val="003534E6"/>
    <w:rsid w:val="00354A9B"/>
    <w:rsid w:val="00355873"/>
    <w:rsid w:val="00355D4A"/>
    <w:rsid w:val="0035660F"/>
    <w:rsid w:val="003566A4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287"/>
    <w:rsid w:val="003B141B"/>
    <w:rsid w:val="003B1D6A"/>
    <w:rsid w:val="003B1EC9"/>
    <w:rsid w:val="003B21C7"/>
    <w:rsid w:val="003B22C1"/>
    <w:rsid w:val="003B2647"/>
    <w:rsid w:val="003B2A92"/>
    <w:rsid w:val="003B3ACD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7091"/>
    <w:rsid w:val="003D7546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439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EE"/>
    <w:rsid w:val="003F728A"/>
    <w:rsid w:val="003F7500"/>
    <w:rsid w:val="003F76E0"/>
    <w:rsid w:val="00400ACB"/>
    <w:rsid w:val="00400AEB"/>
    <w:rsid w:val="00401144"/>
    <w:rsid w:val="00402606"/>
    <w:rsid w:val="00402709"/>
    <w:rsid w:val="0040424C"/>
    <w:rsid w:val="00404831"/>
    <w:rsid w:val="004053BC"/>
    <w:rsid w:val="00405D44"/>
    <w:rsid w:val="00407661"/>
    <w:rsid w:val="00410314"/>
    <w:rsid w:val="00410B4E"/>
    <w:rsid w:val="00411240"/>
    <w:rsid w:val="00411309"/>
    <w:rsid w:val="00411877"/>
    <w:rsid w:val="00411975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942"/>
    <w:rsid w:val="00456A75"/>
    <w:rsid w:val="00456CDA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643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70F"/>
    <w:rsid w:val="004D1797"/>
    <w:rsid w:val="004D21B0"/>
    <w:rsid w:val="004D2666"/>
    <w:rsid w:val="004D2C0C"/>
    <w:rsid w:val="004D30AE"/>
    <w:rsid w:val="004D3E2E"/>
    <w:rsid w:val="004D4AB3"/>
    <w:rsid w:val="004D5069"/>
    <w:rsid w:val="004D55FD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651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07EE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38E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5F32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520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44F"/>
    <w:rsid w:val="005E366A"/>
    <w:rsid w:val="005E393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E3B"/>
    <w:rsid w:val="00651F26"/>
    <w:rsid w:val="006523FD"/>
    <w:rsid w:val="006539C6"/>
    <w:rsid w:val="00653BCF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24C"/>
    <w:rsid w:val="006A5B84"/>
    <w:rsid w:val="006A628E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1B3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1EE4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F35"/>
    <w:rsid w:val="007041FC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F77"/>
    <w:rsid w:val="007315CF"/>
    <w:rsid w:val="00731D77"/>
    <w:rsid w:val="007320C1"/>
    <w:rsid w:val="00732360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401C3"/>
    <w:rsid w:val="00740A35"/>
    <w:rsid w:val="00740F4E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2C1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2E2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6DA"/>
    <w:rsid w:val="007807C5"/>
    <w:rsid w:val="00780919"/>
    <w:rsid w:val="00780E53"/>
    <w:rsid w:val="007812D7"/>
    <w:rsid w:val="00781359"/>
    <w:rsid w:val="00782761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75F"/>
    <w:rsid w:val="007B0B9D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78D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20FC"/>
    <w:rsid w:val="007E2920"/>
    <w:rsid w:val="007E3662"/>
    <w:rsid w:val="007E40D0"/>
    <w:rsid w:val="007E4328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56F23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1F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6FB9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2DEC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AEA"/>
    <w:rsid w:val="008E1B59"/>
    <w:rsid w:val="008E1F60"/>
    <w:rsid w:val="008E307E"/>
    <w:rsid w:val="008E4A78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2EEF"/>
    <w:rsid w:val="0094397C"/>
    <w:rsid w:val="009446C0"/>
    <w:rsid w:val="00945110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68"/>
    <w:rsid w:val="009662FB"/>
    <w:rsid w:val="009663EA"/>
    <w:rsid w:val="00966F83"/>
    <w:rsid w:val="00972968"/>
    <w:rsid w:val="00973B72"/>
    <w:rsid w:val="0097408E"/>
    <w:rsid w:val="0097477F"/>
    <w:rsid w:val="009747EC"/>
    <w:rsid w:val="00974BB2"/>
    <w:rsid w:val="00974FA7"/>
    <w:rsid w:val="0097532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2F73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6D7F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E7714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5266"/>
    <w:rsid w:val="009F6182"/>
    <w:rsid w:val="009F672D"/>
    <w:rsid w:val="009F7AC6"/>
    <w:rsid w:val="009F7C17"/>
    <w:rsid w:val="00A00BF4"/>
    <w:rsid w:val="00A011C1"/>
    <w:rsid w:val="00A01A42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492"/>
    <w:rsid w:val="00A17866"/>
    <w:rsid w:val="00A2076B"/>
    <w:rsid w:val="00A20772"/>
    <w:rsid w:val="00A20BCB"/>
    <w:rsid w:val="00A20FB6"/>
    <w:rsid w:val="00A211B4"/>
    <w:rsid w:val="00A21A4E"/>
    <w:rsid w:val="00A21BA0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76B7"/>
    <w:rsid w:val="00A37856"/>
    <w:rsid w:val="00A3795C"/>
    <w:rsid w:val="00A37B3B"/>
    <w:rsid w:val="00A37D37"/>
    <w:rsid w:val="00A37E7B"/>
    <w:rsid w:val="00A40317"/>
    <w:rsid w:val="00A41054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6CA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7E2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7F5"/>
    <w:rsid w:val="00A84DC8"/>
    <w:rsid w:val="00A85B92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A16"/>
    <w:rsid w:val="00AB7B7E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3B3E"/>
    <w:rsid w:val="00AF40D1"/>
    <w:rsid w:val="00AF4B43"/>
    <w:rsid w:val="00AF4B6B"/>
    <w:rsid w:val="00AF4BC6"/>
    <w:rsid w:val="00AF4D8B"/>
    <w:rsid w:val="00AF5323"/>
    <w:rsid w:val="00AF5F5A"/>
    <w:rsid w:val="00B00363"/>
    <w:rsid w:val="00B01B3C"/>
    <w:rsid w:val="00B01C58"/>
    <w:rsid w:val="00B02811"/>
    <w:rsid w:val="00B02A79"/>
    <w:rsid w:val="00B039F0"/>
    <w:rsid w:val="00B03E53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822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3EC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5A57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4FD"/>
    <w:rsid w:val="00BC061C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09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2D61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6D9A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43F3"/>
    <w:rsid w:val="00C945CC"/>
    <w:rsid w:val="00C94859"/>
    <w:rsid w:val="00C95A3F"/>
    <w:rsid w:val="00C95BB9"/>
    <w:rsid w:val="00C9614F"/>
    <w:rsid w:val="00C9646A"/>
    <w:rsid w:val="00C96A69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1C5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4843"/>
    <w:rsid w:val="00CB4C3C"/>
    <w:rsid w:val="00CB4C80"/>
    <w:rsid w:val="00CB58C3"/>
    <w:rsid w:val="00CB5D5C"/>
    <w:rsid w:val="00CB6360"/>
    <w:rsid w:val="00CB6514"/>
    <w:rsid w:val="00CB65AF"/>
    <w:rsid w:val="00CB6AFC"/>
    <w:rsid w:val="00CB6DA7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6BDF"/>
    <w:rsid w:val="00D1785C"/>
    <w:rsid w:val="00D1793E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0172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FC"/>
    <w:rsid w:val="00D37459"/>
    <w:rsid w:val="00D40290"/>
    <w:rsid w:val="00D408DD"/>
    <w:rsid w:val="00D409FF"/>
    <w:rsid w:val="00D41CD6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2277"/>
    <w:rsid w:val="00DA23DD"/>
    <w:rsid w:val="00DA3270"/>
    <w:rsid w:val="00DA375F"/>
    <w:rsid w:val="00DA383D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7E8"/>
    <w:rsid w:val="00DB69F9"/>
    <w:rsid w:val="00DB785F"/>
    <w:rsid w:val="00DB7F4A"/>
    <w:rsid w:val="00DC23F5"/>
    <w:rsid w:val="00DC2500"/>
    <w:rsid w:val="00DC467F"/>
    <w:rsid w:val="00DC4B03"/>
    <w:rsid w:val="00DC4F72"/>
    <w:rsid w:val="00DC6FE2"/>
    <w:rsid w:val="00DC77DC"/>
    <w:rsid w:val="00DC7B34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DF647D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60A5"/>
    <w:rsid w:val="00E16951"/>
    <w:rsid w:val="00E16AF7"/>
    <w:rsid w:val="00E16DC6"/>
    <w:rsid w:val="00E170BB"/>
    <w:rsid w:val="00E1713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8E8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3F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5148"/>
    <w:rsid w:val="00E75291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61E8"/>
    <w:rsid w:val="00ED7286"/>
    <w:rsid w:val="00EE0479"/>
    <w:rsid w:val="00EE0DEE"/>
    <w:rsid w:val="00EE1080"/>
    <w:rsid w:val="00EE1D23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823"/>
    <w:rsid w:val="00F11A60"/>
    <w:rsid w:val="00F13959"/>
    <w:rsid w:val="00F13D05"/>
    <w:rsid w:val="00F150BD"/>
    <w:rsid w:val="00F155C1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69A8"/>
    <w:rsid w:val="00F3096A"/>
    <w:rsid w:val="00F30D2E"/>
    <w:rsid w:val="00F31478"/>
    <w:rsid w:val="00F320B6"/>
    <w:rsid w:val="00F32132"/>
    <w:rsid w:val="00F3325E"/>
    <w:rsid w:val="00F33A88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0C5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11"/>
    <w:rsid w:val="00FD0694"/>
    <w:rsid w:val="00FD11CC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F2826-11BC-41BB-92AD-1C6CA9D6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275</TotalTime>
  <Pages>8</Pages>
  <Words>1462</Words>
  <Characters>8339</Characters>
  <Application>Microsoft Office Word</Application>
  <DocSecurity>0</DocSecurity>
  <Lines>69</Lines>
  <Paragraphs>19</Paragraphs>
  <ScaleCrop>false</ScaleCrop>
  <Company>Apple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171</cp:revision>
  <cp:lastPrinted>2019-04-25T01:09:00Z</cp:lastPrinted>
  <dcterms:created xsi:type="dcterms:W3CDTF">2024-08-15T22:03:00Z</dcterms:created>
  <dcterms:modified xsi:type="dcterms:W3CDTF">2024-08-21T07:53:00Z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