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25BC3EB1"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985F2C">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R4-2413960</w:t>
      </w:r>
    </w:p>
    <w:p w14:paraId="6548B1E3" w14:textId="6F062DC5" w:rsidR="00AE453D" w:rsidRPr="00306361" w:rsidRDefault="00E07939">
      <w:pPr>
        <w:tabs>
          <w:tab w:val="left" w:pos="284"/>
          <w:tab w:val="left" w:pos="568"/>
          <w:tab w:val="left" w:pos="852"/>
          <w:tab w:val="left" w:pos="1136"/>
          <w:tab w:val="left" w:pos="1420"/>
          <w:tab w:val="left" w:pos="1704"/>
          <w:tab w:val="left" w:pos="1985"/>
          <w:tab w:val="left" w:pos="4215"/>
        </w:tabs>
        <w:spacing w:after="120"/>
        <w:ind w:left="1985" w:hanging="1985"/>
        <w:rPr>
          <w:rFonts w:ascii="Arial" w:eastAsiaTheme="minorEastAsia" w:hAnsi="Arial" w:cs="Arial"/>
          <w:b/>
          <w:sz w:val="24"/>
          <w:szCs w:val="24"/>
          <w:lang w:val="en-US" w:eastAsia="zh-CN"/>
        </w:rPr>
      </w:pPr>
      <w:r w:rsidRPr="00306361">
        <w:rPr>
          <w:rFonts w:ascii="Arial" w:eastAsiaTheme="minorEastAsia" w:hAnsi="Arial" w:cs="Arial"/>
          <w:b/>
          <w:sz w:val="24"/>
          <w:szCs w:val="24"/>
          <w:lang w:val="en-US" w:eastAsia="zh-CN"/>
        </w:rPr>
        <w:t>Maastricht, Netherlands, August 19 – 23, 2024</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449ED160"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8E4F65">
        <w:rPr>
          <w:rFonts w:ascii="Arial" w:hAnsi="Arial" w:cs="Arial"/>
          <w:sz w:val="22"/>
          <w:lang w:eastAsia="zh-CN"/>
        </w:rPr>
        <w:t>4</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Heading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meetings</w:t>
      </w:r>
    </w:p>
    <w:p w14:paraId="68A04333" w14:textId="2DA89258" w:rsidR="00AE453D" w:rsidRDefault="00FA69D2">
      <w:pPr>
        <w:pStyle w:val="ListParagraph"/>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673EE6E6" w14:textId="1F9E96EA" w:rsidR="00AE453D" w:rsidRDefault="00FA69D2">
      <w:pPr>
        <w:pStyle w:val="Heading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0" w:name="_Hlk148036677"/>
      <w:r w:rsidR="00266409" w:rsidRPr="00266409">
        <w:rPr>
          <w:sz w:val="28"/>
          <w:szCs w:val="28"/>
        </w:rPr>
        <w:t>Core part</w:t>
      </w:r>
    </w:p>
    <w:bookmarkEnd w:id="0"/>
    <w:p w14:paraId="732CEA8E" w14:textId="77777777" w:rsidR="00AE453D" w:rsidRDefault="00FA69D2">
      <w:pPr>
        <w:pStyle w:val="Heading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 xml:space="preserve">Sub-topic 1-1 PDCCH-order RACH on </w:t>
      </w:r>
      <w:proofErr w:type="spellStart"/>
      <w:r>
        <w:rPr>
          <w:rFonts w:eastAsia="宋体"/>
          <w:sz w:val="24"/>
          <w:szCs w:val="24"/>
          <w:lang w:eastAsia="en-US"/>
        </w:rPr>
        <w:t>neighbor</w:t>
      </w:r>
      <w:proofErr w:type="spellEnd"/>
      <w:r>
        <w:rPr>
          <w:rFonts w:eastAsia="宋体"/>
          <w:sz w:val="24"/>
          <w:szCs w:val="24"/>
          <w:lang w:eastAsia="en-US"/>
        </w:rPr>
        <w:t xml:space="preserve"> cell</w:t>
      </w:r>
    </w:p>
    <w:p w14:paraId="575F2B96" w14:textId="77777777" w:rsidR="00266409" w:rsidRPr="00266409" w:rsidRDefault="00266409" w:rsidP="00266409">
      <w:pPr>
        <w:rPr>
          <w:b/>
          <w:u w:val="single"/>
          <w:lang w:eastAsia="ko-KR"/>
        </w:rPr>
      </w:pPr>
      <w:bookmarkStart w:id="1" w:name="_Hlk166668298"/>
      <w:bookmarkStart w:id="2" w:name="_Hlk135409952"/>
      <w:r w:rsidRPr="00266409">
        <w:rPr>
          <w:b/>
          <w:u w:val="single"/>
          <w:lang w:eastAsia="ko-KR"/>
        </w:rPr>
        <w:t>Issue 1-1-1: SFN acquisition</w:t>
      </w:r>
    </w:p>
    <w:p w14:paraId="4DF89A88" w14:textId="16EA5527" w:rsidR="00266409" w:rsidRPr="00266409" w:rsidRDefault="00266409" w:rsidP="00266409">
      <w:pPr>
        <w:spacing w:beforeLines="50" w:before="120" w:afterLines="50" w:after="120"/>
        <w:rPr>
          <w:i/>
          <w:iCs/>
          <w:color w:val="0070C0"/>
          <w:sz w:val="18"/>
          <w:szCs w:val="18"/>
          <w:lang w:eastAsia="zh-CN"/>
        </w:rPr>
      </w:pPr>
      <w:r w:rsidRPr="00266409">
        <w:rPr>
          <w:i/>
          <w:iCs/>
          <w:color w:val="0070C0"/>
          <w:sz w:val="18"/>
          <w:szCs w:val="18"/>
          <w:lang w:eastAsia="zh-CN"/>
        </w:rPr>
        <w:t>Ad hoc agreement</w:t>
      </w:r>
    </w:p>
    <w:p w14:paraId="7E432C38" w14:textId="38FC2C79" w:rsidR="00266409" w:rsidRPr="004D651F" w:rsidRDefault="0005708D" w:rsidP="004D651F">
      <w:pPr>
        <w:tabs>
          <w:tab w:val="left" w:pos="360"/>
        </w:tabs>
        <w:rPr>
          <w:rFonts w:eastAsia="等线"/>
          <w:lang w:eastAsia="zh-CN"/>
        </w:rPr>
      </w:pPr>
      <w:r>
        <w:rPr>
          <w:rFonts w:eastAsia="宋体"/>
          <w:b/>
          <w:bCs/>
          <w:szCs w:val="24"/>
        </w:rPr>
        <w:t>&lt;</w:t>
      </w:r>
      <w:r w:rsidR="006261D5">
        <w:rPr>
          <w:b/>
        </w:rPr>
        <w:t>A</w:t>
      </w:r>
      <w:r w:rsidR="00257898">
        <w:rPr>
          <w:b/>
        </w:rPr>
        <w:t>greement</w:t>
      </w:r>
      <w:r>
        <w:rPr>
          <w:rFonts w:eastAsia="宋体"/>
          <w:b/>
          <w:bCs/>
          <w:szCs w:val="24"/>
        </w:rPr>
        <w:t xml:space="preserve">&gt;: </w:t>
      </w:r>
      <w:bookmarkEnd w:id="1"/>
      <w:r w:rsidR="00266409" w:rsidRPr="00266409">
        <w:rPr>
          <w:rFonts w:cstheme="minorHAnsi"/>
          <w:bCs/>
          <w:lang w:eastAsia="x-none"/>
        </w:rPr>
        <w:t>FFS the following options:</w:t>
      </w:r>
    </w:p>
    <w:p w14:paraId="720462F1"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1:</w:t>
      </w:r>
    </w:p>
    <w:p w14:paraId="2D54A878"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cell switch delay requirements, add the applicability that UE is not required to obtain SFN information.</w:t>
      </w:r>
    </w:p>
    <w:p w14:paraId="23CFD33F"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2:</w:t>
      </w:r>
    </w:p>
    <w:p w14:paraId="76E7CE95"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RRM requirements applicability of LTM cell switch delay and PDCCH order RACH delay, clarify that SFN between serving and target cell should be the same even for inter-frequency target cell in FR1.</w:t>
      </w:r>
    </w:p>
    <w:p w14:paraId="35ED1AE6" w14:textId="77777777" w:rsidR="00266409" w:rsidRPr="00266409" w:rsidRDefault="00266409" w:rsidP="00266409">
      <w:pPr>
        <w:pStyle w:val="ListParagraph"/>
        <w:numPr>
          <w:ilvl w:val="0"/>
          <w:numId w:val="28"/>
        </w:numPr>
        <w:spacing w:after="0"/>
        <w:ind w:firstLineChars="0"/>
        <w:textAlignment w:val="auto"/>
        <w:rPr>
          <w:b/>
          <w:bCs/>
          <w:u w:val="single"/>
          <w:lang w:eastAsia="ja-JP"/>
        </w:rPr>
      </w:pPr>
      <w:r w:rsidRPr="00266409">
        <w:rPr>
          <w:rFonts w:cstheme="minorHAnsi"/>
          <w:bCs/>
          <w:lang w:eastAsia="x-none"/>
        </w:rPr>
        <w:t>Discuss the wording in CR.</w:t>
      </w:r>
    </w:p>
    <w:p w14:paraId="2AC3F208" w14:textId="77777777" w:rsidR="00257898" w:rsidRPr="0005708D" w:rsidRDefault="00257898" w:rsidP="0005708D">
      <w:pPr>
        <w:rPr>
          <w:b/>
          <w:u w:val="single"/>
          <w:lang w:eastAsia="ko-KR"/>
        </w:rPr>
      </w:pPr>
    </w:p>
    <w:p w14:paraId="11F3D20F" w14:textId="77777777" w:rsidR="004D651F" w:rsidRDefault="004D651F" w:rsidP="004D651F">
      <w:pPr>
        <w:rPr>
          <w:rFonts w:eastAsia="Malgun Gothic"/>
          <w:b/>
          <w:u w:val="single"/>
          <w:lang w:eastAsia="ko-KR"/>
        </w:rPr>
      </w:pPr>
      <w:r>
        <w:rPr>
          <w:b/>
          <w:u w:val="single"/>
          <w:lang w:eastAsia="ko-KR"/>
        </w:rPr>
        <w:t xml:space="preserve">Issue 1-1-2: Interruption </w:t>
      </w:r>
      <w:r>
        <w:rPr>
          <w:b/>
          <w:u w:val="single"/>
          <w:lang w:eastAsia="zh-CN"/>
        </w:rPr>
        <w:t>when</w:t>
      </w:r>
      <w:r>
        <w:rPr>
          <w:b/>
          <w:u w:val="single"/>
          <w:lang w:eastAsia="ko-KR"/>
        </w:rPr>
        <w:t xml:space="preserve"> PRACH is not fully contained in any of UE’s configured UL BWP(s) of active serving cells</w:t>
      </w:r>
      <w:r>
        <w:rPr>
          <w:rFonts w:eastAsia="Malgun Gothic"/>
          <w:b/>
          <w:u w:val="single"/>
          <w:lang w:eastAsia="ko-KR"/>
        </w:rPr>
        <w:t xml:space="preserve">  </w:t>
      </w:r>
    </w:p>
    <w:p w14:paraId="6C84CC80" w14:textId="59D1EDA3"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For information:</w:t>
      </w:r>
    </w:p>
    <w:p w14:paraId="4F056BE4" w14:textId="001CD0D9"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RAN4#110bis</w:t>
      </w:r>
    </w:p>
    <w:tbl>
      <w:tblPr>
        <w:tblStyle w:val="TableGrid"/>
        <w:tblW w:w="0" w:type="auto"/>
        <w:tblLook w:val="04A0" w:firstRow="1" w:lastRow="0" w:firstColumn="1" w:lastColumn="0" w:noHBand="0" w:noVBand="1"/>
      </w:tblPr>
      <w:tblGrid>
        <w:gridCol w:w="9631"/>
      </w:tblGrid>
      <w:tr w:rsidR="004D651F" w14:paraId="0C4F9C62" w14:textId="77777777" w:rsidTr="004D651F">
        <w:tc>
          <w:tcPr>
            <w:tcW w:w="9631" w:type="dxa"/>
            <w:tcBorders>
              <w:top w:val="single" w:sz="4" w:space="0" w:color="auto"/>
              <w:left w:val="single" w:sz="4" w:space="0" w:color="auto"/>
              <w:bottom w:val="single" w:sz="4" w:space="0" w:color="auto"/>
              <w:right w:val="single" w:sz="4" w:space="0" w:color="auto"/>
            </w:tcBorders>
            <w:hideMark/>
          </w:tcPr>
          <w:p w14:paraId="1E08F13B" w14:textId="77777777" w:rsidR="004D651F" w:rsidRDefault="004D651F">
            <w:pPr>
              <w:rPr>
                <w:b/>
                <w:color w:val="0070C0"/>
                <w:lang w:eastAsia="en-US"/>
              </w:rPr>
            </w:pPr>
            <w:r>
              <w:rPr>
                <w:b/>
                <w:color w:val="0070C0"/>
              </w:rPr>
              <w:t>&lt;Agreement &gt;</w:t>
            </w:r>
          </w:p>
          <w:p w14:paraId="581B3162" w14:textId="77777777" w:rsidR="004D651F" w:rsidRDefault="004D651F" w:rsidP="004D651F">
            <w:pPr>
              <w:pStyle w:val="ListParagraph"/>
              <w:numPr>
                <w:ilvl w:val="1"/>
                <w:numId w:val="29"/>
              </w:numPr>
              <w:overflowPunct/>
              <w:autoSpaceDE/>
              <w:adjustRightInd/>
              <w:spacing w:after="120"/>
              <w:ind w:firstLineChars="0"/>
              <w:textAlignment w:val="auto"/>
              <w:rPr>
                <w:color w:val="0070C0"/>
                <w:szCs w:val="21"/>
                <w:lang w:eastAsia="zh-CN"/>
              </w:rPr>
            </w:pPr>
            <w:r>
              <w:rPr>
                <w:color w:val="0070C0"/>
                <w:szCs w:val="21"/>
              </w:rPr>
              <w:t xml:space="preserve">Interruption to both DL and UL duration before/after PDCCH-order LTM PRACH is extended by </w:t>
            </w:r>
            <w:r>
              <w:rPr>
                <w:color w:val="0070C0"/>
                <w:szCs w:val="21"/>
                <w:highlight w:val="yellow"/>
              </w:rPr>
              <w:t>[1ms]</w:t>
            </w:r>
            <w:r>
              <w:rPr>
                <w:color w:val="0070C0"/>
                <w:szCs w:val="21"/>
              </w:rPr>
              <w:t xml:space="preserve"> for the following case:</w:t>
            </w:r>
          </w:p>
          <w:p w14:paraId="26426B59"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lang w:eastAsia="en-US"/>
              </w:rPr>
            </w:pPr>
            <w:r>
              <w:rPr>
                <w:color w:val="0070C0"/>
                <w:szCs w:val="21"/>
              </w:rPr>
              <w:t xml:space="preserve">The PDCCH-order PRACH is not fully contained in any of UE’s configured UL BWP(s) of active serving cells, and </w:t>
            </w:r>
          </w:p>
          <w:p w14:paraId="5D1CFAA4"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rPr>
            </w:pPr>
            <w:r>
              <w:rPr>
                <w:color w:val="0070C0"/>
                <w:szCs w:val="21"/>
              </w:rPr>
              <w:t xml:space="preserve">the number of RRC-configured LTM cells whose PRACH resources are not fully contained in any of UE’s configured UL BWP(s) of serving cell(s) is more than </w:t>
            </w:r>
            <w:r>
              <w:rPr>
                <w:color w:val="0070C0"/>
                <w:szCs w:val="21"/>
                <w:highlight w:val="yellow"/>
              </w:rPr>
              <w:t>[2]</w:t>
            </w:r>
            <w:r>
              <w:rPr>
                <w:color w:val="0070C0"/>
                <w:szCs w:val="21"/>
              </w:rPr>
              <w:t xml:space="preserve">, and </w:t>
            </w:r>
          </w:p>
          <w:p w14:paraId="3BC84018" w14:textId="77777777" w:rsidR="004D651F" w:rsidRDefault="004D651F" w:rsidP="004D651F">
            <w:pPr>
              <w:pStyle w:val="ListParagraph"/>
              <w:numPr>
                <w:ilvl w:val="2"/>
                <w:numId w:val="29"/>
              </w:numPr>
              <w:overflowPunct/>
              <w:autoSpaceDE/>
              <w:adjustRightInd/>
              <w:spacing w:after="120"/>
              <w:ind w:firstLineChars="0"/>
              <w:textAlignment w:val="auto"/>
              <w:rPr>
                <w:szCs w:val="21"/>
              </w:rPr>
            </w:pPr>
            <w:r>
              <w:rPr>
                <w:color w:val="0070C0"/>
                <w:szCs w:val="21"/>
              </w:rPr>
              <w:t>UE is configured with SRS carrier switching.</w:t>
            </w:r>
          </w:p>
        </w:tc>
      </w:tr>
    </w:tbl>
    <w:p w14:paraId="43819E74" w14:textId="77777777" w:rsidR="004D651F" w:rsidRPr="004D651F" w:rsidRDefault="004D651F" w:rsidP="004D651F">
      <w:pPr>
        <w:spacing w:after="120"/>
        <w:textAlignment w:val="auto"/>
        <w:rPr>
          <w:rFonts w:eastAsia="PMingLiU"/>
          <w:szCs w:val="24"/>
          <w:lang w:val="en-US" w:eastAsia="zh-TW"/>
        </w:rPr>
      </w:pPr>
    </w:p>
    <w:p w14:paraId="4206916F" w14:textId="3031CDE9" w:rsidR="004D651F" w:rsidRPr="004D651F" w:rsidRDefault="004D651F" w:rsidP="004D651F">
      <w:pPr>
        <w:spacing w:after="120"/>
        <w:textAlignment w:val="auto"/>
        <w:rPr>
          <w:rFonts w:eastAsia="宋体"/>
          <w:szCs w:val="24"/>
          <w:lang w:eastAsia="zh-CN"/>
        </w:rPr>
      </w:pPr>
      <w:r w:rsidRPr="004D651F">
        <w:rPr>
          <w:rFonts w:eastAsia="PMingLiU"/>
          <w:szCs w:val="24"/>
          <w:lang w:eastAsia="zh-TW"/>
        </w:rPr>
        <w:t xml:space="preserve">&lt; </w:t>
      </w:r>
      <w:r w:rsidRPr="004D651F">
        <w:rPr>
          <w:rFonts w:eastAsia="PMingLiU"/>
          <w:b/>
          <w:bCs/>
          <w:szCs w:val="24"/>
          <w:lang w:eastAsia="zh-TW"/>
        </w:rPr>
        <w:t>Agreement</w:t>
      </w:r>
      <w:r w:rsidRPr="004D651F">
        <w:rPr>
          <w:rFonts w:eastAsia="PMingLiU"/>
          <w:szCs w:val="24"/>
          <w:lang w:eastAsia="zh-TW"/>
        </w:rPr>
        <w:t xml:space="preserve">&gt; </w:t>
      </w:r>
    </w:p>
    <w:p w14:paraId="0B3BBF43" w14:textId="08F53533" w:rsidR="004D651F" w:rsidRDefault="004D651F" w:rsidP="004D651F">
      <w:pPr>
        <w:pStyle w:val="ListParagraph"/>
        <w:numPr>
          <w:ilvl w:val="1"/>
          <w:numId w:val="29"/>
        </w:numPr>
        <w:spacing w:after="120"/>
        <w:ind w:left="1656" w:firstLineChars="0"/>
        <w:textAlignment w:val="auto"/>
        <w:rPr>
          <w:rFonts w:eastAsia="宋体"/>
          <w:szCs w:val="24"/>
          <w:lang w:eastAsia="zh-CN"/>
        </w:rPr>
      </w:pPr>
      <w:r>
        <w:t>Remove the brackets.</w:t>
      </w:r>
    </w:p>
    <w:p w14:paraId="0E25132F" w14:textId="77777777" w:rsidR="004D651F" w:rsidRDefault="004D651F" w:rsidP="004D651F">
      <w:pPr>
        <w:pStyle w:val="ListParagraph"/>
        <w:numPr>
          <w:ilvl w:val="2"/>
          <w:numId w:val="29"/>
        </w:numPr>
        <w:overflowPunct/>
        <w:autoSpaceDE/>
        <w:adjustRightInd/>
        <w:spacing w:after="120"/>
        <w:ind w:left="2376" w:firstLineChars="0"/>
        <w:textAlignment w:val="auto"/>
        <w:rPr>
          <w:rFonts w:eastAsia="MS Mincho"/>
          <w:szCs w:val="21"/>
          <w:lang w:eastAsia="zh-CN"/>
        </w:rPr>
      </w:pPr>
      <w:r>
        <w:rPr>
          <w:szCs w:val="21"/>
        </w:rPr>
        <w:t xml:space="preserve">Interruption to both DL and UL duration before/after PDCCH-order LTM PRACH is extended by </w:t>
      </w:r>
      <w:r w:rsidRPr="000247D5">
        <w:rPr>
          <w:strike/>
          <w:szCs w:val="21"/>
        </w:rPr>
        <w:t>[</w:t>
      </w:r>
      <w:r w:rsidRPr="000247D5">
        <w:rPr>
          <w:szCs w:val="21"/>
        </w:rPr>
        <w:t>1ms</w:t>
      </w:r>
      <w:r w:rsidRPr="000247D5">
        <w:rPr>
          <w:strike/>
          <w:szCs w:val="21"/>
        </w:rPr>
        <w:t>]</w:t>
      </w:r>
      <w:r>
        <w:rPr>
          <w:szCs w:val="21"/>
        </w:rPr>
        <w:t xml:space="preserve"> for the following case:</w:t>
      </w:r>
    </w:p>
    <w:p w14:paraId="3F5D9B23"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lang w:eastAsia="en-US"/>
        </w:rPr>
      </w:pPr>
      <w:r>
        <w:rPr>
          <w:szCs w:val="21"/>
        </w:rPr>
        <w:t xml:space="preserve">The PDCCH-order PRACH is not fully contained in any of UE’s configured UL BWP(s) of active serving cells, and </w:t>
      </w:r>
    </w:p>
    <w:p w14:paraId="051555E0"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t xml:space="preserve">the number of RRC-configured LTM cells whose PRACH resources are not fully contained in any of UE’s configured UL BWP(s) of serving cell(s) is more </w:t>
      </w:r>
      <w:r w:rsidRPr="000247D5">
        <w:rPr>
          <w:szCs w:val="21"/>
        </w:rPr>
        <w:t xml:space="preserve">than </w:t>
      </w:r>
      <w:r w:rsidRPr="000247D5">
        <w:rPr>
          <w:strike/>
          <w:szCs w:val="21"/>
        </w:rPr>
        <w:t>[</w:t>
      </w:r>
      <w:r w:rsidRPr="000247D5">
        <w:rPr>
          <w:szCs w:val="21"/>
        </w:rPr>
        <w:t>2</w:t>
      </w:r>
      <w:r w:rsidRPr="000247D5">
        <w:rPr>
          <w:strike/>
          <w:szCs w:val="21"/>
        </w:rPr>
        <w:t>]</w:t>
      </w:r>
      <w:r w:rsidRPr="000247D5">
        <w:rPr>
          <w:szCs w:val="21"/>
        </w:rPr>
        <w:t>,</w:t>
      </w:r>
      <w:r>
        <w:rPr>
          <w:szCs w:val="21"/>
        </w:rPr>
        <w:t xml:space="preserve"> and </w:t>
      </w:r>
    </w:p>
    <w:p w14:paraId="1E8C22C8"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lastRenderedPageBreak/>
        <w:t>UE is configured with SRS carrier switching.</w:t>
      </w:r>
    </w:p>
    <w:bookmarkEnd w:id="2"/>
    <w:p w14:paraId="5B8BFDB7" w14:textId="3D42F626" w:rsidR="00AE453D" w:rsidRPr="000247D5" w:rsidRDefault="00AE453D" w:rsidP="000247D5">
      <w:pPr>
        <w:spacing w:after="120"/>
        <w:textAlignment w:val="auto"/>
        <w:rPr>
          <w:rFonts w:eastAsia="宋体"/>
          <w:szCs w:val="24"/>
          <w:lang w:eastAsia="zh-CN"/>
        </w:rPr>
      </w:pPr>
    </w:p>
    <w:p w14:paraId="6E658CE1" w14:textId="2FA40D63" w:rsidR="00AE453D" w:rsidRDefault="00FA69D2">
      <w:pPr>
        <w:pStyle w:val="Heading2"/>
        <w:overflowPunct/>
        <w:autoSpaceDE/>
        <w:autoSpaceDN/>
        <w:adjustRightInd/>
        <w:textAlignment w:val="auto"/>
        <w:rPr>
          <w:rFonts w:eastAsia="宋体"/>
          <w:sz w:val="24"/>
          <w:szCs w:val="24"/>
          <w:lang w:eastAsia="en-US"/>
        </w:rPr>
      </w:pPr>
      <w:r>
        <w:rPr>
          <w:rFonts w:eastAsia="宋体"/>
          <w:sz w:val="24"/>
          <w:szCs w:val="24"/>
          <w:lang w:eastAsia="en-US"/>
        </w:rPr>
        <w:t xml:space="preserve">1.2 Sub-topic 1-2 </w:t>
      </w:r>
      <w:r w:rsidR="000247D5">
        <w:rPr>
          <w:sz w:val="24"/>
          <w:szCs w:val="16"/>
          <w:lang w:val="en-US"/>
        </w:rPr>
        <w:t>Early Candidate cell’s TCI state activation</w:t>
      </w:r>
    </w:p>
    <w:p w14:paraId="1E5C14ED" w14:textId="77777777" w:rsidR="00F96F47" w:rsidRDefault="00F96F47" w:rsidP="00F96F47">
      <w:pPr>
        <w:rPr>
          <w:b/>
          <w:u w:val="single"/>
          <w:lang w:eastAsia="ko-KR"/>
        </w:rPr>
      </w:pPr>
      <w:r w:rsidRPr="00CF48C3">
        <w:rPr>
          <w:b/>
          <w:u w:val="single"/>
          <w:lang w:eastAsia="ko-KR"/>
        </w:rPr>
        <w:t xml:space="preserve">Issue 1-2-1: </w:t>
      </w:r>
      <w:r w:rsidRPr="00CF48C3">
        <w:rPr>
          <w:b/>
          <w:bCs/>
          <w:color w:val="000000"/>
          <w:szCs w:val="24"/>
          <w:u w:val="single"/>
        </w:rPr>
        <w:t>Whether to consider early TCI state activation for multiple cells at the same time</w:t>
      </w:r>
    </w:p>
    <w:p w14:paraId="1EDCA88D" w14:textId="77777777" w:rsidR="00306361" w:rsidRPr="00306361" w:rsidRDefault="005276DB" w:rsidP="00306361">
      <w:pPr>
        <w:overflowPunct/>
        <w:autoSpaceDE/>
        <w:adjustRightInd/>
        <w:spacing w:after="120"/>
        <w:textAlignment w:val="auto"/>
        <w:rPr>
          <w:rFonts w:eastAsia="MS Mincho"/>
          <w:sz w:val="21"/>
        </w:rPr>
      </w:pPr>
      <w:r w:rsidRPr="005276DB">
        <w:rPr>
          <w:rFonts w:eastAsiaTheme="minorEastAsia"/>
          <w:bCs/>
          <w:i/>
          <w:iCs/>
          <w:color w:val="0070C0"/>
          <w:sz w:val="21"/>
          <w:szCs w:val="21"/>
          <w:lang w:eastAsia="zh-CN"/>
        </w:rPr>
        <w:t xml:space="preserve"> </w:t>
      </w:r>
      <w:r w:rsidRPr="005276DB">
        <w:rPr>
          <w:bCs/>
          <w:sz w:val="21"/>
          <w:szCs w:val="21"/>
          <w:lang w:eastAsia="zh-CN"/>
        </w:rPr>
        <w:t xml:space="preserve">&lt; </w:t>
      </w:r>
      <w:r w:rsidRPr="005276DB">
        <w:rPr>
          <w:b/>
        </w:rPr>
        <w:t>Agreement</w:t>
      </w:r>
      <w:r w:rsidRPr="005276DB">
        <w:rPr>
          <w:bCs/>
          <w:sz w:val="21"/>
          <w:szCs w:val="21"/>
          <w:lang w:eastAsia="zh-CN"/>
        </w:rPr>
        <w:t>&gt;:</w:t>
      </w:r>
      <w:r w:rsidR="00C3060C">
        <w:rPr>
          <w:bCs/>
          <w:sz w:val="21"/>
          <w:szCs w:val="21"/>
          <w:lang w:eastAsia="zh-CN"/>
        </w:rPr>
        <w:t xml:space="preserve"> </w:t>
      </w:r>
    </w:p>
    <w:p w14:paraId="6AD6CC2F" w14:textId="01B52F1A" w:rsidR="0075163B" w:rsidRPr="008F0685" w:rsidRDefault="0075163B" w:rsidP="0075163B">
      <w:pPr>
        <w:numPr>
          <w:ilvl w:val="0"/>
          <w:numId w:val="32"/>
        </w:numPr>
        <w:overflowPunct/>
        <w:autoSpaceDE/>
        <w:adjustRightInd/>
        <w:spacing w:after="120"/>
        <w:ind w:left="936"/>
        <w:textAlignment w:val="auto"/>
        <w:rPr>
          <w:rFonts w:eastAsia="MS Mincho"/>
          <w:sz w:val="21"/>
        </w:rPr>
      </w:pPr>
      <w:r w:rsidRPr="008F0685">
        <w:rPr>
          <w:rFonts w:eastAsia="等线"/>
          <w:sz w:val="21"/>
          <w:lang w:eastAsia="zh-CN"/>
        </w:rPr>
        <w:t xml:space="preserve">Interested companies can have further offline discussion. If no further progress, the following will be agreed in the Nov meeting. </w:t>
      </w:r>
    </w:p>
    <w:p w14:paraId="4D641AD7" w14:textId="77777777" w:rsidR="0075163B" w:rsidRPr="008F0685" w:rsidRDefault="0075163B" w:rsidP="0075163B">
      <w:pPr>
        <w:numPr>
          <w:ilvl w:val="1"/>
          <w:numId w:val="32"/>
        </w:numPr>
        <w:overflowPunct/>
        <w:autoSpaceDE/>
        <w:adjustRightInd/>
        <w:spacing w:after="120"/>
        <w:ind w:left="1656"/>
        <w:textAlignment w:val="auto"/>
        <w:rPr>
          <w:rFonts w:eastAsia="MS Mincho"/>
          <w:sz w:val="21"/>
        </w:rPr>
      </w:pPr>
      <w:r w:rsidRPr="008F0685">
        <w:rPr>
          <w:rFonts w:eastAsia="MS Mincho"/>
          <w:sz w:val="21"/>
        </w:rPr>
        <w:t>No requirements of early TCI state activation delay are specified for the case that multiple LTM TCI activation commands are received at the same time.</w:t>
      </w:r>
    </w:p>
    <w:p w14:paraId="32CF7828" w14:textId="77777777" w:rsidR="00983D59" w:rsidRDefault="00983D59" w:rsidP="00F96F47">
      <w:pPr>
        <w:spacing w:afterLines="50" w:after="120"/>
        <w:rPr>
          <w:bCs/>
          <w:sz w:val="21"/>
          <w:szCs w:val="21"/>
          <w:lang w:eastAsia="zh-CN"/>
        </w:rPr>
      </w:pPr>
    </w:p>
    <w:p w14:paraId="344E9C38" w14:textId="77777777" w:rsidR="00E75A01" w:rsidRDefault="00E75A01" w:rsidP="00E75A01">
      <w:pPr>
        <w:rPr>
          <w:b/>
          <w:bCs/>
          <w:szCs w:val="21"/>
          <w:u w:val="single"/>
          <w:lang w:eastAsia="zh-CN"/>
        </w:rPr>
      </w:pPr>
      <w:r>
        <w:rPr>
          <w:b/>
          <w:u w:val="single"/>
          <w:lang w:eastAsia="ko-KR"/>
        </w:rPr>
        <w:t xml:space="preserve">Issue 1-2-2: </w:t>
      </w:r>
      <w:r>
        <w:rPr>
          <w:b/>
          <w:bCs/>
          <w:color w:val="000000"/>
          <w:u w:val="single"/>
        </w:rPr>
        <w:t>The definition of</w:t>
      </w:r>
      <w:r>
        <w:rPr>
          <w:b/>
          <w:bCs/>
          <w:color w:val="000000"/>
          <w:szCs w:val="21"/>
          <w:u w:val="single"/>
        </w:rPr>
        <w:t xml:space="preserve"> </w:t>
      </w:r>
      <w:r>
        <w:rPr>
          <w:rFonts w:eastAsia="Malgun Gothic"/>
          <w:b/>
          <w:bCs/>
          <w:szCs w:val="21"/>
          <w:u w:val="single"/>
        </w:rPr>
        <w:t>T</w:t>
      </w:r>
      <w:r>
        <w:rPr>
          <w:rFonts w:eastAsia="Malgun Gothic"/>
          <w:b/>
          <w:bCs/>
          <w:szCs w:val="21"/>
          <w:u w:val="single"/>
          <w:vertAlign w:val="subscript"/>
        </w:rPr>
        <w:t>first-SSB</w:t>
      </w:r>
      <w:r>
        <w:rPr>
          <w:b/>
          <w:bCs/>
          <w:szCs w:val="21"/>
          <w:u w:val="single"/>
        </w:rPr>
        <w:t xml:space="preserve"> in early candidate cell’s TCI state activation delay for inter-frequency with gap for known TCI state case</w:t>
      </w:r>
    </w:p>
    <w:tbl>
      <w:tblPr>
        <w:tblStyle w:val="TableGrid"/>
        <w:tblW w:w="0" w:type="auto"/>
        <w:tblLook w:val="04A0" w:firstRow="1" w:lastRow="0" w:firstColumn="1" w:lastColumn="0" w:noHBand="0" w:noVBand="1"/>
      </w:tblPr>
      <w:tblGrid>
        <w:gridCol w:w="9631"/>
      </w:tblGrid>
      <w:tr w:rsidR="00E75A01" w14:paraId="1525DE06" w14:textId="77777777" w:rsidTr="00E75A01">
        <w:tc>
          <w:tcPr>
            <w:tcW w:w="9631" w:type="dxa"/>
            <w:tcBorders>
              <w:top w:val="single" w:sz="4" w:space="0" w:color="auto"/>
              <w:left w:val="single" w:sz="4" w:space="0" w:color="auto"/>
              <w:bottom w:val="single" w:sz="4" w:space="0" w:color="auto"/>
              <w:right w:val="single" w:sz="4" w:space="0" w:color="auto"/>
            </w:tcBorders>
            <w:hideMark/>
          </w:tcPr>
          <w:p w14:paraId="46CBE011" w14:textId="77777777" w:rsidR="00E75A01" w:rsidRDefault="00E75A01">
            <w:pPr>
              <w:rPr>
                <w:rFonts w:eastAsiaTheme="minorEastAsia"/>
                <w:b/>
                <w:color w:val="0070C0"/>
                <w:szCs w:val="24"/>
                <w:u w:val="single"/>
                <w:lang w:eastAsia="sv-SE"/>
              </w:rPr>
            </w:pPr>
            <w:r>
              <w:rPr>
                <w:rFonts w:eastAsiaTheme="minorEastAsia"/>
                <w:b/>
                <w:color w:val="0070C0"/>
                <w:u w:val="single"/>
                <w:lang w:eastAsia="sv-SE"/>
              </w:rPr>
              <w:t>RAN4#111</w:t>
            </w:r>
          </w:p>
          <w:p w14:paraId="165FD035" w14:textId="77777777" w:rsidR="00E75A01" w:rsidRDefault="00E75A01">
            <w:pPr>
              <w:spacing w:afterLines="50" w:after="120"/>
              <w:rPr>
                <w:rFonts w:eastAsiaTheme="minorEastAsia"/>
                <w:bCs/>
                <w:color w:val="0070C0"/>
                <w:sz w:val="21"/>
                <w:szCs w:val="21"/>
                <w:lang w:eastAsia="sv-SE"/>
              </w:rPr>
            </w:pPr>
            <w:r>
              <w:rPr>
                <w:bCs/>
                <w:color w:val="0070C0"/>
                <w:sz w:val="21"/>
                <w:szCs w:val="21"/>
                <w:lang w:eastAsia="sv-SE"/>
              </w:rPr>
              <w:t xml:space="preserve">&lt; </w:t>
            </w:r>
            <w:r>
              <w:rPr>
                <w:b/>
                <w:color w:val="0070C0"/>
                <w:lang w:eastAsia="sv-SE"/>
              </w:rPr>
              <w:t>Agreement</w:t>
            </w:r>
            <w:r>
              <w:rPr>
                <w:bCs/>
                <w:color w:val="0070C0"/>
                <w:sz w:val="21"/>
                <w:szCs w:val="21"/>
                <w:lang w:eastAsia="sv-SE"/>
              </w:rPr>
              <w:t xml:space="preserve">&gt;: </w:t>
            </w:r>
          </w:p>
          <w:p w14:paraId="74C34789" w14:textId="77777777" w:rsidR="00E75A01" w:rsidRDefault="00E75A01" w:rsidP="00E75A01">
            <w:pPr>
              <w:pStyle w:val="ListParagraph"/>
              <w:numPr>
                <w:ilvl w:val="1"/>
                <w:numId w:val="29"/>
              </w:numPr>
              <w:overflowPunct/>
              <w:autoSpaceDE/>
              <w:adjustRightInd/>
              <w:spacing w:after="120"/>
              <w:ind w:firstLineChars="0"/>
              <w:textAlignment w:val="auto"/>
              <w:rPr>
                <w:rFonts w:eastAsia="MS Mincho"/>
                <w:color w:val="0070C0"/>
                <w:sz w:val="24"/>
                <w:szCs w:val="24"/>
                <w:lang w:eastAsia="sv-SE"/>
              </w:rPr>
            </w:pPr>
            <w:r>
              <w:rPr>
                <w:color w:val="0070C0"/>
                <w:szCs w:val="21"/>
                <w:lang w:eastAsia="sv-SE"/>
              </w:rPr>
              <w:t xml:space="preserve">In early candidate cell’s TCI state activation delay for known TCI state case: </w:t>
            </w:r>
            <w:r>
              <w:rPr>
                <w:rFonts w:eastAsia="Malgun Gothic"/>
                <w:color w:val="0070C0"/>
                <w:lang w:val="en-US" w:eastAsia="sv-SE"/>
              </w:rPr>
              <w:t>T</w:t>
            </w:r>
            <w:r>
              <w:rPr>
                <w:rFonts w:eastAsia="Malgun Gothic"/>
                <w:color w:val="0070C0"/>
                <w:vertAlign w:val="subscript"/>
                <w:lang w:val="en-US" w:eastAsia="sv-SE"/>
              </w:rPr>
              <w:t>first-SSB</w:t>
            </w:r>
            <w:r>
              <w:rPr>
                <w:color w:val="0070C0"/>
                <w:lang w:eastAsia="sv-SE"/>
              </w:rPr>
              <w:t xml:space="preserve"> is the time to the first SSB occasion overlapped with MGL after</w:t>
            </w:r>
            <w:r>
              <w:rPr>
                <w:rFonts w:eastAsia="Malgun Gothic"/>
                <w:color w:val="0070C0"/>
                <w:lang w:val="en-US" w:eastAsia="sv-SE"/>
              </w:rPr>
              <w:t xml:space="preserve"> </w:t>
            </w:r>
            <w:r>
              <w:rPr>
                <w:color w:val="0070C0"/>
                <w:lang w:val="en-US" w:eastAsia="sv-SE"/>
              </w:rPr>
              <w:t>slot n</w:t>
            </w:r>
            <w:r>
              <w:rPr>
                <w:rFonts w:eastAsia="Malgun Gothic"/>
                <w:color w:val="0070C0"/>
                <w:lang w:val="en-US" w:eastAsia="sv-SE"/>
              </w:rPr>
              <w:t xml:space="preserve"> + T</w:t>
            </w:r>
            <w:r>
              <w:rPr>
                <w:rFonts w:eastAsia="Malgun Gothic"/>
                <w:color w:val="0070C0"/>
                <w:vertAlign w:val="subscript"/>
                <w:lang w:val="en-US" w:eastAsia="sv-SE"/>
              </w:rPr>
              <w:t>HARQ</w:t>
            </w:r>
            <w:r>
              <w:rPr>
                <w:rFonts w:eastAsia="Malgun Gothic"/>
                <w:color w:val="0070C0"/>
                <w:lang w:val="en-US" w:eastAsia="sv-SE"/>
              </w:rPr>
              <w:t xml:space="preserve"> +</w:t>
            </w:r>
            <m:oMath>
              <m:sSubSup>
                <m:sSubSupPr>
                  <m:ctrlPr>
                    <w:rPr>
                      <w:rFonts w:ascii="Cambria Math" w:eastAsia="MS Mincho" w:hAnsi="Cambria Math" w:cs="宋体"/>
                      <w:color w:val="0070C0"/>
                      <w:sz w:val="24"/>
                      <w:szCs w:val="24"/>
                      <w:lang w:eastAsia="sv-SE"/>
                    </w:rPr>
                  </m:ctrlPr>
                </m:sSubSupPr>
                <m:e>
                  <m:r>
                    <m:rPr>
                      <m:sty m:val="b"/>
                    </m:rPr>
                    <w:rPr>
                      <w:rFonts w:ascii="Cambria Math" w:hAnsi="Cambria Math"/>
                      <w:color w:val="0070C0"/>
                      <w:lang w:val="en-US" w:eastAsia="sv-SE"/>
                    </w:rPr>
                    <m:t>3N</m:t>
                  </m:r>
                </m:e>
                <m:sub>
                  <m:r>
                    <m:rPr>
                      <m:sty m:val="b"/>
                    </m:rPr>
                    <w:rPr>
                      <w:rFonts w:ascii="Cambria Math" w:hAnsi="Cambria Math"/>
                      <w:color w:val="0070C0"/>
                      <w:lang w:val="en-US" w:eastAsia="sv-SE"/>
                    </w:rPr>
                    <m:t>slot</m:t>
                  </m:r>
                </m:sub>
                <m:sup>
                  <m:r>
                    <m:rPr>
                      <m:sty m:val="b"/>
                    </m:rPr>
                    <w:rPr>
                      <w:rFonts w:ascii="Cambria Math" w:hAnsi="Cambria Math"/>
                      <w:color w:val="0070C0"/>
                      <w:lang w:val="en-US" w:eastAsia="sv-SE"/>
                    </w:rPr>
                    <m:t>subframe,µ</m:t>
                  </m:r>
                </m:sup>
              </m:sSubSup>
            </m:oMath>
            <w:r>
              <w:rPr>
                <w:rFonts w:eastAsia="Malgun Gothic"/>
                <w:color w:val="0070C0"/>
                <w:lang w:eastAsia="sv-SE"/>
              </w:rPr>
              <w:t xml:space="preserve"> + [2ms] </w:t>
            </w:r>
            <w:r>
              <w:rPr>
                <w:rFonts w:eastAsiaTheme="minorEastAsia"/>
                <w:color w:val="0070C0"/>
                <w:lang w:eastAsia="sv-SE"/>
              </w:rPr>
              <w:t>if the SSB needs to be measured with MG</w:t>
            </w:r>
            <w:r>
              <w:rPr>
                <w:color w:val="0070C0"/>
                <w:lang w:eastAsia="sv-SE"/>
              </w:rPr>
              <w:t>.</w:t>
            </w:r>
          </w:p>
          <w:p w14:paraId="029C3B26" w14:textId="77777777" w:rsidR="00E75A01" w:rsidRDefault="00E75A01" w:rsidP="00E75A01">
            <w:pPr>
              <w:pStyle w:val="ListParagraph"/>
              <w:numPr>
                <w:ilvl w:val="2"/>
                <w:numId w:val="29"/>
              </w:numPr>
              <w:overflowPunct/>
              <w:autoSpaceDE/>
              <w:adjustRightInd/>
              <w:spacing w:after="120"/>
              <w:ind w:firstLineChars="0"/>
              <w:textAlignment w:val="auto"/>
              <w:rPr>
                <w:color w:val="0070C0"/>
                <w:lang w:eastAsia="sv-SE"/>
              </w:rPr>
            </w:pPr>
            <w:r>
              <w:rPr>
                <w:color w:val="0070C0"/>
                <w:lang w:eastAsia="sv-SE"/>
              </w:rPr>
              <w:t>FFS: this is only applicable to UE supporting inter-frequency L1 measurement with MG.</w:t>
            </w:r>
          </w:p>
          <w:p w14:paraId="3E95D554" w14:textId="77777777" w:rsidR="00E75A01" w:rsidRDefault="00E75A01" w:rsidP="00E75A01">
            <w:pPr>
              <w:pStyle w:val="ListParagraph"/>
              <w:numPr>
                <w:ilvl w:val="1"/>
                <w:numId w:val="29"/>
              </w:numPr>
              <w:overflowPunct/>
              <w:autoSpaceDE/>
              <w:adjustRightInd/>
              <w:spacing w:after="120"/>
              <w:ind w:firstLineChars="0"/>
              <w:textAlignment w:val="auto"/>
              <w:rPr>
                <w:lang w:eastAsia="sv-SE"/>
              </w:rPr>
            </w:pPr>
            <w:r>
              <w:rPr>
                <w:color w:val="0070C0"/>
                <w:lang w:eastAsia="sv-SE"/>
              </w:rPr>
              <w:t>Same agreement applies to the definition of T</w:t>
            </w:r>
            <w:r>
              <w:rPr>
                <w:color w:val="0070C0"/>
                <w:vertAlign w:val="subscript"/>
                <w:lang w:eastAsia="sv-SE"/>
              </w:rPr>
              <w:t>first-SSB</w:t>
            </w:r>
            <w:r>
              <w:rPr>
                <w:color w:val="0070C0"/>
                <w:lang w:eastAsia="sv-SE"/>
              </w:rPr>
              <w:t xml:space="preserve"> in PDCCH order RACH delay requirement.</w:t>
            </w:r>
          </w:p>
        </w:tc>
      </w:tr>
    </w:tbl>
    <w:p w14:paraId="68C342E0" w14:textId="364780C1" w:rsidR="00E75A01" w:rsidRDefault="00E75A01" w:rsidP="00E75A01">
      <w:pPr>
        <w:overflowPunct/>
        <w:autoSpaceDE/>
        <w:adjustRightInd/>
        <w:spacing w:after="120"/>
        <w:textAlignment w:val="auto"/>
        <w:rPr>
          <w:rFonts w:eastAsia="宋体"/>
          <w:lang w:eastAsia="zh-CN"/>
        </w:rPr>
      </w:pPr>
    </w:p>
    <w:p w14:paraId="5827C9F5" w14:textId="78EA7FF6" w:rsidR="00E75A01" w:rsidRPr="00967E6B" w:rsidRDefault="00E75A01" w:rsidP="00E75A01">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hint="eastAsia"/>
          <w:lang w:eastAsia="zh-CN"/>
        </w:rPr>
        <w:t>FFS</w:t>
      </w:r>
      <w:r w:rsidRPr="00967E6B">
        <w:rPr>
          <w:rFonts w:eastAsia="宋体"/>
          <w:lang w:eastAsia="zh-CN"/>
        </w:rPr>
        <w:t xml:space="preserve"> </w:t>
      </w:r>
      <w:r w:rsidRPr="00967E6B">
        <w:rPr>
          <w:rFonts w:eastAsia="宋体" w:hint="eastAsia"/>
          <w:lang w:eastAsia="zh-CN"/>
        </w:rPr>
        <w:t>t</w:t>
      </w:r>
      <w:r w:rsidRPr="00967E6B">
        <w:rPr>
          <w:rFonts w:eastAsia="宋体"/>
          <w:lang w:eastAsia="zh-CN"/>
        </w:rPr>
        <w:t>he following options:</w:t>
      </w:r>
    </w:p>
    <w:p w14:paraId="25E97C25" w14:textId="5953641A"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1 (Apple, MTK</w:t>
      </w:r>
      <w:r w:rsidR="008F0685">
        <w:rPr>
          <w:rFonts w:eastAsia="宋体"/>
        </w:rPr>
        <w:t>, Ericsson</w:t>
      </w:r>
      <w:r w:rsidRPr="00967E6B">
        <w:rPr>
          <w:rFonts w:eastAsia="宋体"/>
        </w:rPr>
        <w:t xml:space="preserve">): </w:t>
      </w:r>
    </w:p>
    <w:p w14:paraId="094C5915" w14:textId="552AF95E" w:rsidR="00E75A01" w:rsidRPr="003F13E9" w:rsidRDefault="00E75A01" w:rsidP="003F13E9">
      <w:pPr>
        <w:pStyle w:val="ListParagraph"/>
        <w:numPr>
          <w:ilvl w:val="2"/>
          <w:numId w:val="29"/>
        </w:numPr>
        <w:ind w:firstLineChars="0"/>
      </w:pPr>
      <w:r w:rsidRPr="00967E6B">
        <w:t xml:space="preserve">remove </w:t>
      </w:r>
      <w:r w:rsidR="003F13E9">
        <w:t>“</w:t>
      </w:r>
      <w:r w:rsidR="003F13E9" w:rsidRPr="003F13E9">
        <w:t>FFS: this is only applicable to UE supporting inter-frequency L1 measurement with MG</w:t>
      </w:r>
      <w:r w:rsidR="003F13E9">
        <w:t xml:space="preserve">” </w:t>
      </w:r>
      <w:r w:rsidRPr="00967E6B">
        <w:t>in definition of T</w:t>
      </w:r>
      <w:r w:rsidRPr="003F13E9">
        <w:rPr>
          <w:vertAlign w:val="subscript"/>
        </w:rPr>
        <w:t>SSB</w:t>
      </w:r>
      <w:r w:rsidRPr="00967E6B">
        <w:t xml:space="preserve"> in PDCCH ordered RACH and early TCI activation requirements.</w:t>
      </w:r>
    </w:p>
    <w:p w14:paraId="5102329A"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2 (ZTE, vivo):</w:t>
      </w:r>
    </w:p>
    <w:p w14:paraId="5C5C0BB8" w14:textId="77777777" w:rsidR="00E75A01" w:rsidRPr="00967E6B" w:rsidRDefault="00E75A01" w:rsidP="00E75A01">
      <w:pPr>
        <w:pStyle w:val="ListParagraph"/>
        <w:numPr>
          <w:ilvl w:val="2"/>
          <w:numId w:val="29"/>
        </w:numPr>
        <w:overflowPunct/>
        <w:autoSpaceDE/>
        <w:adjustRightInd/>
        <w:spacing w:after="120"/>
        <w:ind w:left="2376" w:firstLineChars="0"/>
        <w:textAlignment w:val="auto"/>
        <w:rPr>
          <w:rFonts w:eastAsia="MS Mincho"/>
        </w:rPr>
      </w:pPr>
      <w:r w:rsidRPr="00967E6B">
        <w:t>Confirm the FFS</w:t>
      </w:r>
      <w:r w:rsidRPr="00967E6B">
        <w:rPr>
          <w:rFonts w:eastAsiaTheme="minorEastAsia"/>
          <w:lang w:val="en-US"/>
        </w:rPr>
        <w:t>.</w:t>
      </w:r>
    </w:p>
    <w:p w14:paraId="177C7EC6" w14:textId="77777777" w:rsidR="00F96F47" w:rsidRPr="00F96F47" w:rsidRDefault="00F96F47" w:rsidP="00F96F47">
      <w:pPr>
        <w:spacing w:afterLines="50" w:after="120"/>
        <w:rPr>
          <w:rFonts w:eastAsiaTheme="minorEastAsia"/>
          <w:bCs/>
          <w:i/>
          <w:iCs/>
          <w:color w:val="0070C0"/>
          <w:sz w:val="21"/>
          <w:szCs w:val="21"/>
          <w:lang w:eastAsia="zh-CN"/>
        </w:rPr>
      </w:pPr>
    </w:p>
    <w:p w14:paraId="691C5E02" w14:textId="77777777" w:rsidR="00574157" w:rsidRDefault="00574157" w:rsidP="00574157">
      <w:pPr>
        <w:rPr>
          <w:b/>
          <w:bCs/>
          <w:color w:val="000000"/>
          <w:szCs w:val="24"/>
          <w:u w:val="single"/>
          <w:lang w:eastAsia="en-US"/>
        </w:rPr>
      </w:pPr>
      <w:r>
        <w:rPr>
          <w:b/>
          <w:u w:val="single"/>
          <w:lang w:eastAsia="ko-KR"/>
        </w:rPr>
        <w:t xml:space="preserve">Issue 1-2-3: </w:t>
      </w:r>
      <w:r>
        <w:rPr>
          <w:b/>
          <w:bCs/>
          <w:color w:val="000000"/>
          <w:szCs w:val="24"/>
          <w:u w:val="single"/>
        </w:rPr>
        <w:t xml:space="preserve">Whether and how to support unknown TCI state in </w:t>
      </w:r>
      <w:r>
        <w:rPr>
          <w:b/>
          <w:bCs/>
          <w:color w:val="000000"/>
          <w:szCs w:val="24"/>
          <w:highlight w:val="yellow"/>
          <w:u w:val="single"/>
        </w:rPr>
        <w:t>FR2</w:t>
      </w:r>
      <w:r>
        <w:rPr>
          <w:b/>
          <w:bCs/>
          <w:color w:val="000000"/>
          <w:szCs w:val="24"/>
          <w:u w:val="single"/>
        </w:rPr>
        <w:t xml:space="preserve"> for early TCI state activation</w:t>
      </w:r>
    </w:p>
    <w:p w14:paraId="4B490377" w14:textId="391500C3" w:rsidR="0042323F" w:rsidRPr="00574157" w:rsidRDefault="00574157" w:rsidP="00574157">
      <w:pPr>
        <w:spacing w:beforeLines="50" w:before="120" w:afterLines="50" w:after="120"/>
        <w:rPr>
          <w:i/>
          <w:iCs/>
          <w:color w:val="0070C0"/>
          <w:sz w:val="18"/>
          <w:szCs w:val="18"/>
          <w:lang w:eastAsia="zh-CN"/>
        </w:rPr>
      </w:pPr>
      <w:r w:rsidRPr="00574157">
        <w:rPr>
          <w:i/>
          <w:iCs/>
          <w:color w:val="0070C0"/>
          <w:sz w:val="18"/>
          <w:szCs w:val="18"/>
          <w:lang w:eastAsia="zh-CN"/>
        </w:rPr>
        <w:t>Online Agreement:</w:t>
      </w:r>
    </w:p>
    <w:p w14:paraId="50EAE1AF" w14:textId="77777777" w:rsidR="00574157" w:rsidRPr="00574157" w:rsidRDefault="00574157" w:rsidP="00574157">
      <w:pPr>
        <w:spacing w:afterLines="50" w:after="120"/>
        <w:rPr>
          <w:bCs/>
          <w:sz w:val="21"/>
          <w:szCs w:val="21"/>
          <w:lang w:eastAsia="zh-CN"/>
        </w:rPr>
      </w:pPr>
      <w:r w:rsidRPr="00574157">
        <w:rPr>
          <w:bCs/>
          <w:sz w:val="21"/>
          <w:szCs w:val="21"/>
          <w:lang w:eastAsia="zh-CN"/>
        </w:rPr>
        <w:t xml:space="preserve">&lt; </w:t>
      </w:r>
      <w:r w:rsidRPr="00574157">
        <w:rPr>
          <w:b/>
        </w:rPr>
        <w:t>Agreement</w:t>
      </w:r>
      <w:r w:rsidRPr="00574157">
        <w:rPr>
          <w:bCs/>
          <w:sz w:val="21"/>
          <w:szCs w:val="21"/>
          <w:lang w:eastAsia="zh-CN"/>
        </w:rPr>
        <w:t>&gt;:</w:t>
      </w:r>
    </w:p>
    <w:p w14:paraId="17B5028A" w14:textId="77777777" w:rsidR="00574157" w:rsidRPr="00574157" w:rsidRDefault="00574157" w:rsidP="00574157">
      <w:pPr>
        <w:pStyle w:val="ListParagraph"/>
        <w:numPr>
          <w:ilvl w:val="1"/>
          <w:numId w:val="29"/>
        </w:numPr>
        <w:overflowPunct/>
        <w:autoSpaceDE/>
        <w:adjustRightInd/>
        <w:spacing w:after="120"/>
        <w:ind w:left="1440" w:firstLineChars="0"/>
        <w:textAlignment w:val="auto"/>
        <w:rPr>
          <w:rFonts w:eastAsia="宋体"/>
        </w:rPr>
      </w:pPr>
      <w:r w:rsidRPr="00574157">
        <w:rPr>
          <w:rFonts w:eastAsia="宋体"/>
        </w:rPr>
        <w:t>Not to define requirements of SSB based early TCI state activation delay for FR2 unknown TCI state case.</w:t>
      </w:r>
    </w:p>
    <w:p w14:paraId="3241F707" w14:textId="77777777" w:rsidR="002868B4" w:rsidRDefault="002868B4" w:rsidP="002868B4">
      <w:pPr>
        <w:rPr>
          <w:b/>
          <w:u w:val="single"/>
          <w:lang w:eastAsia="ko-KR"/>
        </w:rPr>
      </w:pPr>
    </w:p>
    <w:p w14:paraId="61EFC3BB" w14:textId="3BD33FC3" w:rsidR="002868B4" w:rsidRPr="002868B4" w:rsidRDefault="002868B4" w:rsidP="002868B4">
      <w:pPr>
        <w:rPr>
          <w:b/>
          <w:u w:val="single"/>
          <w:lang w:eastAsia="ko-KR"/>
        </w:rPr>
      </w:pPr>
      <w:r w:rsidRPr="002868B4">
        <w:rPr>
          <w:b/>
          <w:u w:val="single"/>
          <w:lang w:eastAsia="ko-KR"/>
        </w:rPr>
        <w:t>Issue 1-2-5: Conditions to support unknown TCI state in FR1 for early TCI state activation</w:t>
      </w:r>
    </w:p>
    <w:p w14:paraId="1A481CA5" w14:textId="77777777" w:rsidR="002868B4" w:rsidRDefault="002868B4" w:rsidP="002868B4">
      <w:pPr>
        <w:rPr>
          <w:rFonts w:eastAsiaTheme="minorEastAsia"/>
          <w:bCs/>
          <w:i/>
          <w:iCs/>
          <w:color w:val="0070C0"/>
          <w:lang w:eastAsia="zh-CN"/>
        </w:rPr>
      </w:pPr>
      <w:r>
        <w:rPr>
          <w:rFonts w:eastAsiaTheme="minorEastAsia"/>
          <w:bCs/>
          <w:i/>
          <w:iCs/>
          <w:color w:val="0070C0"/>
          <w:lang w:eastAsia="zh-CN"/>
        </w:rPr>
        <w:t>RAN4#111</w:t>
      </w:r>
    </w:p>
    <w:tbl>
      <w:tblPr>
        <w:tblStyle w:val="TableGrid"/>
        <w:tblW w:w="0" w:type="auto"/>
        <w:tblLook w:val="04A0" w:firstRow="1" w:lastRow="0" w:firstColumn="1" w:lastColumn="0" w:noHBand="0" w:noVBand="1"/>
      </w:tblPr>
      <w:tblGrid>
        <w:gridCol w:w="9631"/>
      </w:tblGrid>
      <w:tr w:rsidR="002868B4" w14:paraId="61B319B0" w14:textId="77777777" w:rsidTr="002868B4">
        <w:tc>
          <w:tcPr>
            <w:tcW w:w="9631" w:type="dxa"/>
            <w:tcBorders>
              <w:top w:val="single" w:sz="4" w:space="0" w:color="auto"/>
              <w:left w:val="single" w:sz="4" w:space="0" w:color="auto"/>
              <w:bottom w:val="single" w:sz="4" w:space="0" w:color="auto"/>
              <w:right w:val="single" w:sz="4" w:space="0" w:color="auto"/>
            </w:tcBorders>
            <w:hideMark/>
          </w:tcPr>
          <w:p w14:paraId="5B7F930C" w14:textId="77777777" w:rsidR="002868B4" w:rsidRDefault="002868B4">
            <w:pPr>
              <w:spacing w:afterLines="50" w:after="120"/>
              <w:rPr>
                <w:rFonts w:eastAsia="Yu Mincho"/>
                <w:bCs/>
                <w:color w:val="0070C0"/>
                <w:lang w:eastAsia="zh-CN"/>
              </w:rPr>
            </w:pPr>
            <w:r>
              <w:rPr>
                <w:bCs/>
                <w:color w:val="0070C0"/>
                <w:lang w:eastAsia="zh-CN"/>
              </w:rPr>
              <w:t>&lt;</w:t>
            </w:r>
            <w:r>
              <w:rPr>
                <w:b/>
                <w:color w:val="0070C0"/>
                <w:sz w:val="18"/>
                <w:szCs w:val="18"/>
              </w:rPr>
              <w:t xml:space="preserve"> Agreement</w:t>
            </w:r>
            <w:r>
              <w:rPr>
                <w:bCs/>
                <w:color w:val="0070C0"/>
                <w:lang w:eastAsia="zh-CN"/>
              </w:rPr>
              <w:t xml:space="preserve">&gt;: </w:t>
            </w:r>
          </w:p>
          <w:p w14:paraId="48391A89" w14:textId="77777777" w:rsidR="002868B4" w:rsidRDefault="002868B4">
            <w:pPr>
              <w:spacing w:afterLines="50" w:after="120"/>
              <w:rPr>
                <w:rFonts w:eastAsiaTheme="minorEastAsia"/>
                <w:color w:val="0070C0"/>
                <w:lang w:eastAsia="zh-CN"/>
              </w:rPr>
            </w:pPr>
            <w:r>
              <w:rPr>
                <w:color w:val="0070C0"/>
                <w:sz w:val="18"/>
                <w:szCs w:val="22"/>
              </w:rPr>
              <w:t xml:space="preserve">Unknown TCI state in FR1 for early TCI state activation is supported with the following conditions: </w:t>
            </w:r>
          </w:p>
          <w:p w14:paraId="51BBD82E" w14:textId="77777777" w:rsidR="002868B4" w:rsidRDefault="002868B4" w:rsidP="002868B4">
            <w:pPr>
              <w:pStyle w:val="ListParagraph"/>
              <w:numPr>
                <w:ilvl w:val="1"/>
                <w:numId w:val="29"/>
              </w:numPr>
              <w:spacing w:after="120"/>
              <w:ind w:firstLineChars="0"/>
              <w:textAlignment w:val="auto"/>
              <w:rPr>
                <w:rFonts w:eastAsia="宋体"/>
                <w:color w:val="0070C0"/>
                <w:sz w:val="18"/>
                <w:szCs w:val="22"/>
                <w:lang w:eastAsia="zh-CN"/>
              </w:rPr>
            </w:pPr>
            <w:r>
              <w:rPr>
                <w:rFonts w:eastAsia="宋体"/>
                <w:color w:val="0070C0"/>
                <w:sz w:val="18"/>
                <w:szCs w:val="22"/>
                <w:lang w:eastAsia="zh-CN"/>
              </w:rPr>
              <w:t xml:space="preserve">UE has reported </w:t>
            </w:r>
            <w:r>
              <w:rPr>
                <w:rFonts w:eastAsia="宋体"/>
                <w:color w:val="0070C0"/>
                <w:sz w:val="18"/>
                <w:szCs w:val="22"/>
                <w:highlight w:val="yellow"/>
                <w:lang w:eastAsia="zh-CN"/>
              </w:rPr>
              <w:t>beam-level L3 measurement result</w:t>
            </w:r>
            <w:r>
              <w:rPr>
                <w:rFonts w:eastAsia="宋体"/>
                <w:color w:val="0070C0"/>
                <w:sz w:val="18"/>
                <w:szCs w:val="22"/>
                <w:lang w:eastAsia="zh-CN"/>
              </w:rPr>
              <w:t xml:space="preserve"> of the associated SSB of the TCI state within </w:t>
            </w:r>
            <w:r>
              <w:rPr>
                <w:rFonts w:eastAsia="宋体"/>
                <w:color w:val="0070C0"/>
                <w:sz w:val="18"/>
                <w:szCs w:val="22"/>
                <w:highlight w:val="yellow"/>
                <w:lang w:eastAsia="zh-CN"/>
              </w:rPr>
              <w:t>[1280ms or 5 seconds]</w:t>
            </w:r>
            <w:r>
              <w:rPr>
                <w:rFonts w:eastAsia="宋体"/>
                <w:color w:val="0070C0"/>
                <w:sz w:val="18"/>
                <w:szCs w:val="22"/>
                <w:lang w:eastAsia="zh-CN"/>
              </w:rPr>
              <w:t xml:space="preserve"> before the LTM TCI state activation command.</w:t>
            </w:r>
          </w:p>
          <w:p w14:paraId="2E613175" w14:textId="77777777" w:rsidR="002868B4" w:rsidRDefault="002868B4" w:rsidP="002868B4">
            <w:pPr>
              <w:pStyle w:val="ListParagraph"/>
              <w:numPr>
                <w:ilvl w:val="1"/>
                <w:numId w:val="29"/>
              </w:numPr>
              <w:spacing w:after="120"/>
              <w:ind w:firstLineChars="0"/>
              <w:textAlignment w:val="auto"/>
              <w:rPr>
                <w:rFonts w:eastAsia="宋体"/>
                <w:szCs w:val="24"/>
                <w:lang w:eastAsia="zh-CN"/>
              </w:rPr>
            </w:pPr>
            <w:r>
              <w:rPr>
                <w:rFonts w:eastAsia="宋体"/>
                <w:color w:val="0070C0"/>
                <w:sz w:val="18"/>
                <w:szCs w:val="22"/>
                <w:lang w:eastAsia="zh-CN"/>
              </w:rPr>
              <w:t>SNR of the associated SSB is above -3dB.</w:t>
            </w:r>
          </w:p>
        </w:tc>
      </w:tr>
    </w:tbl>
    <w:p w14:paraId="2EED5A04" w14:textId="6FEF3FF2" w:rsidR="002868B4" w:rsidRPr="00417D83" w:rsidRDefault="00417D83" w:rsidP="002868B4">
      <w:pPr>
        <w:rPr>
          <w:rFonts w:eastAsiaTheme="minorEastAsia"/>
          <w:bCs/>
          <w:i/>
          <w:iCs/>
          <w:color w:val="0070C0"/>
          <w:lang w:eastAsia="zh-CN"/>
        </w:rPr>
      </w:pPr>
      <w:r w:rsidRPr="00417D83">
        <w:rPr>
          <w:rFonts w:eastAsiaTheme="minorEastAsia"/>
          <w:bCs/>
          <w:i/>
          <w:iCs/>
          <w:color w:val="0070C0"/>
          <w:lang w:eastAsia="zh-CN"/>
        </w:rPr>
        <w:t>Online agreement</w:t>
      </w:r>
    </w:p>
    <w:p w14:paraId="1954AAB8" w14:textId="23D10B29" w:rsidR="008E1D1A" w:rsidRDefault="002868B4" w:rsidP="008E1D1A">
      <w:pPr>
        <w:overflowPunct/>
        <w:autoSpaceDE/>
        <w:adjustRightInd/>
        <w:spacing w:after="120"/>
        <w:rPr>
          <w:rFonts w:eastAsia="宋体"/>
          <w:szCs w:val="24"/>
          <w:lang w:eastAsia="zh-CN"/>
        </w:rPr>
      </w:pPr>
      <w:r w:rsidRPr="002868B4">
        <w:rPr>
          <w:rFonts w:eastAsia="PMingLiU"/>
          <w:szCs w:val="24"/>
          <w:lang w:eastAsia="zh-TW"/>
        </w:rPr>
        <w:t>&lt;</w:t>
      </w:r>
      <w:r w:rsidRPr="002868B4">
        <w:rPr>
          <w:rFonts w:eastAsia="PMingLiU"/>
          <w:b/>
          <w:bCs/>
          <w:szCs w:val="24"/>
          <w:lang w:eastAsia="zh-TW"/>
        </w:rPr>
        <w:t xml:space="preserve"> </w:t>
      </w:r>
      <w:r w:rsidR="008E1D1A">
        <w:rPr>
          <w:b/>
        </w:rPr>
        <w:t>Agreement</w:t>
      </w:r>
      <w:r w:rsidRPr="002868B4">
        <w:rPr>
          <w:rFonts w:eastAsia="宋体"/>
          <w:b/>
          <w:bCs/>
          <w:szCs w:val="24"/>
        </w:rPr>
        <w:t xml:space="preserve"> </w:t>
      </w:r>
      <w:r w:rsidRPr="002868B4">
        <w:rPr>
          <w:rFonts w:eastAsia="PMingLiU"/>
          <w:szCs w:val="24"/>
          <w:lang w:eastAsia="zh-TW"/>
        </w:rPr>
        <w:t xml:space="preserve">&gt; </w:t>
      </w:r>
    </w:p>
    <w:p w14:paraId="280B5DB9" w14:textId="79A02D6C" w:rsidR="002868B4" w:rsidRDefault="008E1D1A" w:rsidP="002868B4">
      <w:pPr>
        <w:pStyle w:val="ListParagraph"/>
        <w:numPr>
          <w:ilvl w:val="1"/>
          <w:numId w:val="29"/>
        </w:numPr>
        <w:overflowPunct/>
        <w:autoSpaceDE/>
        <w:adjustRightInd/>
        <w:spacing w:after="120"/>
        <w:ind w:left="1440" w:firstLineChars="0"/>
        <w:textAlignment w:val="auto"/>
        <w:rPr>
          <w:rFonts w:eastAsia="宋体"/>
          <w:szCs w:val="24"/>
          <w:lang w:eastAsia="zh-CN"/>
        </w:rPr>
      </w:pPr>
      <w:r w:rsidRPr="008E1D1A">
        <w:t>Unknown TCI state in FR1 for early TCI state activation is supported with the following conditions:</w:t>
      </w:r>
    </w:p>
    <w:p w14:paraId="3161E183" w14:textId="0EB2BA42" w:rsidR="002868B4" w:rsidRDefault="002868B4" w:rsidP="008E1D1A">
      <w:pPr>
        <w:pStyle w:val="ListParagraph"/>
        <w:numPr>
          <w:ilvl w:val="2"/>
          <w:numId w:val="29"/>
        </w:numPr>
        <w:spacing w:after="120"/>
        <w:ind w:firstLineChars="0"/>
        <w:textAlignment w:val="auto"/>
      </w:pPr>
      <w:r>
        <w:t xml:space="preserve">UE has reported L3 measurement result with the associated SSB index of the TCI state within </w:t>
      </w:r>
      <w:r w:rsidR="008E1D1A">
        <w:t>5s</w:t>
      </w:r>
      <w:r>
        <w:t xml:space="preserve"> before the LTM TCI state activation command.</w:t>
      </w:r>
    </w:p>
    <w:p w14:paraId="13153B34" w14:textId="77777777" w:rsidR="002868B4" w:rsidRDefault="002868B4" w:rsidP="008E1D1A">
      <w:pPr>
        <w:pStyle w:val="ListParagraph"/>
        <w:numPr>
          <w:ilvl w:val="2"/>
          <w:numId w:val="29"/>
        </w:numPr>
        <w:overflowPunct/>
        <w:autoSpaceDE/>
        <w:adjustRightInd/>
        <w:spacing w:after="120"/>
        <w:ind w:firstLineChars="0"/>
        <w:textAlignment w:val="auto"/>
      </w:pPr>
      <w:r>
        <w:lastRenderedPageBreak/>
        <w:t>SNR of the associated SSB is above -3dB.</w:t>
      </w:r>
    </w:p>
    <w:p w14:paraId="4DADCFD1" w14:textId="77777777" w:rsidR="00574157" w:rsidRPr="00574157" w:rsidRDefault="00574157">
      <w:pPr>
        <w:overflowPunct/>
        <w:autoSpaceDE/>
        <w:autoSpaceDN/>
        <w:adjustRightInd/>
        <w:spacing w:after="120"/>
        <w:textAlignment w:val="auto"/>
        <w:rPr>
          <w:rFonts w:eastAsia="宋体"/>
          <w:szCs w:val="24"/>
          <w:lang w:val="en-US" w:eastAsia="zh-CN"/>
        </w:rPr>
      </w:pPr>
    </w:p>
    <w:p w14:paraId="4E6996B5" w14:textId="4BA91DF3" w:rsidR="00B53655" w:rsidRDefault="00B53655" w:rsidP="00B53655">
      <w:pPr>
        <w:pStyle w:val="Heading2"/>
        <w:overflowPunct/>
        <w:autoSpaceDE/>
        <w:adjustRightInd/>
        <w:rPr>
          <w:rFonts w:eastAsia="宋体"/>
          <w:sz w:val="24"/>
          <w:szCs w:val="24"/>
          <w:lang w:eastAsia="en-US"/>
        </w:rPr>
      </w:pPr>
      <w:r>
        <w:rPr>
          <w:rFonts w:eastAsia="宋体"/>
          <w:sz w:val="24"/>
          <w:szCs w:val="24"/>
          <w:lang w:eastAsia="en-US"/>
        </w:rPr>
        <w:t xml:space="preserve">1.3 Sub-topic 1-3 </w:t>
      </w:r>
      <w:r w:rsidR="00CD1067" w:rsidRPr="00CD1067">
        <w:rPr>
          <w:sz w:val="24"/>
          <w:szCs w:val="16"/>
          <w:lang w:val="en-US"/>
        </w:rPr>
        <w:t>L1-RSRP Measurement</w:t>
      </w:r>
    </w:p>
    <w:p w14:paraId="6320AAF8" w14:textId="77777777" w:rsidR="00CD1067" w:rsidRPr="00CD1067" w:rsidRDefault="00CD1067" w:rsidP="00CD1067">
      <w:pPr>
        <w:spacing w:afterLines="50" w:after="120"/>
        <w:rPr>
          <w:b/>
          <w:u w:val="single"/>
          <w:lang w:eastAsia="en-US"/>
        </w:rPr>
      </w:pPr>
      <w:bookmarkStart w:id="3" w:name="_Hlk166669343"/>
      <w:r w:rsidRPr="00CD1067">
        <w:rPr>
          <w:b/>
          <w:u w:val="single"/>
        </w:rPr>
        <w:t>Issue 1-3-1: Measurement period of serving cell L1-RSRP measurement</w:t>
      </w:r>
    </w:p>
    <w:p w14:paraId="7EECDD72" w14:textId="123AF43B" w:rsidR="00502981" w:rsidRPr="00CD1067" w:rsidRDefault="00CD1067" w:rsidP="00CD1067">
      <w:pPr>
        <w:spacing w:after="120"/>
        <w:rPr>
          <w:rFonts w:eastAsia="宋体"/>
          <w:szCs w:val="24"/>
          <w:lang w:eastAsia="zh-CN"/>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&gt; </w:t>
      </w:r>
    </w:p>
    <w:p w14:paraId="514ED6BA" w14:textId="6EECE50D" w:rsidR="00502981" w:rsidRPr="00CD1067" w:rsidRDefault="00CD1067" w:rsidP="00CD1067">
      <w:pPr>
        <w:pStyle w:val="ListParagraph"/>
        <w:numPr>
          <w:ilvl w:val="1"/>
          <w:numId w:val="29"/>
        </w:numPr>
        <w:overflowPunct/>
        <w:autoSpaceDE/>
        <w:adjustRightInd/>
        <w:spacing w:after="120"/>
        <w:ind w:left="1440" w:firstLineChars="0"/>
        <w:textAlignment w:val="auto"/>
        <w:rPr>
          <w:rFonts w:eastAsia="宋体"/>
          <w:szCs w:val="24"/>
          <w:lang w:eastAsia="zh-CN"/>
        </w:rPr>
      </w:pPr>
      <w:r w:rsidRPr="00CD1067">
        <w:rPr>
          <w:rFonts w:eastAsia="宋体"/>
          <w:szCs w:val="24"/>
          <w:lang w:eastAsia="zh-CN"/>
        </w:rPr>
        <w:t>RAN4 not to modify the serving cell measurement period by scaling it with</w:t>
      </w:r>
      <w:r>
        <w:rPr>
          <w:rFonts w:eastAsia="宋体"/>
          <w:szCs w:val="24"/>
          <w:lang w:eastAsia="zh-CN"/>
        </w:rPr>
        <w:t xml:space="preserve"> </w:t>
      </w:r>
      <w:proofErr w:type="spellStart"/>
      <w:r>
        <w:t>N</w:t>
      </w:r>
      <w:r w:rsidRPr="00CD1067">
        <w:rPr>
          <w:vertAlign w:val="subscript"/>
        </w:rPr>
        <w:t>Layer</w:t>
      </w:r>
      <w:proofErr w:type="spellEnd"/>
      <w:r>
        <w:t xml:space="preserve"> for UE supporting RTD &gt; CP.</w:t>
      </w:r>
    </w:p>
    <w:bookmarkEnd w:id="3"/>
    <w:p w14:paraId="5A98A1EF" w14:textId="653D2079" w:rsidR="00502981" w:rsidRDefault="00502981" w:rsidP="00AA26B6">
      <w:pPr>
        <w:overflowPunct/>
        <w:autoSpaceDE/>
        <w:adjustRightInd/>
        <w:spacing w:after="120"/>
        <w:textAlignment w:val="auto"/>
        <w:rPr>
          <w:rFonts w:eastAsia="宋体"/>
          <w:szCs w:val="24"/>
          <w:lang w:eastAsia="zh-CN"/>
        </w:rPr>
      </w:pPr>
    </w:p>
    <w:p w14:paraId="211E6D9D" w14:textId="77777777" w:rsidR="007A17DD" w:rsidRDefault="007A17DD" w:rsidP="007A17DD">
      <w:pPr>
        <w:spacing w:afterLines="50" w:after="120"/>
        <w:rPr>
          <w:b/>
          <w:u w:val="single"/>
          <w:lang w:eastAsia="en-US"/>
        </w:rPr>
      </w:pPr>
      <w:r>
        <w:rPr>
          <w:b/>
          <w:u w:val="single"/>
        </w:rPr>
        <w:t xml:space="preserve">Issue 1-3-2: Measurement period of </w:t>
      </w:r>
      <w:proofErr w:type="spellStart"/>
      <w:r>
        <w:rPr>
          <w:b/>
          <w:highlight w:val="yellow"/>
          <w:u w:val="single"/>
        </w:rPr>
        <w:t>neighbor</w:t>
      </w:r>
      <w:proofErr w:type="spellEnd"/>
      <w:r>
        <w:rPr>
          <w:b/>
          <w:u w:val="single"/>
        </w:rPr>
        <w:t xml:space="preserve"> cell L1-RSRP measurement</w:t>
      </w:r>
    </w:p>
    <w:p w14:paraId="1795CF1D" w14:textId="23846721" w:rsidR="007A17DD" w:rsidRDefault="007A17DD" w:rsidP="007A17DD">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0AD8C920" w14:textId="77777777" w:rsidR="007A17DD" w:rsidRPr="007A17DD" w:rsidRDefault="007A17DD" w:rsidP="007A17DD">
      <w:pPr>
        <w:pStyle w:val="ListParagraph"/>
        <w:numPr>
          <w:ilvl w:val="1"/>
          <w:numId w:val="29"/>
        </w:numPr>
        <w:overflowPunct/>
        <w:autoSpaceDE/>
        <w:adjustRightInd/>
        <w:spacing w:after="120"/>
        <w:ind w:left="1440" w:firstLineChars="0"/>
        <w:textAlignment w:val="auto"/>
        <w:rPr>
          <w:rFonts w:eastAsia="宋体"/>
          <w:szCs w:val="24"/>
          <w:lang w:eastAsia="zh-CN"/>
        </w:rPr>
      </w:pPr>
      <w:r w:rsidRPr="007A17DD">
        <w:rPr>
          <w:rFonts w:eastAsia="宋体"/>
          <w:szCs w:val="24"/>
          <w:lang w:eastAsia="zh-CN"/>
        </w:rPr>
        <w:t xml:space="preserve">Consider </w:t>
      </w:r>
      <w:proofErr w:type="gramStart"/>
      <w:r w:rsidRPr="007A17DD">
        <w:rPr>
          <w:rFonts w:eastAsia="宋体"/>
          <w:szCs w:val="24"/>
          <w:lang w:eastAsia="zh-CN"/>
        </w:rPr>
        <w:t>to revisit</w:t>
      </w:r>
      <w:proofErr w:type="gramEnd"/>
      <w:r w:rsidRPr="007A17DD">
        <w:rPr>
          <w:rFonts w:eastAsia="宋体"/>
          <w:szCs w:val="24"/>
          <w:lang w:eastAsia="zh-CN"/>
        </w:rPr>
        <w:t xml:space="preserve"> the agreements for L1 RSRP measurement on neighbour cell, e.g., either follow the logic of serving cell L1-RSRP measurement or L3 intra-frequency measurement.</w:t>
      </w:r>
    </w:p>
    <w:p w14:paraId="337FBB8E" w14:textId="77777777" w:rsidR="007A17DD" w:rsidRDefault="007A17DD" w:rsidP="007A17DD">
      <w:pPr>
        <w:overflowPunct/>
        <w:autoSpaceDE/>
        <w:adjustRightInd/>
        <w:spacing w:after="120"/>
        <w:rPr>
          <w:rFonts w:eastAsia="宋体"/>
          <w:szCs w:val="24"/>
          <w:lang w:eastAsia="zh-CN"/>
        </w:rPr>
      </w:pPr>
    </w:p>
    <w:p w14:paraId="4D3D9525" w14:textId="77777777" w:rsidR="00C52168" w:rsidRDefault="00C52168" w:rsidP="00C52168">
      <w:pPr>
        <w:spacing w:afterLines="50" w:after="120"/>
        <w:rPr>
          <w:b/>
          <w:u w:val="single"/>
          <w:lang w:eastAsia="en-US"/>
        </w:rPr>
      </w:pPr>
      <w:r>
        <w:rPr>
          <w:b/>
          <w:u w:val="single"/>
        </w:rPr>
        <w:t>Issue 1-3-3: L1 report for unmeasured candidate cells</w:t>
      </w:r>
    </w:p>
    <w:p w14:paraId="49BEB39E" w14:textId="7AB83F17" w:rsidR="00C52168" w:rsidRDefault="00C52168" w:rsidP="00C52168">
      <w:pPr>
        <w:spacing w:after="120"/>
        <w:rPr>
          <w:rFonts w:eastAsia="宋体"/>
          <w:szCs w:val="24"/>
          <w:lang w:eastAsia="zh-CN"/>
        </w:rPr>
      </w:pPr>
      <w:r>
        <w:rPr>
          <w:rFonts w:eastAsia="PMingLiU"/>
          <w:szCs w:val="24"/>
          <w:lang w:eastAsia="zh-TW"/>
        </w:rPr>
        <w:t>&lt;</w:t>
      </w:r>
      <w:r>
        <w:rPr>
          <w:rFonts w:eastAsia="PMingLiU"/>
          <w:b/>
          <w:bCs/>
          <w:szCs w:val="24"/>
          <w:lang w:eastAsia="zh-TW"/>
        </w:rPr>
        <w:t xml:space="preserve"> Agreement</w:t>
      </w:r>
      <w:r>
        <w:rPr>
          <w:rFonts w:eastAsia="PMingLiU"/>
          <w:szCs w:val="24"/>
          <w:lang w:eastAsia="zh-TW"/>
        </w:rPr>
        <w:t xml:space="preserve">&gt; </w:t>
      </w:r>
    </w:p>
    <w:p w14:paraId="73C2507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Use DIFFRSRP_15 in Table 10.1.6.1-2 for measurement reporting of differential values for unmeasured LTM L1-RSRP resources. </w:t>
      </w:r>
    </w:p>
    <w:p w14:paraId="3024D0C0" w14:textId="77777777" w:rsidR="007A17DD" w:rsidRDefault="007A17DD" w:rsidP="00AA26B6">
      <w:pPr>
        <w:overflowPunct/>
        <w:autoSpaceDE/>
        <w:adjustRightInd/>
        <w:spacing w:after="120"/>
        <w:textAlignment w:val="auto"/>
        <w:rPr>
          <w:rFonts w:eastAsia="宋体"/>
          <w:szCs w:val="24"/>
          <w:lang w:eastAsia="zh-CN"/>
        </w:rPr>
      </w:pPr>
    </w:p>
    <w:p w14:paraId="0DCDDF04" w14:textId="77777777" w:rsidR="00C52168" w:rsidRDefault="00C52168" w:rsidP="00C52168">
      <w:pPr>
        <w:spacing w:afterLines="50" w:after="120"/>
        <w:rPr>
          <w:b/>
          <w:u w:val="single"/>
          <w:lang w:eastAsia="en-US"/>
        </w:rPr>
      </w:pPr>
      <w:r>
        <w:rPr>
          <w:b/>
          <w:u w:val="single"/>
        </w:rPr>
        <w:t>Issue 1-3-4: Spec organization</w:t>
      </w:r>
    </w:p>
    <w:p w14:paraId="2CFF4E6D" w14:textId="77777777" w:rsidR="00C52168" w:rsidRDefault="00C52168" w:rsidP="00C52168">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58F03B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p>
    <w:p w14:paraId="7A8DE069" w14:textId="77777777" w:rsid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Capture all intra-frequency LTM L1 measurement requirements, including serving cell L1 measurement requirements, in 9.14. </w:t>
      </w:r>
    </w:p>
    <w:p w14:paraId="2CD77A46" w14:textId="2E75FC68" w:rsidR="00C52168" w:rsidRP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The impact to serving cell L1 measurement, which is configured by CSI-ResourceConfig, due to Rx beam sharing with neighbour cell LTM L1 measurement is captured by </w:t>
      </w:r>
      <w:r>
        <w:rPr>
          <w:rFonts w:eastAsiaTheme="minorEastAsia"/>
          <w:bCs/>
          <w:color w:val="000000"/>
          <w:lang w:eastAsia="zh-CN"/>
        </w:rPr>
        <w:t>P</w:t>
      </w:r>
      <w:r>
        <w:rPr>
          <w:rFonts w:eastAsiaTheme="minorEastAsia"/>
          <w:bCs/>
          <w:color w:val="000000"/>
          <w:vertAlign w:val="subscript"/>
          <w:lang w:eastAsia="zh-CN"/>
        </w:rPr>
        <w:t>L1_sharing</w:t>
      </w:r>
      <w:r>
        <w:rPr>
          <w:rFonts w:eastAsiaTheme="minorEastAsia"/>
          <w:bCs/>
          <w:color w:val="000000"/>
          <w:lang w:eastAsia="zh-CN"/>
        </w:rPr>
        <w:t xml:space="preserve"> </w:t>
      </w:r>
      <w:r>
        <w:rPr>
          <w:rFonts w:eastAsia="宋体"/>
          <w:szCs w:val="24"/>
          <w:lang w:eastAsia="zh-CN"/>
        </w:rPr>
        <w:t>in 9.5.4.1.</w:t>
      </w:r>
    </w:p>
    <w:p w14:paraId="197D7064" w14:textId="77777777" w:rsidR="00B53655" w:rsidRDefault="00B53655">
      <w:pPr>
        <w:overflowPunct/>
        <w:autoSpaceDE/>
        <w:autoSpaceDN/>
        <w:adjustRightInd/>
        <w:spacing w:after="120"/>
        <w:textAlignment w:val="auto"/>
        <w:rPr>
          <w:rFonts w:eastAsia="宋体"/>
          <w:szCs w:val="24"/>
          <w:lang w:eastAsia="zh-CN"/>
        </w:rPr>
      </w:pPr>
    </w:p>
    <w:p w14:paraId="01FFB072" w14:textId="265F1915" w:rsidR="001F6EC5" w:rsidRDefault="001F6EC5" w:rsidP="001F6EC5">
      <w:pPr>
        <w:pStyle w:val="Heading2"/>
        <w:overflowPunct/>
        <w:autoSpaceDE/>
        <w:adjustRightInd/>
        <w:rPr>
          <w:sz w:val="24"/>
          <w:szCs w:val="16"/>
          <w:lang w:val="en-US"/>
        </w:rPr>
      </w:pPr>
      <w:r>
        <w:rPr>
          <w:rFonts w:eastAsia="宋体"/>
          <w:sz w:val="24"/>
          <w:szCs w:val="24"/>
          <w:lang w:eastAsia="en-US"/>
        </w:rPr>
        <w:t>1.4 Sub-topic 1-</w:t>
      </w:r>
      <w:r w:rsidR="00463A25">
        <w:rPr>
          <w:rFonts w:eastAsia="宋体"/>
          <w:sz w:val="24"/>
          <w:szCs w:val="24"/>
          <w:lang w:eastAsia="en-US"/>
        </w:rPr>
        <w:t>4</w:t>
      </w:r>
      <w:r>
        <w:rPr>
          <w:rFonts w:eastAsia="宋体"/>
          <w:sz w:val="24"/>
          <w:szCs w:val="24"/>
          <w:lang w:eastAsia="en-US"/>
        </w:rPr>
        <w:t xml:space="preserve"> </w:t>
      </w:r>
      <w:r w:rsidR="00463A25" w:rsidRPr="00463A25">
        <w:rPr>
          <w:sz w:val="24"/>
          <w:szCs w:val="16"/>
          <w:lang w:val="en-US"/>
        </w:rPr>
        <w:t xml:space="preserve">Cell switch delay requirements for </w:t>
      </w:r>
      <w:proofErr w:type="spellStart"/>
      <w:r w:rsidR="00463A25" w:rsidRPr="00463A25">
        <w:rPr>
          <w:sz w:val="24"/>
          <w:szCs w:val="16"/>
          <w:lang w:val="en-US"/>
        </w:rPr>
        <w:t>Pcell</w:t>
      </w:r>
      <w:proofErr w:type="spellEnd"/>
      <w:r w:rsidR="00463A25" w:rsidRPr="00463A25">
        <w:rPr>
          <w:sz w:val="24"/>
          <w:szCs w:val="16"/>
          <w:lang w:val="en-US"/>
        </w:rPr>
        <w:t>/</w:t>
      </w:r>
      <w:proofErr w:type="spellStart"/>
      <w:r w:rsidR="00463A25" w:rsidRPr="00463A25">
        <w:rPr>
          <w:sz w:val="24"/>
          <w:szCs w:val="16"/>
          <w:lang w:val="en-US"/>
        </w:rPr>
        <w:t>PSCell</w:t>
      </w:r>
      <w:proofErr w:type="spellEnd"/>
    </w:p>
    <w:p w14:paraId="4FEE503C" w14:textId="2BF86344" w:rsidR="00463A25" w:rsidRDefault="00463A25" w:rsidP="00463A25">
      <w:pPr>
        <w:pStyle w:val="Heading4"/>
        <w:rPr>
          <w:bCs/>
        </w:rPr>
      </w:pPr>
      <w:r>
        <w:rPr>
          <w:bCs/>
        </w:rPr>
        <w:t xml:space="preserve">1.4.1 T/F fine tracking: </w:t>
      </w:r>
      <w:r w:rsidR="00B214ED">
        <w:rPr>
          <w:lang w:eastAsia="ja-JP"/>
        </w:rPr>
        <w:t>T</w:t>
      </w:r>
      <w:r w:rsidR="00B214ED">
        <w:rPr>
          <w:vertAlign w:val="subscript"/>
          <w:lang w:eastAsia="ja-JP"/>
        </w:rPr>
        <w:t>first-</w:t>
      </w:r>
      <w:r w:rsidR="003A7B11">
        <w:rPr>
          <w:vertAlign w:val="subscript"/>
          <w:lang w:eastAsia="ja-JP"/>
        </w:rPr>
        <w:t>RS</w:t>
      </w:r>
      <w:r>
        <w:rPr>
          <w:bCs/>
        </w:rPr>
        <w:t xml:space="preserve"> and T</w:t>
      </w:r>
      <w:r>
        <w:rPr>
          <w:bCs/>
          <w:vertAlign w:val="subscript"/>
        </w:rPr>
        <w:t>margin</w:t>
      </w:r>
    </w:p>
    <w:p w14:paraId="2124EA28" w14:textId="77777777" w:rsidR="003514EB" w:rsidRDefault="003514EB" w:rsidP="003514EB">
      <w:pPr>
        <w:spacing w:afterLines="50" w:after="120"/>
        <w:rPr>
          <w:b/>
          <w:u w:val="single"/>
        </w:rPr>
      </w:pPr>
      <w:r>
        <w:rPr>
          <w:b/>
          <w:u w:val="single"/>
        </w:rPr>
        <w:t>Issue 1-4-1-1: T/F tracking when TRS as QCL source in cell switch delay</w:t>
      </w:r>
    </w:p>
    <w:p w14:paraId="0108140B" w14:textId="77777777"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Ad hoc agreement</w:t>
      </w:r>
    </w:p>
    <w:p w14:paraId="2037D2BB" w14:textId="20594C6A" w:rsidR="003514EB" w:rsidRPr="003514EB" w:rsidRDefault="003514EB" w:rsidP="003514EB">
      <w:pPr>
        <w:rPr>
          <w:lang w:eastAsia="en-US"/>
        </w:rPr>
      </w:pPr>
      <w:r>
        <w:rPr>
          <w:rFonts w:eastAsia="宋体"/>
          <w:b/>
          <w:bCs/>
          <w:szCs w:val="24"/>
        </w:rPr>
        <w:t>&lt;</w:t>
      </w:r>
      <w:r>
        <w:rPr>
          <w:b/>
        </w:rPr>
        <w:t>Agreement</w:t>
      </w:r>
      <w:r>
        <w:rPr>
          <w:rFonts w:eastAsia="宋体"/>
          <w:b/>
          <w:bCs/>
          <w:szCs w:val="24"/>
        </w:rPr>
        <w:t>&gt;:</w:t>
      </w:r>
    </w:p>
    <w:p w14:paraId="189C0D61" w14:textId="77777777"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Confirm current cell switch delay requirements are applicable to the case that TRS is configured as a QCL source in the indicated TCI state in cell switch command.</w:t>
      </w:r>
    </w:p>
    <w:p w14:paraId="35B9F39E" w14:textId="11B430AE"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 xml:space="preserve">FFS whether </w:t>
      </w:r>
      <w:proofErr w:type="spellStart"/>
      <w:r w:rsidRPr="003514EB">
        <w:rPr>
          <w:lang w:eastAsia="ja-JP"/>
        </w:rPr>
        <w:t>T</w:t>
      </w:r>
      <w:r w:rsidRPr="003514EB">
        <w:rPr>
          <w:vertAlign w:val="subscript"/>
          <w:lang w:eastAsia="ja-JP"/>
        </w:rPr>
        <w:t>first-ssb</w:t>
      </w:r>
      <w:proofErr w:type="spellEnd"/>
      <w:r w:rsidRPr="003514EB">
        <w:t xml:space="preserve"> in cell switch delay requirements need to be up</w:t>
      </w:r>
      <w:r w:rsidR="00967E6B">
        <w:t>d</w:t>
      </w:r>
      <w:r w:rsidRPr="003514EB">
        <w:t>ated, e.g. based on TRS.</w:t>
      </w:r>
    </w:p>
    <w:p w14:paraId="07F3D35F" w14:textId="77777777" w:rsidR="00193013" w:rsidRDefault="00193013" w:rsidP="00F53FA3">
      <w:pPr>
        <w:spacing w:afterLines="50" w:after="120"/>
        <w:rPr>
          <w:b/>
          <w:u w:val="single"/>
        </w:rPr>
      </w:pPr>
    </w:p>
    <w:p w14:paraId="507793D2" w14:textId="4AE32AF5" w:rsidR="00F53FA3" w:rsidRPr="00F53FA3" w:rsidRDefault="00F53FA3" w:rsidP="00F53FA3">
      <w:pPr>
        <w:spacing w:afterLines="50" w:after="120"/>
        <w:rPr>
          <w:b/>
          <w:u w:val="single"/>
          <w:lang w:eastAsia="en-US"/>
        </w:rPr>
      </w:pPr>
      <w:r w:rsidRPr="00F53FA3">
        <w:rPr>
          <w:b/>
          <w:u w:val="single"/>
        </w:rPr>
        <w:t xml:space="preserve">Issue 1-4-1-2: Conditions of </w:t>
      </w:r>
      <w:r w:rsidRPr="00F53FA3">
        <w:rPr>
          <w:rFonts w:eastAsiaTheme="minorEastAsia"/>
          <w:b/>
          <w:u w:val="single"/>
        </w:rPr>
        <w:t>T</w:t>
      </w:r>
      <w:r w:rsidRPr="00F53FA3">
        <w:rPr>
          <w:rFonts w:eastAsiaTheme="minorEastAsia"/>
          <w:b/>
          <w:u w:val="single"/>
          <w:vertAlign w:val="subscript"/>
        </w:rPr>
        <w:t>first-RS</w:t>
      </w:r>
      <w:r w:rsidRPr="00F53FA3">
        <w:rPr>
          <w:b/>
          <w:u w:val="single"/>
        </w:rPr>
        <w:t xml:space="preserve"> =0 in cell switch delay</w:t>
      </w:r>
    </w:p>
    <w:p w14:paraId="57B03079" w14:textId="77777777" w:rsidR="00F53FA3" w:rsidRDefault="00F53FA3" w:rsidP="00F53FA3">
      <w:pPr>
        <w:spacing w:beforeLines="50" w:before="120" w:afterLines="50" w:after="120"/>
        <w:rPr>
          <w:i/>
          <w:iCs/>
          <w:color w:val="0070C0"/>
          <w:sz w:val="18"/>
          <w:szCs w:val="18"/>
          <w:lang w:eastAsia="zh-CN"/>
        </w:rPr>
      </w:pPr>
      <w:r>
        <w:rPr>
          <w:i/>
          <w:iCs/>
          <w:color w:val="0070C0"/>
          <w:sz w:val="18"/>
          <w:szCs w:val="18"/>
          <w:lang w:eastAsia="zh-CN"/>
        </w:rPr>
        <w:t>Ad hoc agreement</w:t>
      </w:r>
    </w:p>
    <w:p w14:paraId="1D40893F" w14:textId="77777777" w:rsidR="00F53FA3" w:rsidRDefault="00F53FA3" w:rsidP="00F53FA3">
      <w:pPr>
        <w:rPr>
          <w:lang w:eastAsia="en-US"/>
        </w:rPr>
      </w:pPr>
      <w:r>
        <w:rPr>
          <w:rFonts w:eastAsia="宋体"/>
          <w:b/>
          <w:bCs/>
          <w:szCs w:val="24"/>
        </w:rPr>
        <w:t>&lt;</w:t>
      </w:r>
      <w:r>
        <w:rPr>
          <w:b/>
        </w:rPr>
        <w:t>Agreement</w:t>
      </w:r>
      <w:r>
        <w:rPr>
          <w:rFonts w:eastAsia="宋体"/>
          <w:b/>
          <w:bCs/>
          <w:szCs w:val="24"/>
        </w:rPr>
        <w:t>&gt;:</w:t>
      </w:r>
    </w:p>
    <w:p w14:paraId="7BD0729D" w14:textId="77777777" w:rsidR="003E4B52" w:rsidRDefault="003E4B52" w:rsidP="003E4B52">
      <w:pPr>
        <w:pStyle w:val="ListParagraph"/>
        <w:numPr>
          <w:ilvl w:val="0"/>
          <w:numId w:val="30"/>
        </w:numPr>
        <w:spacing w:after="0"/>
        <w:ind w:firstLineChars="0"/>
        <w:textAlignment w:val="auto"/>
        <w:rPr>
          <w:lang w:eastAsia="ja-JP"/>
        </w:rPr>
      </w:pPr>
      <w:r w:rsidRPr="003E4B52">
        <w:rPr>
          <w:rFonts w:eastAsiaTheme="minorEastAsia"/>
          <w:bCs/>
        </w:rPr>
        <w:t xml:space="preserve">For cell switch with L1 measurement: </w:t>
      </w:r>
      <w:r w:rsidRPr="003E4B52">
        <w:t>Extend the condition for T</w:t>
      </w:r>
      <w:r w:rsidRPr="003E4B52">
        <w:rPr>
          <w:vertAlign w:val="subscript"/>
        </w:rPr>
        <w:t xml:space="preserve">first-RS </w:t>
      </w:r>
      <w:r w:rsidRPr="003E4B52">
        <w:t>= 0 “the time gap between receiving the LTM candidate cell TCI state activation MAC-CE and the cell switch command is not more than [160 ms]” from the agreed 160 ms, to TCI state activation delay stated in section 8.25.3 + 160 ms.</w:t>
      </w:r>
    </w:p>
    <w:p w14:paraId="04DA3B4D" w14:textId="77777777" w:rsidR="008F0685" w:rsidRPr="003E4B52" w:rsidRDefault="008F0685" w:rsidP="008F0685">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if </w:t>
      </w:r>
    </w:p>
    <w:p w14:paraId="6C1555A4" w14:textId="43219CB7" w:rsidR="008F0685" w:rsidRPr="003E4B52" w:rsidRDefault="008F0685" w:rsidP="00306361">
      <w:pPr>
        <w:pStyle w:val="ListParagraph"/>
        <w:numPr>
          <w:ilvl w:val="2"/>
          <w:numId w:val="30"/>
        </w:numPr>
        <w:spacing w:after="0"/>
        <w:ind w:firstLineChars="0"/>
        <w:textAlignment w:val="auto"/>
        <w:rPr>
          <w:lang w:eastAsia="ja-JP"/>
        </w:rPr>
      </w:pPr>
      <w:r w:rsidRPr="003E4B52">
        <w:rPr>
          <w:rFonts w:eastAsiaTheme="minorEastAsia"/>
          <w:bCs/>
        </w:rPr>
        <w:t>the time gap between completion of TCI activation and cell switch command is larger than 480ms</w:t>
      </w:r>
    </w:p>
    <w:p w14:paraId="114D860F" w14:textId="4CABCE40" w:rsidR="00CF7F3C" w:rsidRDefault="00CF7F3C" w:rsidP="00306361">
      <w:pPr>
        <w:pStyle w:val="ListParagraph"/>
        <w:numPr>
          <w:ilvl w:val="2"/>
          <w:numId w:val="30"/>
        </w:numPr>
        <w:spacing w:after="0"/>
        <w:ind w:firstLineChars="0"/>
        <w:textAlignment w:val="auto"/>
        <w:rPr>
          <w:lang w:eastAsia="ja-JP"/>
        </w:rPr>
      </w:pPr>
      <w:r>
        <w:rPr>
          <w:lang w:eastAsia="ja-JP"/>
        </w:rPr>
        <w:t xml:space="preserve">Note: This is not to extent 160ms to 480ms </w:t>
      </w:r>
      <w:proofErr w:type="gramStart"/>
      <w:r>
        <w:rPr>
          <w:lang w:eastAsia="ja-JP"/>
        </w:rPr>
        <w:t>directly, but</w:t>
      </w:r>
      <w:proofErr w:type="gramEnd"/>
      <w:r>
        <w:rPr>
          <w:lang w:eastAsia="ja-JP"/>
        </w:rPr>
        <w:t xml:space="preserve"> requires UE to perform multiple times of T/F tracking in 480ms duration.</w:t>
      </w:r>
    </w:p>
    <w:p w14:paraId="089AFA31" w14:textId="7271C2DD" w:rsidR="003E4B52" w:rsidRPr="003E4B52" w:rsidRDefault="003E4B52" w:rsidP="003E4B52">
      <w:pPr>
        <w:pStyle w:val="ListParagraph"/>
        <w:numPr>
          <w:ilvl w:val="1"/>
          <w:numId w:val="30"/>
        </w:numPr>
        <w:spacing w:after="0"/>
        <w:ind w:firstLineChars="0"/>
        <w:textAlignment w:val="auto"/>
        <w:rPr>
          <w:lang w:eastAsia="ja-JP"/>
        </w:rPr>
      </w:pPr>
      <w:r w:rsidRPr="003E4B52">
        <w:t>Discuss the wording in CR.</w:t>
      </w:r>
    </w:p>
    <w:p w14:paraId="5F844C28" w14:textId="77777777" w:rsidR="003E4B52" w:rsidRPr="003E4B52" w:rsidRDefault="003E4B52" w:rsidP="003E4B52">
      <w:pPr>
        <w:pStyle w:val="ListParagraph"/>
        <w:spacing w:after="0"/>
        <w:ind w:left="840" w:firstLineChars="0" w:firstLine="0"/>
        <w:textAlignment w:val="auto"/>
        <w:rPr>
          <w:lang w:eastAsia="ja-JP"/>
        </w:rPr>
      </w:pPr>
    </w:p>
    <w:p w14:paraId="3C7CD64F" w14:textId="77777777" w:rsidR="003E4B52" w:rsidRPr="003E4B52" w:rsidRDefault="003E4B52" w:rsidP="003E4B52">
      <w:pPr>
        <w:pStyle w:val="ListParagraph"/>
        <w:numPr>
          <w:ilvl w:val="0"/>
          <w:numId w:val="30"/>
        </w:numPr>
        <w:spacing w:after="0"/>
        <w:ind w:firstLineChars="0"/>
        <w:textAlignment w:val="auto"/>
        <w:rPr>
          <w:rFonts w:eastAsiaTheme="minorEastAsia"/>
          <w:bCs/>
          <w:lang w:eastAsia="zh-CN"/>
        </w:rPr>
      </w:pPr>
      <w:r w:rsidRPr="003E4B52">
        <w:rPr>
          <w:rFonts w:eastAsiaTheme="minorEastAsia"/>
          <w:bCs/>
        </w:rPr>
        <w:lastRenderedPageBreak/>
        <w:t>FFS the following assumption</w:t>
      </w:r>
    </w:p>
    <w:p w14:paraId="1C366A7F" w14:textId="77777777" w:rsidR="003E4B52" w:rsidRPr="003E4B52" w:rsidRDefault="003E4B52" w:rsidP="003E4B52">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if </w:t>
      </w:r>
    </w:p>
    <w:p w14:paraId="1448E322" w14:textId="6B7FC2AF"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the time gap between early RACH transmission and cell switch command is larger than [</w:t>
      </w:r>
      <w:r w:rsidR="008F0685">
        <w:rPr>
          <w:rFonts w:eastAsiaTheme="minorEastAsia"/>
          <w:bCs/>
        </w:rPr>
        <w:t>160</w:t>
      </w:r>
      <w:r w:rsidRPr="003E4B52">
        <w:rPr>
          <w:rFonts w:eastAsiaTheme="minorEastAsia"/>
          <w:bCs/>
        </w:rPr>
        <w:t>ms] and the L3 measurement interval is larger than 160 ms.</w:t>
      </w:r>
    </w:p>
    <w:p w14:paraId="77532646" w14:textId="77777777" w:rsidR="001F6EC5" w:rsidRDefault="001F6EC5">
      <w:pPr>
        <w:overflowPunct/>
        <w:autoSpaceDE/>
        <w:autoSpaceDN/>
        <w:adjustRightInd/>
        <w:spacing w:after="120"/>
        <w:textAlignment w:val="auto"/>
        <w:rPr>
          <w:rFonts w:eastAsia="宋体"/>
          <w:szCs w:val="24"/>
          <w:lang w:eastAsia="zh-CN"/>
        </w:rPr>
      </w:pPr>
    </w:p>
    <w:p w14:paraId="1786F20C" w14:textId="5ED76AB8" w:rsidR="00D3225C" w:rsidRPr="00D3225C" w:rsidRDefault="00D3225C" w:rsidP="00D3225C">
      <w:pPr>
        <w:pStyle w:val="Heading4"/>
        <w:rPr>
          <w:bCs/>
          <w:lang w:val="en-US"/>
        </w:rPr>
      </w:pPr>
      <w:r>
        <w:rPr>
          <w:bCs/>
        </w:rPr>
        <w:t xml:space="preserve">1.4.2 </w:t>
      </w:r>
      <w:r w:rsidRPr="00D3225C">
        <w:rPr>
          <w:bCs/>
        </w:rPr>
        <w:t>Conditions of no extra time for PL-RS measurement in cell switch delay</w:t>
      </w:r>
    </w:p>
    <w:p w14:paraId="690CE3A5" w14:textId="77777777" w:rsidR="00C41907" w:rsidRDefault="00C41907" w:rsidP="00C41907">
      <w:pPr>
        <w:spacing w:afterLines="50" w:after="120"/>
        <w:rPr>
          <w:b/>
          <w:u w:val="single"/>
          <w:lang w:eastAsia="en-US"/>
        </w:rPr>
      </w:pPr>
      <w:bookmarkStart w:id="4" w:name="_Hlk150988712"/>
      <w:r w:rsidRPr="00193013">
        <w:rPr>
          <w:b/>
          <w:u w:val="single"/>
        </w:rPr>
        <w:t>Issue 1-4-2-1:</w:t>
      </w:r>
      <w:r w:rsidRPr="00193013">
        <w:rPr>
          <w:u w:val="single"/>
        </w:rPr>
        <w:t xml:space="preserve"> </w:t>
      </w:r>
      <w:r w:rsidRPr="00193013">
        <w:rPr>
          <w:b/>
          <w:u w:val="single"/>
        </w:rPr>
        <w:t>Conditions of no extra time for PL-RS measurement in cell switch delay</w:t>
      </w:r>
      <w:bookmarkEnd w:id="4"/>
    </w:p>
    <w:p w14:paraId="184024E9" w14:textId="77777777" w:rsidR="00C41907" w:rsidRPr="00967E6B" w:rsidRDefault="00C41907" w:rsidP="00C41907">
      <w:pPr>
        <w:rPr>
          <w:lang w:eastAsia="en-US"/>
        </w:rPr>
      </w:pPr>
      <w:r w:rsidRPr="00967E6B">
        <w:rPr>
          <w:rFonts w:eastAsia="宋体"/>
          <w:b/>
          <w:bCs/>
        </w:rPr>
        <w:t>&lt;</w:t>
      </w:r>
      <w:r w:rsidRPr="00967E6B">
        <w:rPr>
          <w:b/>
        </w:rPr>
        <w:t>Agreement</w:t>
      </w:r>
      <w:r w:rsidRPr="00967E6B">
        <w:rPr>
          <w:rFonts w:eastAsia="宋体"/>
          <w:b/>
          <w:bCs/>
        </w:rPr>
        <w:t>&gt;:</w:t>
      </w:r>
    </w:p>
    <w:p w14:paraId="038EBF5F" w14:textId="77777777" w:rsidR="00F81D70" w:rsidRPr="00967E6B" w:rsidRDefault="00F81D70" w:rsidP="00F81D70">
      <w:pPr>
        <w:numPr>
          <w:ilvl w:val="1"/>
          <w:numId w:val="29"/>
        </w:numPr>
        <w:snapToGrid w:val="0"/>
        <w:spacing w:after="120"/>
        <w:ind w:left="1656"/>
        <w:jc w:val="both"/>
        <w:textAlignment w:val="auto"/>
        <w:rPr>
          <w:rFonts w:eastAsia="等线"/>
          <w:bCs/>
          <w:lang w:val="en-US" w:eastAsia="zh-CN"/>
        </w:rPr>
      </w:pPr>
      <w:r w:rsidRPr="00967E6B">
        <w:rPr>
          <w:rFonts w:eastAsia="等线"/>
          <w:bCs/>
          <w:lang w:val="en-US" w:eastAsia="zh-CN"/>
        </w:rPr>
        <w:t>No additional PL-RS measurement time is needed, provided L3-RSRP or L1-RSRP on the SSB associated with PL-RS has been measured/reported.</w:t>
      </w:r>
    </w:p>
    <w:p w14:paraId="1650620D" w14:textId="1F5C9E33" w:rsidR="00F81D70" w:rsidRDefault="00F81D70" w:rsidP="00F81D70">
      <w:pPr>
        <w:numPr>
          <w:ilvl w:val="2"/>
          <w:numId w:val="29"/>
        </w:numPr>
        <w:snapToGrid w:val="0"/>
        <w:spacing w:after="120"/>
        <w:ind w:left="2376"/>
        <w:jc w:val="both"/>
        <w:textAlignment w:val="auto"/>
        <w:rPr>
          <w:rFonts w:eastAsia="等线"/>
          <w:bCs/>
          <w:lang w:val="en-US" w:eastAsia="zh-CN"/>
        </w:rPr>
      </w:pPr>
      <w:r w:rsidRPr="00967E6B">
        <w:rPr>
          <w:rFonts w:eastAsia="等线"/>
          <w:bCs/>
          <w:lang w:val="en-US" w:eastAsia="zh-CN"/>
        </w:rPr>
        <w:t>PL-RS is associated with TCI state indicated by LTM cell switch command in terms of QCL chain.</w:t>
      </w:r>
    </w:p>
    <w:p w14:paraId="638E8B4D" w14:textId="0BCC24D2" w:rsidR="00FD6185" w:rsidRPr="00967E6B" w:rsidRDefault="00FD6185" w:rsidP="00FD6185">
      <w:pPr>
        <w:numPr>
          <w:ilvl w:val="1"/>
          <w:numId w:val="29"/>
        </w:numPr>
        <w:snapToGrid w:val="0"/>
        <w:spacing w:after="120"/>
        <w:ind w:left="1656"/>
        <w:jc w:val="both"/>
        <w:textAlignment w:val="auto"/>
        <w:rPr>
          <w:rFonts w:eastAsia="等线"/>
          <w:bCs/>
          <w:lang w:val="en-US" w:eastAsia="zh-CN"/>
        </w:rPr>
      </w:pPr>
      <w:r>
        <w:rPr>
          <w:rFonts w:eastAsia="等线"/>
          <w:bCs/>
          <w:lang w:val="en-US" w:eastAsia="zh-CN"/>
        </w:rPr>
        <w:t>Further discuss the wording in the CR next meeting.</w:t>
      </w:r>
    </w:p>
    <w:p w14:paraId="26B39C8D" w14:textId="77777777" w:rsidR="00D1052D" w:rsidRPr="00F81D70" w:rsidRDefault="00D1052D">
      <w:pPr>
        <w:overflowPunct/>
        <w:autoSpaceDE/>
        <w:autoSpaceDN/>
        <w:adjustRightInd/>
        <w:spacing w:after="120"/>
        <w:textAlignment w:val="auto"/>
        <w:rPr>
          <w:rFonts w:eastAsia="宋体"/>
          <w:szCs w:val="24"/>
          <w:lang w:val="en-US" w:eastAsia="zh-CN"/>
        </w:rPr>
      </w:pPr>
    </w:p>
    <w:p w14:paraId="73FEA400" w14:textId="52F59CCA" w:rsidR="009601D6" w:rsidRPr="00306361" w:rsidRDefault="009601D6" w:rsidP="009601D6">
      <w:pPr>
        <w:pStyle w:val="Heading4"/>
        <w:rPr>
          <w:bCs/>
          <w:lang w:val="en-US"/>
        </w:rPr>
      </w:pPr>
      <w:r>
        <w:rPr>
          <w:bCs/>
        </w:rPr>
        <w:t xml:space="preserve">1.4.3 </w:t>
      </w:r>
      <w:r w:rsidRPr="009601D6">
        <w:rPr>
          <w:bCs/>
        </w:rPr>
        <w:t xml:space="preserve">Conditions of </w:t>
      </w:r>
      <w:r>
        <w:rPr>
          <w:bCs/>
        </w:rPr>
        <w:t>Fast RRC</w:t>
      </w:r>
      <w:r w:rsidRPr="009601D6">
        <w:rPr>
          <w:bCs/>
        </w:rPr>
        <w:t xml:space="preserve"> decoding </w:t>
      </w:r>
    </w:p>
    <w:p w14:paraId="70902894" w14:textId="77777777" w:rsidR="009601D6" w:rsidRDefault="009601D6" w:rsidP="009601D6">
      <w:pPr>
        <w:rPr>
          <w:b/>
          <w:u w:val="single"/>
          <w:lang w:eastAsia="en-US"/>
        </w:rPr>
      </w:pPr>
      <w:r>
        <w:rPr>
          <w:b/>
          <w:u w:val="single"/>
          <w:lang w:eastAsia="ko-KR"/>
        </w:rPr>
        <w:t xml:space="preserve">Issue 1-4-3-1: Which cell(s) </w:t>
      </w:r>
      <w:r>
        <w:rPr>
          <w:b/>
          <w:u w:val="single"/>
        </w:rPr>
        <w:t>T</w:t>
      </w:r>
      <w:r>
        <w:rPr>
          <w:b/>
          <w:u w:val="single"/>
          <w:vertAlign w:val="subscript"/>
        </w:rPr>
        <w:t>LTM-RRC-processing</w:t>
      </w:r>
      <w:r>
        <w:rPr>
          <w:b/>
          <w:u w:val="single"/>
        </w:rPr>
        <w:t xml:space="preserve"> = 0 apply to when candidate cells configured are more than UE capability?</w:t>
      </w:r>
    </w:p>
    <w:p w14:paraId="1BCAE7D5" w14:textId="77777777" w:rsidR="009601D6" w:rsidRDefault="009601D6" w:rsidP="009601D6">
      <w:pPr>
        <w:spacing w:beforeLines="50" w:before="120" w:afterLines="50" w:after="120"/>
        <w:rPr>
          <w:i/>
          <w:iCs/>
          <w:color w:val="0070C0"/>
          <w:sz w:val="18"/>
          <w:szCs w:val="18"/>
          <w:lang w:eastAsia="zh-CN"/>
        </w:rPr>
      </w:pPr>
      <w:r>
        <w:rPr>
          <w:i/>
          <w:iCs/>
          <w:color w:val="0070C0"/>
          <w:sz w:val="18"/>
          <w:szCs w:val="18"/>
          <w:lang w:eastAsia="zh-CN"/>
        </w:rPr>
        <w:t>Online agreement</w:t>
      </w:r>
    </w:p>
    <w:p w14:paraId="3C95B565" w14:textId="4D6DDFA9" w:rsidR="009601D6" w:rsidRPr="00967E6B" w:rsidRDefault="009601D6" w:rsidP="009601D6">
      <w:pPr>
        <w:rPr>
          <w:lang w:eastAsia="en-US"/>
        </w:rPr>
      </w:pPr>
      <w:r w:rsidRPr="00967E6B">
        <w:rPr>
          <w:rFonts w:eastAsia="宋体"/>
          <w:b/>
          <w:bCs/>
        </w:rPr>
        <w:t>&lt;</w:t>
      </w:r>
      <w:r w:rsidRPr="00967E6B">
        <w:rPr>
          <w:b/>
        </w:rPr>
        <w:t>Agreement</w:t>
      </w:r>
      <w:r w:rsidRPr="00967E6B">
        <w:rPr>
          <w:rFonts w:eastAsia="宋体"/>
          <w:b/>
          <w:bCs/>
        </w:rPr>
        <w:t>&gt;:</w:t>
      </w:r>
    </w:p>
    <w:p w14:paraId="565CC878" w14:textId="77777777" w:rsidR="009601D6" w:rsidRPr="00967E6B" w:rsidRDefault="009601D6" w:rsidP="009601D6">
      <w:pPr>
        <w:numPr>
          <w:ilvl w:val="2"/>
          <w:numId w:val="29"/>
        </w:numPr>
        <w:snapToGrid w:val="0"/>
        <w:spacing w:after="120"/>
        <w:ind w:left="2376"/>
        <w:rPr>
          <w:rFonts w:eastAsia="等线"/>
          <w:bCs/>
          <w:lang w:val="en-US" w:eastAsia="zh-CN"/>
        </w:rPr>
      </w:pPr>
      <w:r w:rsidRPr="00967E6B">
        <w:rPr>
          <w:rFonts w:eastAsia="等线"/>
          <w:bCs/>
          <w:lang w:val="en-US" w:eastAsia="zh-CN"/>
        </w:rPr>
        <w:t xml:space="preserve">If the total number of cells to be fast RRC decoded does not exceed UE capability </w:t>
      </w:r>
      <w:r w:rsidRPr="00967E6B">
        <w:rPr>
          <w:rFonts w:eastAsia="等线"/>
          <w:i/>
          <w:iCs/>
          <w:lang w:val="en-US" w:eastAsia="zh-CN"/>
        </w:rPr>
        <w:t>maxNumberStoredConfigCells-r18</w:t>
      </w:r>
      <w:r w:rsidRPr="00967E6B">
        <w:rPr>
          <w:rFonts w:eastAsia="等线"/>
          <w:lang w:val="en-US" w:eastAsia="zh-CN"/>
        </w:rPr>
        <w:t xml:space="preserve"> and the number of</w:t>
      </w:r>
      <w:r w:rsidRPr="00967E6B">
        <w:rPr>
          <w:rFonts w:eastAsia="等线"/>
          <w:i/>
          <w:iCs/>
          <w:lang w:val="en-US" w:eastAsia="zh-CN"/>
        </w:rPr>
        <w:t xml:space="preserve"> </w:t>
      </w:r>
      <w:proofErr w:type="spellStart"/>
      <w:r w:rsidRPr="00967E6B">
        <w:rPr>
          <w:rFonts w:eastAsia="等线"/>
          <w:i/>
          <w:iCs/>
          <w:lang w:val="en-US" w:eastAsia="zh-CN"/>
        </w:rPr>
        <w:t>LTMCandidateConfigs</w:t>
      </w:r>
      <w:proofErr w:type="spellEnd"/>
      <w:r w:rsidRPr="00967E6B">
        <w:rPr>
          <w:rFonts w:eastAsia="等线"/>
          <w:lang w:val="en-US" w:eastAsia="zh-CN"/>
        </w:rPr>
        <w:t xml:space="preserve"> fast decoded does not exceed </w:t>
      </w:r>
      <w:r w:rsidRPr="00967E6B">
        <w:rPr>
          <w:rFonts w:eastAsia="等线"/>
          <w:i/>
          <w:iCs/>
          <w:lang w:val="en-US" w:eastAsia="zh-CN"/>
        </w:rPr>
        <w:t>maxNumberConfigs-r18</w:t>
      </w:r>
      <w:r w:rsidRPr="00967E6B">
        <w:rPr>
          <w:rFonts w:eastAsia="等线"/>
          <w:bCs/>
          <w:lang w:val="en-US" w:eastAsia="zh-CN"/>
        </w:rPr>
        <w:t>, 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LTM candidates</w:t>
      </w:r>
      <w:r w:rsidRPr="00967E6B">
        <w:rPr>
          <w:rFonts w:eastAsia="等线"/>
          <w:bCs/>
          <w:lang w:val="en-US" w:eastAsia="zh-CN"/>
        </w:rPr>
        <w:t xml:space="preserve"> with early TCI activation or early PDCCH order RACH, </w:t>
      </w:r>
    </w:p>
    <w:p w14:paraId="40838932" w14:textId="77777777" w:rsidR="009601D6" w:rsidRPr="00967E6B" w:rsidRDefault="009601D6" w:rsidP="009601D6">
      <w:pPr>
        <w:numPr>
          <w:ilvl w:val="2"/>
          <w:numId w:val="29"/>
        </w:numPr>
        <w:snapToGrid w:val="0"/>
        <w:spacing w:after="120"/>
        <w:ind w:left="2376"/>
        <w:rPr>
          <w:rFonts w:eastAsia="等线"/>
          <w:i/>
          <w:iCs/>
          <w:lang w:val="en-US" w:eastAsia="zh-CN"/>
        </w:rPr>
      </w:pPr>
      <w:r w:rsidRPr="00967E6B">
        <w:rPr>
          <w:rFonts w:eastAsia="等线"/>
          <w:lang w:val="en-US" w:eastAsia="zh-CN"/>
        </w:rPr>
        <w:t>Further discuss:</w:t>
      </w:r>
    </w:p>
    <w:p w14:paraId="113328B2" w14:textId="77777777" w:rsidR="009601D6" w:rsidRPr="00967E6B" w:rsidRDefault="009601D6" w:rsidP="009601D6">
      <w:pPr>
        <w:numPr>
          <w:ilvl w:val="3"/>
          <w:numId w:val="29"/>
        </w:numPr>
        <w:snapToGrid w:val="0"/>
        <w:spacing w:after="120"/>
        <w:ind w:left="3096"/>
        <w:rPr>
          <w:rFonts w:eastAsia="等线"/>
          <w:i/>
          <w:iCs/>
          <w:lang w:val="en-US" w:eastAsia="zh-CN"/>
        </w:rPr>
      </w:pPr>
      <w:r w:rsidRPr="00967E6B">
        <w:rPr>
          <w:rFonts w:eastAsia="等线"/>
          <w:lang w:val="en-US" w:eastAsia="zh-CN"/>
        </w:rPr>
        <w:t xml:space="preserve">FFS: Otherwise, </w:t>
      </w:r>
      <w:r w:rsidRPr="00967E6B">
        <w:rPr>
          <w:rFonts w:eastAsia="等线"/>
          <w:bCs/>
          <w:lang w:val="en-US" w:eastAsia="zh-CN"/>
        </w:rPr>
        <w:t>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 xml:space="preserve">LTM candidates with the most recently activated TCI states </w:t>
      </w:r>
      <w:r w:rsidRPr="00967E6B">
        <w:rPr>
          <w:rFonts w:eastAsia="等线"/>
          <w:color w:val="FF0000"/>
          <w:u w:val="single"/>
          <w:lang w:val="en-US" w:eastAsia="zh-CN"/>
        </w:rPr>
        <w:t>(if any)</w:t>
      </w:r>
      <w:r w:rsidRPr="00967E6B">
        <w:rPr>
          <w:rFonts w:eastAsia="等线"/>
          <w:lang w:val="en-US" w:eastAsia="zh-CN"/>
        </w:rPr>
        <w:t xml:space="preserve"> [</w:t>
      </w:r>
      <w:r w:rsidRPr="00967E6B">
        <w:rPr>
          <w:rFonts w:eastAsia="等线"/>
          <w:color w:val="FF0000"/>
          <w:lang w:val="en-US" w:eastAsia="zh-CN"/>
        </w:rPr>
        <w:t xml:space="preserve">and/or] </w:t>
      </w:r>
      <w:r w:rsidRPr="00967E6B">
        <w:rPr>
          <w:rFonts w:eastAsia="等线"/>
          <w:lang w:val="en-US" w:eastAsia="zh-CN"/>
        </w:rPr>
        <w:t xml:space="preserve">PDCCH-order PRACH transmission </w:t>
      </w:r>
      <w:r w:rsidRPr="00967E6B">
        <w:rPr>
          <w:rFonts w:eastAsia="等线"/>
          <w:color w:val="FF0000"/>
          <w:u w:val="single"/>
          <w:lang w:val="en-US" w:eastAsia="zh-CN"/>
        </w:rPr>
        <w:t xml:space="preserve">(if any) </w:t>
      </w:r>
      <w:r w:rsidRPr="00967E6B">
        <w:rPr>
          <w:rFonts w:eastAsia="等线"/>
          <w:lang w:val="en-US" w:eastAsia="zh-CN"/>
        </w:rPr>
        <w:t xml:space="preserve">within UE capability </w:t>
      </w:r>
      <w:r w:rsidRPr="00967E6B">
        <w:rPr>
          <w:rFonts w:eastAsia="等线"/>
          <w:i/>
          <w:iCs/>
          <w:lang w:val="en-US" w:eastAsia="zh-CN"/>
        </w:rPr>
        <w:t>maxNumberStoredConfigCells-r18</w:t>
      </w:r>
      <w:r w:rsidRPr="00967E6B">
        <w:rPr>
          <w:rFonts w:eastAsia="等线"/>
          <w:lang w:val="en-US" w:eastAsia="zh-CN"/>
        </w:rPr>
        <w:t xml:space="preserve"> and </w:t>
      </w:r>
      <w:r w:rsidRPr="00967E6B">
        <w:rPr>
          <w:rFonts w:eastAsia="等线"/>
          <w:i/>
          <w:iCs/>
          <w:lang w:val="en-US" w:eastAsia="zh-CN"/>
        </w:rPr>
        <w:t>maxNumberConfigs-r18.</w:t>
      </w:r>
    </w:p>
    <w:p w14:paraId="72ACECDC"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This is at least applicable to the case that NW does not trigger TCI state activation or PDCCH-order RACH on different candidate cells at the same occasion.</w:t>
      </w:r>
    </w:p>
    <w:p w14:paraId="6F07969A"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Whether to support and further optimize the case that NW triggers TCI state activation or PDCCH-order RACH on different candidate cells at the same occasion.</w:t>
      </w:r>
    </w:p>
    <w:p w14:paraId="7FC45D61" w14:textId="77777777" w:rsidR="00AE453D" w:rsidRDefault="00AE453D">
      <w:pPr>
        <w:textAlignment w:val="auto"/>
        <w:rPr>
          <w:rFonts w:eastAsia="宋体"/>
          <w:szCs w:val="24"/>
          <w:lang w:val="en-US" w:eastAsia="zh-CN"/>
        </w:rPr>
      </w:pPr>
    </w:p>
    <w:p w14:paraId="6C31FB59" w14:textId="7E34472C" w:rsidR="00A1371E" w:rsidRPr="00306361" w:rsidRDefault="00A1371E" w:rsidP="00A1371E">
      <w:pPr>
        <w:pStyle w:val="Heading4"/>
        <w:rPr>
          <w:bCs/>
          <w:lang w:val="en-US"/>
        </w:rPr>
      </w:pPr>
      <w:r>
        <w:rPr>
          <w:bCs/>
        </w:rPr>
        <w:t xml:space="preserve">1.4.4 </w:t>
      </w:r>
      <w:r>
        <w:rPr>
          <w:rFonts w:eastAsia="宋体"/>
        </w:rPr>
        <w:t>Cell Switch without L1 measurement in FR1</w:t>
      </w:r>
    </w:p>
    <w:p w14:paraId="44E879D9" w14:textId="680CF19C" w:rsidR="00A1371E" w:rsidRPr="00306361" w:rsidRDefault="00EA3645">
      <w:pPr>
        <w:textAlignment w:val="auto"/>
        <w:rPr>
          <w:rFonts w:eastAsia="宋体"/>
          <w:szCs w:val="24"/>
          <w:lang w:val="en-US" w:eastAsia="zh-CN"/>
        </w:rPr>
      </w:pPr>
      <w:r>
        <w:rPr>
          <w:b/>
          <w:u w:val="single"/>
        </w:rPr>
        <w:t>Issue 1-4-4-1: Applicable conditions of cell switch delay requirements in FR1 without L1 measurement</w:t>
      </w:r>
    </w:p>
    <w:p w14:paraId="1E7A312E"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50BD81BC" w14:textId="77777777"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731D0D5B" w14:textId="77777777" w:rsidR="00EA3645" w:rsidRPr="00967E6B" w:rsidRDefault="00EA3645" w:rsidP="00EA3645">
      <w:pPr>
        <w:numPr>
          <w:ilvl w:val="0"/>
          <w:numId w:val="29"/>
        </w:numPr>
        <w:snapToGrid w:val="0"/>
        <w:spacing w:after="120"/>
        <w:ind w:left="936"/>
        <w:rPr>
          <w:rFonts w:eastAsia="等线"/>
          <w:bCs/>
          <w:lang w:val="en-US" w:eastAsia="zh-CN"/>
        </w:rPr>
      </w:pPr>
      <w:r w:rsidRPr="00967E6B">
        <w:rPr>
          <w:rFonts w:eastAsia="等线"/>
          <w:bCs/>
          <w:lang w:val="en-US" w:eastAsia="zh-CN"/>
        </w:rPr>
        <w:t>Cell switch delay requirements apply to FR1 without L1 measurement provided that</w:t>
      </w:r>
    </w:p>
    <w:p w14:paraId="3C96414A" w14:textId="77777777" w:rsidR="00EA3645" w:rsidRPr="00967E6B" w:rsidRDefault="00EA3645" w:rsidP="00EA3645">
      <w:pPr>
        <w:numPr>
          <w:ilvl w:val="1"/>
          <w:numId w:val="29"/>
        </w:numPr>
        <w:overflowPunct/>
        <w:autoSpaceDE/>
        <w:adjustRightInd/>
        <w:snapToGrid w:val="0"/>
        <w:spacing w:after="120"/>
        <w:ind w:left="1656"/>
        <w:textAlignment w:val="auto"/>
        <w:rPr>
          <w:rFonts w:eastAsia="等线"/>
          <w:lang w:val="en-US" w:eastAsia="zh-CN"/>
        </w:rPr>
      </w:pPr>
      <w:r w:rsidRPr="00967E6B">
        <w:rPr>
          <w:rFonts w:eastAsia="等线"/>
          <w:lang w:val="en-US" w:eastAsia="zh-CN"/>
        </w:rPr>
        <w:t>UE has reported L3-RSRP measurements for the SSB associated to the target TCI state in [1280] ms before the cell switch command.</w:t>
      </w:r>
    </w:p>
    <w:p w14:paraId="6B5376A4" w14:textId="77777777" w:rsidR="00EA3645" w:rsidRPr="00967E6B" w:rsidRDefault="00EA3645" w:rsidP="00EA3645">
      <w:pPr>
        <w:numPr>
          <w:ilvl w:val="1"/>
          <w:numId w:val="29"/>
        </w:numPr>
        <w:snapToGrid w:val="0"/>
        <w:spacing w:after="120"/>
        <w:ind w:left="1656"/>
        <w:rPr>
          <w:rFonts w:eastAsia="等线"/>
          <w:lang w:val="en-US" w:eastAsia="zh-CN"/>
        </w:rPr>
      </w:pPr>
      <w:r w:rsidRPr="00967E6B">
        <w:rPr>
          <w:rFonts w:eastAsia="等线"/>
          <w:lang w:val="en-US" w:eastAsia="zh-CN"/>
        </w:rPr>
        <w:t>SNR of the SSB associated to TCI state ≥ -3dB</w:t>
      </w:r>
    </w:p>
    <w:p w14:paraId="7A4D4F81" w14:textId="77777777" w:rsidR="00EA3645" w:rsidRDefault="00EA3645" w:rsidP="00EA3645">
      <w:pPr>
        <w:rPr>
          <w:lang w:val="en-US" w:eastAsia="en-US"/>
        </w:rPr>
      </w:pPr>
    </w:p>
    <w:p w14:paraId="3E7B8D12" w14:textId="77777777" w:rsidR="00EA3645" w:rsidRDefault="00EA3645" w:rsidP="00EA3645">
      <w:pPr>
        <w:spacing w:afterLines="50" w:after="120"/>
        <w:rPr>
          <w:b/>
          <w:u w:val="single"/>
          <w:lang w:eastAsia="en-US"/>
        </w:rPr>
      </w:pPr>
      <w:r>
        <w:rPr>
          <w:b/>
          <w:u w:val="single"/>
        </w:rPr>
        <w:t>Issue 1-4-4-2: How to capture the applicable conditions of cell switch delay requirements in FR1 without L1 measurement in spec?</w:t>
      </w:r>
    </w:p>
    <w:p w14:paraId="27585E4B"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6D1914E4" w14:textId="4AE9608F"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48516F97" w14:textId="77777777" w:rsidR="00EA3645" w:rsidRPr="00967E6B" w:rsidRDefault="00EA3645" w:rsidP="00EA3645">
      <w:pPr>
        <w:numPr>
          <w:ilvl w:val="0"/>
          <w:numId w:val="29"/>
        </w:numPr>
        <w:overflowPunct/>
        <w:autoSpaceDE/>
        <w:adjustRightInd/>
        <w:snapToGrid w:val="0"/>
        <w:spacing w:after="120"/>
        <w:ind w:left="936"/>
        <w:textAlignment w:val="auto"/>
        <w:rPr>
          <w:rFonts w:eastAsia="等线"/>
          <w:lang w:val="en-US" w:eastAsia="zh-CN"/>
        </w:rPr>
      </w:pPr>
      <w:r w:rsidRPr="00967E6B">
        <w:rPr>
          <w:rFonts w:eastAsia="等线"/>
          <w:lang w:val="en-US" w:eastAsia="zh-CN"/>
        </w:rPr>
        <w:t>Allow FR1 cell switch delay requirements applicable to unknown TCI state case with the agreed conditions in Issue 1-4-4-1.</w:t>
      </w:r>
    </w:p>
    <w:p w14:paraId="6EF804D5" w14:textId="77777777" w:rsidR="00EA3645" w:rsidRPr="00EA3645" w:rsidRDefault="00EA3645" w:rsidP="00EA3645">
      <w:pPr>
        <w:rPr>
          <w:lang w:val="en-US" w:eastAsia="en-US"/>
        </w:rPr>
      </w:pPr>
    </w:p>
    <w:p w14:paraId="210DD920" w14:textId="77777777" w:rsidR="0090063F" w:rsidRDefault="0090063F" w:rsidP="0090063F">
      <w:pPr>
        <w:pStyle w:val="Heading4"/>
        <w:rPr>
          <w:rFonts w:eastAsia="宋体"/>
          <w:bCs/>
          <w:lang w:val="en-US" w:eastAsia="zh-CN"/>
        </w:rPr>
      </w:pPr>
      <w:r>
        <w:rPr>
          <w:bCs/>
        </w:rPr>
        <w:t xml:space="preserve">1.4.5 </w:t>
      </w:r>
      <w:r>
        <w:rPr>
          <w:rFonts w:eastAsia="宋体"/>
        </w:rPr>
        <w:t>Cell Switch without L1 measurement report in FR2?</w:t>
      </w:r>
    </w:p>
    <w:p w14:paraId="476DC455" w14:textId="77777777" w:rsidR="0090063F" w:rsidRPr="00967E6B" w:rsidRDefault="0090063F" w:rsidP="0090063F">
      <w:pPr>
        <w:spacing w:afterLines="50" w:after="120"/>
        <w:rPr>
          <w:b/>
          <w:u w:val="single"/>
          <w:lang w:eastAsia="en-US"/>
        </w:rPr>
      </w:pPr>
      <w:r w:rsidRPr="00967E6B">
        <w:rPr>
          <w:b/>
          <w:u w:val="single"/>
        </w:rPr>
        <w:t>Issue 1-4-5-1: Whether are cell switch delay requirements applicable to FR2 without L1 measurement report?</w:t>
      </w:r>
    </w:p>
    <w:p w14:paraId="6722FB42" w14:textId="76D12EBA" w:rsidR="0090063F" w:rsidRPr="00967E6B" w:rsidRDefault="0090063F" w:rsidP="0090063F">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lang w:eastAsia="zh-CN"/>
        </w:rPr>
        <w:t>FFS the following options:</w:t>
      </w:r>
    </w:p>
    <w:p w14:paraId="2277F897"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1 (OPPO): </w:t>
      </w:r>
    </w:p>
    <w:p w14:paraId="6F888C2C"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proofErr w:type="gramStart"/>
      <w:r w:rsidRPr="00967E6B">
        <w:rPr>
          <w:rFonts w:eastAsia="宋体"/>
          <w:lang w:eastAsia="zh-CN"/>
        </w:rPr>
        <w:t>Yes</w:t>
      </w:r>
      <w:proofErr w:type="gramEnd"/>
      <w:r w:rsidRPr="00967E6B">
        <w:rPr>
          <w:rFonts w:eastAsia="宋体"/>
          <w:lang w:eastAsia="zh-CN"/>
        </w:rPr>
        <w:t xml:space="preserve"> when SNR of the TCI state≥ -3dB and TCI state has been activated, it is also required that the RS associated to the target TCI state is available at least every 1280ms after TCI state activation command.</w:t>
      </w:r>
    </w:p>
    <w:p w14:paraId="64767396"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2 (Nokia):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2F3D2838"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 xml:space="preserve">The target TCI state in the cell switch command is activated not more than 1280 ms before the reception of the cell switch command and SNR of the SSB associated to TCI state ≥ -3dB; or </w:t>
      </w:r>
    </w:p>
    <w:p w14:paraId="583CC74E"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14:paraId="2EB6E8CF"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3 (Ericsson, QC):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3A0E0F23"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 xml:space="preserve">The TCI state is activated not more than TBD ms before the reception of the cell switch command and SNR of the SSB associated to TCI state is ≥ -3dB; where the TCI state is considered activated if the activated TCI state and target TCI state in the cell switch command are same or the SSB associated to target TCI state in cell switch command and the SSB associated to activated TCI state are same; or] </w:t>
      </w:r>
    </w:p>
    <w:p w14:paraId="4867858F"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The TCI state is activated before the reception of the cell switch command (where the TCI state is considered activated if the activated TCI state and target TCI state in the cell switch command are same or the SSB associated to target TCI state in cell switch command and the SSB associated to activated TCI state are same) and the SSB associated to target TCI state is available at least once every TBD ms after the TCI state activation command is received and SNR of the SSB associated to TCI state ≥ -3dB; or]</w:t>
      </w:r>
    </w:p>
    <w:p w14:paraId="467BA29B"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Option 4 (MTK):</w:t>
      </w:r>
    </w:p>
    <w:p w14:paraId="00A283CB" w14:textId="4081B400" w:rsidR="0090063F" w:rsidRPr="00967E6B" w:rsidRDefault="0090063F" w:rsidP="00193013">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Not to extend cell switch delay requirements to FR2 without L1 measurement report</w:t>
      </w:r>
    </w:p>
    <w:p w14:paraId="087EC84D" w14:textId="1F4556FB" w:rsidR="0090063F" w:rsidRDefault="0090063F" w:rsidP="0090063F">
      <w:pPr>
        <w:pStyle w:val="Heading2"/>
        <w:overflowPunct/>
        <w:autoSpaceDE/>
        <w:adjustRightInd/>
        <w:rPr>
          <w:sz w:val="24"/>
          <w:szCs w:val="16"/>
          <w:lang w:val="en-US"/>
        </w:rPr>
      </w:pPr>
      <w:r>
        <w:rPr>
          <w:rFonts w:eastAsia="宋体"/>
          <w:sz w:val="24"/>
          <w:szCs w:val="24"/>
          <w:lang w:eastAsia="en-US"/>
        </w:rPr>
        <w:t xml:space="preserve">1.5 Sub-topic 1-5 </w:t>
      </w:r>
      <w:r w:rsidRPr="0090063F">
        <w:rPr>
          <w:sz w:val="24"/>
          <w:szCs w:val="16"/>
          <w:lang w:val="en-US"/>
        </w:rPr>
        <w:t>UE feature</w:t>
      </w:r>
    </w:p>
    <w:p w14:paraId="5F79193A" w14:textId="77777777" w:rsidR="0090063F" w:rsidRDefault="0090063F" w:rsidP="0090063F">
      <w:pPr>
        <w:rPr>
          <w:b/>
          <w:u w:val="single"/>
          <w:lang w:eastAsia="ko-KR"/>
        </w:rPr>
      </w:pPr>
      <w:r>
        <w:rPr>
          <w:b/>
          <w:u w:val="single"/>
          <w:lang w:eastAsia="ko-KR"/>
        </w:rPr>
        <w:t>Issue 1-5-1: Capability for supporting RTD&gt;CP</w:t>
      </w:r>
    </w:p>
    <w:p w14:paraId="6595356D" w14:textId="7100CCC7" w:rsidR="0090063F" w:rsidRDefault="0090063F" w:rsidP="0090063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32100706"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(CATT, MTK): </w:t>
      </w:r>
    </w:p>
    <w:p w14:paraId="2BEA3464"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current capability of SSB based L1-RSRP measurements for multiple cells with RTD &gt; CP (39-2) should be revised.</w:t>
      </w:r>
    </w:p>
    <w:p w14:paraId="52E8B78B"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It only needs to describe the capability of handling multiple cells with RTD &gt; CP.</w:t>
      </w:r>
    </w:p>
    <w:p w14:paraId="5430FF07" w14:textId="6C1FC485" w:rsidR="0090063F" w:rsidRPr="00AA201F" w:rsidRDefault="00AA201F" w:rsidP="0090063F">
      <w:pPr>
        <w:pStyle w:val="ListParagraph"/>
        <w:numPr>
          <w:ilvl w:val="3"/>
          <w:numId w:val="29"/>
        </w:numPr>
        <w:overflowPunct/>
        <w:autoSpaceDE/>
        <w:adjustRightInd/>
        <w:spacing w:after="120"/>
        <w:ind w:left="3096" w:firstLineChars="0"/>
        <w:textAlignment w:val="auto"/>
        <w:rPr>
          <w:rFonts w:eastAsia="宋体"/>
          <w:szCs w:val="24"/>
          <w:lang w:eastAsia="zh-CN"/>
        </w:rPr>
      </w:pPr>
      <w:r>
        <w:rPr>
          <w:rFonts w:eastAsia="宋体"/>
          <w:szCs w:val="24"/>
          <w:lang w:eastAsia="zh-CN"/>
        </w:rPr>
        <w:t>This capability will be supported together with the capabilities of SSB based L1-RSRP measurements and/or early T/F tracking and/or PDCCH order RACH.</w:t>
      </w:r>
    </w:p>
    <w:p w14:paraId="24FF7CE0" w14:textId="77777777" w:rsidR="0090063F" w:rsidRDefault="0090063F" w:rsidP="0090063F">
      <w:pPr>
        <w:rPr>
          <w:lang w:val="en-US"/>
        </w:rPr>
      </w:pPr>
    </w:p>
    <w:p w14:paraId="6BF6922B" w14:textId="35794C8B" w:rsidR="00AA201F" w:rsidRPr="00AA201F" w:rsidRDefault="00AA201F" w:rsidP="0090063F">
      <w:pPr>
        <w:rPr>
          <w:rFonts w:eastAsia="Malgun Gothic"/>
          <w:b/>
          <w:u w:val="single"/>
          <w:lang w:eastAsia="ko-KR"/>
        </w:rPr>
      </w:pPr>
      <w:r>
        <w:rPr>
          <w:b/>
          <w:u w:val="single"/>
          <w:lang w:eastAsia="ko-KR"/>
        </w:rPr>
        <w:t>Issue 1-5-2: Capability for RACH-less LTM cell switch</w:t>
      </w:r>
    </w:p>
    <w:p w14:paraId="05696D60" w14:textId="4ED05EA0" w:rsidR="00AA201F" w:rsidRDefault="00AA201F" w:rsidP="00AA201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6EBCCE48"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(Ericsson, QC): </w:t>
      </w:r>
      <w:r>
        <w:rPr>
          <w:rFonts w:eastAsia="Malgun Gothic"/>
          <w:lang w:eastAsia="ko-KR"/>
        </w:rPr>
        <w:t>RAN4 to define the following UE capability</w:t>
      </w:r>
      <w:r>
        <w:t>:</w:t>
      </w:r>
    </w:p>
    <w:p w14:paraId="5C428C0D"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RACH-less LTM cell switch can be conducted to one of ‘N’ cells to which the UE most recently transmitted the ‘PDCCH-order PRACH’ except for the cell configured as SCell.</w:t>
      </w:r>
    </w:p>
    <w:p w14:paraId="0003BE25"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N = {[1], 2, …, 7}, if not reported, N=8.</w:t>
      </w:r>
    </w:p>
    <w:p w14:paraId="50835B16" w14:textId="6B632D5F" w:rsidR="00EA3645" w:rsidRP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Granularity: Per UE</w:t>
      </w:r>
    </w:p>
    <w:p w14:paraId="3274A572" w14:textId="3743AFE8" w:rsidR="00AE453D" w:rsidRPr="001066B8" w:rsidRDefault="00AA201F" w:rsidP="001066B8">
      <w:pPr>
        <w:pStyle w:val="Heading1"/>
        <w:rPr>
          <w:sz w:val="28"/>
          <w:szCs w:val="28"/>
        </w:rPr>
      </w:pPr>
      <w:r>
        <w:rPr>
          <w:sz w:val="28"/>
          <w:szCs w:val="28"/>
        </w:rPr>
        <w:t>2</w:t>
      </w:r>
      <w:r w:rsidR="00FA69D2">
        <w:rPr>
          <w:sz w:val="28"/>
          <w:szCs w:val="28"/>
        </w:rPr>
        <w:t xml:space="preserve"> Topic #</w:t>
      </w:r>
      <w:r>
        <w:rPr>
          <w:sz w:val="28"/>
          <w:szCs w:val="28"/>
        </w:rPr>
        <w:t>2</w:t>
      </w:r>
      <w:r w:rsidR="00FA69D2">
        <w:rPr>
          <w:sz w:val="28"/>
          <w:szCs w:val="28"/>
        </w:rPr>
        <w:t xml:space="preserve">: </w:t>
      </w:r>
      <w:r w:rsidRPr="00AA201F">
        <w:rPr>
          <w:sz w:val="28"/>
          <w:szCs w:val="28"/>
        </w:rPr>
        <w:t>Improvement on SCell/SCG setup delay - Core part</w:t>
      </w:r>
    </w:p>
    <w:p w14:paraId="384CF6A0" w14:textId="77777777" w:rsidR="00AA201F" w:rsidRDefault="00AA201F" w:rsidP="00AA201F">
      <w:pPr>
        <w:rPr>
          <w:b/>
          <w:u w:val="single"/>
          <w:lang w:eastAsia="ko-KR"/>
        </w:rPr>
      </w:pPr>
      <w:bookmarkStart w:id="5" w:name="_Hlk166672639"/>
      <w:r>
        <w:rPr>
          <w:b/>
          <w:u w:val="single"/>
          <w:lang w:eastAsia="ko-KR"/>
        </w:rPr>
        <w:t xml:space="preserve">Issue 2-1-1: </w:t>
      </w:r>
      <w:proofErr w:type="gramStart"/>
      <w:r>
        <w:rPr>
          <w:b/>
          <w:u w:val="single"/>
          <w:lang w:eastAsia="zh-CN"/>
        </w:rPr>
        <w:t>Mis</w:t>
      </w:r>
      <w:r>
        <w:rPr>
          <w:b/>
          <w:u w:val="single"/>
          <w:lang w:eastAsia="ko-KR"/>
        </w:rPr>
        <w:t>-</w:t>
      </w:r>
      <w:r>
        <w:rPr>
          <w:b/>
          <w:u w:val="single"/>
          <w:lang w:eastAsia="zh-CN"/>
        </w:rPr>
        <w:t>alignment</w:t>
      </w:r>
      <w:proofErr w:type="gramEnd"/>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proofErr w:type="spellStart"/>
      <w:r>
        <w:rPr>
          <w:b/>
          <w:i/>
          <w:iCs/>
          <w:u w:val="single"/>
          <w:lang w:eastAsia="ko-KR"/>
        </w:rPr>
        <w:t>measReselectionCarrierListNR</w:t>
      </w:r>
      <w:proofErr w:type="spellEnd"/>
      <w:r>
        <w:rPr>
          <w:b/>
          <w:u w:val="single"/>
          <w:lang w:eastAsia="ko-KR"/>
        </w:rPr>
        <w:t xml:space="preserve"> is not configured</w:t>
      </w:r>
    </w:p>
    <w:p w14:paraId="4CFEF403"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BE3F9FE"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(ZTE): </w:t>
      </w:r>
    </w:p>
    <w:p w14:paraId="2F9F5B32" w14:textId="6A0051FD" w:rsidR="00C252C0" w:rsidRPr="00C252C0" w:rsidRDefault="00C252C0"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 xml:space="preserve">RAN4 should confirm what the UE </w:t>
      </w:r>
      <w:proofErr w:type="spellStart"/>
      <w:r>
        <w:rPr>
          <w:rFonts w:eastAsia="宋体"/>
          <w:szCs w:val="24"/>
          <w:lang w:eastAsia="zh-CN"/>
        </w:rPr>
        <w:t>behavior</w:t>
      </w:r>
      <w:proofErr w:type="spellEnd"/>
      <w:r>
        <w:rPr>
          <w:rFonts w:eastAsia="宋体"/>
          <w:szCs w:val="24"/>
          <w:lang w:eastAsia="zh-CN"/>
        </w:rPr>
        <w:t xml:space="preserve"> is if</w:t>
      </w:r>
      <w:r>
        <w:rPr>
          <w:rFonts w:eastAsia="宋体"/>
          <w:i/>
          <w:iCs/>
          <w:szCs w:val="24"/>
          <w:lang w:eastAsia="zh-CN"/>
        </w:rPr>
        <w:t xml:space="preserve"> </w:t>
      </w:r>
      <w:proofErr w:type="spellStart"/>
      <w:r>
        <w:rPr>
          <w:rFonts w:eastAsia="宋体"/>
          <w:i/>
          <w:iCs/>
          <w:szCs w:val="24"/>
          <w:lang w:eastAsia="zh-CN"/>
        </w:rPr>
        <w:t>measReselectionCarrierListNR</w:t>
      </w:r>
      <w:proofErr w:type="spellEnd"/>
      <w:r>
        <w:rPr>
          <w:rFonts w:eastAsia="宋体"/>
          <w:szCs w:val="24"/>
          <w:lang w:eastAsia="zh-CN"/>
        </w:rPr>
        <w:t xml:space="preserve"> is not configured. UE will report any measurement results if available or UE will not report any measurement results.</w:t>
      </w:r>
    </w:p>
    <w:p w14:paraId="290EE3BB" w14:textId="09595663" w:rsidR="00AA201F" w:rsidRDefault="00AA201F" w:rsidP="00AA201F">
      <w:pPr>
        <w:rPr>
          <w:lang w:eastAsia="en-US"/>
        </w:rPr>
      </w:pPr>
      <w:r>
        <w:rPr>
          <w:rFonts w:eastAsia="宋体"/>
          <w:b/>
          <w:bCs/>
          <w:szCs w:val="24"/>
        </w:rPr>
        <w:t xml:space="preserve">&lt; </w:t>
      </w:r>
      <w:r>
        <w:rPr>
          <w:b/>
        </w:rPr>
        <w:t>Agreement</w:t>
      </w:r>
      <w:r>
        <w:rPr>
          <w:rFonts w:eastAsia="宋体"/>
          <w:b/>
          <w:bCs/>
          <w:szCs w:val="24"/>
        </w:rPr>
        <w:t>&gt;:</w:t>
      </w:r>
    </w:p>
    <w:p w14:paraId="2F648E36" w14:textId="0054F6C6" w:rsidR="00463A25" w:rsidRP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sidRPr="00AA201F">
        <w:rPr>
          <w:rFonts w:eastAsia="宋体"/>
          <w:szCs w:val="24"/>
          <w:lang w:eastAsia="zh-CN"/>
        </w:rPr>
        <w:t>Discuss in the CR directly.</w:t>
      </w:r>
    </w:p>
    <w:p w14:paraId="512D5561" w14:textId="77777777" w:rsidR="00F80CA0" w:rsidRPr="00F80CA0" w:rsidRDefault="00F80CA0" w:rsidP="00F80CA0">
      <w:pPr>
        <w:overflowPunct/>
        <w:autoSpaceDE/>
        <w:adjustRightInd/>
        <w:spacing w:after="120"/>
        <w:textAlignment w:val="auto"/>
        <w:rPr>
          <w:bCs/>
          <w:szCs w:val="21"/>
        </w:rPr>
      </w:pPr>
      <w:bookmarkStart w:id="6" w:name="_Hlk132930675"/>
      <w:bookmarkEnd w:id="5"/>
    </w:p>
    <w:p w14:paraId="354A7A71" w14:textId="3F5E1196" w:rsidR="00B2057D" w:rsidRDefault="002C0D5E" w:rsidP="00B2057D">
      <w:pPr>
        <w:pStyle w:val="Heading1"/>
        <w:ind w:left="432" w:firstLine="0"/>
        <w:rPr>
          <w:lang w:val="en-US" w:eastAsia="ja-JP"/>
        </w:rPr>
      </w:pPr>
      <w:r>
        <w:rPr>
          <w:lang w:val="en-US" w:eastAsia="ja-JP"/>
        </w:rPr>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Heading2"/>
        <w:overflowPunct/>
        <w:autoSpaceDE/>
        <w:adjustRightInd/>
        <w:rPr>
          <w:rFonts w:eastAsia="宋体"/>
          <w:sz w:val="24"/>
          <w:szCs w:val="24"/>
          <w:lang w:eastAsia="en-US"/>
        </w:rPr>
      </w:pPr>
      <w:r>
        <w:rPr>
          <w:rFonts w:eastAsia="宋体"/>
          <w:sz w:val="24"/>
          <w:szCs w:val="24"/>
          <w:lang w:eastAsia="en-US"/>
        </w:rPr>
        <w:t xml:space="preserve">3.1 Sub-topic 3-1 </w:t>
      </w:r>
      <w:r>
        <w:rPr>
          <w:sz w:val="24"/>
          <w:szCs w:val="16"/>
          <w:lang w:val="en-US"/>
        </w:rPr>
        <w:t>LTM</w:t>
      </w:r>
    </w:p>
    <w:p w14:paraId="715F46F9" w14:textId="77777777" w:rsidR="00C252C0" w:rsidRDefault="00C252C0" w:rsidP="00C252C0">
      <w:pPr>
        <w:spacing w:afterLines="50" w:after="120"/>
        <w:rPr>
          <w:b/>
          <w:u w:val="single"/>
          <w:lang w:eastAsia="zh-CN"/>
        </w:rPr>
      </w:pPr>
      <w:r>
        <w:rPr>
          <w:b/>
          <w:u w:val="single"/>
        </w:rPr>
        <w:t xml:space="preserve">Issue 3-1-1: Definition of </w:t>
      </w:r>
      <w:r>
        <w:rPr>
          <w:b/>
          <w:u w:val="single"/>
          <w:lang w:eastAsia="zh-CN"/>
        </w:rPr>
        <w:t>L1-RSRP measurement relative accuracy</w:t>
      </w:r>
    </w:p>
    <w:p w14:paraId="6F329FF0"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42EA02B"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(MTK): </w:t>
      </w:r>
    </w:p>
    <w:p w14:paraId="0BC34D58" w14:textId="77777777" w:rsidR="00C252C0" w:rsidRDefault="00C252C0" w:rsidP="00C252C0">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intra-frequency relative accuracy of SSB based L1-RSRP is defined as the L1-RSRP measured from one SSB compared to the value of L1-RSRP measured from another SSB of the cell(s) on the same frequency, or between any two SSBs measured on the same cell.</w:t>
      </w:r>
    </w:p>
    <w:p w14:paraId="5E7AD387" w14:textId="77777777" w:rsidR="00C252C0" w:rsidRDefault="00C252C0" w:rsidP="00C252C0">
      <w:pPr>
        <w:pStyle w:val="ListParagraph"/>
        <w:numPr>
          <w:ilvl w:val="2"/>
          <w:numId w:val="29"/>
        </w:numPr>
        <w:overflowPunct/>
        <w:autoSpaceDE/>
        <w:adjustRightInd/>
        <w:spacing w:after="120"/>
        <w:ind w:left="2376" w:firstLineChars="0"/>
        <w:textAlignment w:val="auto"/>
        <w:rPr>
          <w:rFonts w:eastAsia="宋体"/>
          <w:szCs w:val="24"/>
          <w:lang w:eastAsia="zh-CN"/>
        </w:rPr>
      </w:pPr>
      <w:r>
        <w:rPr>
          <w:rFonts w:eastAsia="宋体"/>
          <w:szCs w:val="24"/>
          <w:lang w:eastAsia="zh-CN"/>
        </w:rPr>
        <w:t>The inter-frequency relative accuracy of SSB based L1-RSRP is defined as the L1-RSRP measured from one SSB compared to the value of L1-RSRP measured from another SSB of the cell(s) on a different frequency.</w:t>
      </w:r>
    </w:p>
    <w:p w14:paraId="578F776F" w14:textId="4353BF59" w:rsidR="00C252C0" w:rsidRDefault="00C252C0" w:rsidP="00C252C0">
      <w:pPr>
        <w:rPr>
          <w:lang w:eastAsia="en-US"/>
        </w:rPr>
      </w:pPr>
      <w:r>
        <w:rPr>
          <w:rFonts w:eastAsia="宋体"/>
          <w:b/>
          <w:bCs/>
          <w:szCs w:val="24"/>
        </w:rPr>
        <w:t xml:space="preserve">&lt; </w:t>
      </w:r>
      <w:r>
        <w:rPr>
          <w:b/>
        </w:rPr>
        <w:t>Agreement</w:t>
      </w:r>
      <w:r>
        <w:rPr>
          <w:rFonts w:eastAsia="宋体"/>
          <w:b/>
          <w:bCs/>
          <w:szCs w:val="24"/>
        </w:rPr>
        <w:t>&gt;:</w:t>
      </w:r>
    </w:p>
    <w:p w14:paraId="150D3648" w14:textId="3F6FF697" w:rsidR="0043631A"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Discuss in the CR directly.</w:t>
      </w:r>
    </w:p>
    <w:p w14:paraId="5DD2025C" w14:textId="77777777" w:rsidR="00193013" w:rsidRDefault="00193013" w:rsidP="00D840D9">
      <w:pPr>
        <w:spacing w:afterLines="50" w:after="120"/>
        <w:rPr>
          <w:b/>
          <w:u w:val="single"/>
        </w:rPr>
      </w:pPr>
    </w:p>
    <w:p w14:paraId="419493B0" w14:textId="69FE5A10" w:rsidR="00D840D9" w:rsidRDefault="00D840D9" w:rsidP="00D840D9">
      <w:pPr>
        <w:spacing w:afterLines="50" w:after="120"/>
        <w:rPr>
          <w:b/>
          <w:u w:val="single"/>
        </w:rPr>
      </w:pPr>
      <w:r w:rsidRPr="00D840D9">
        <w:rPr>
          <w:b/>
          <w:u w:val="single"/>
        </w:rPr>
        <w:t>Issue 3-1-2: TCI state configurations</w:t>
      </w:r>
    </w:p>
    <w:p w14:paraId="138BCEC0" w14:textId="77777777" w:rsidR="00D840D9" w:rsidRDefault="00D840D9" w:rsidP="00D840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26C1BBAF" w14:textId="1A456D0D" w:rsidR="00D840D9" w:rsidRDefault="00D840D9" w:rsidP="00193013">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In RRM test case design for LTM, RAN4 avoid TCI configuration with ‘QCL-D’ or ‘UL TCI’ to UE in FR1, which means only DL or Joint TCI with QCL-A/C configuration, and pathloss RS </w:t>
      </w:r>
      <w:proofErr w:type="gramStart"/>
      <w:r>
        <w:rPr>
          <w:rFonts w:eastAsia="宋体"/>
          <w:szCs w:val="24"/>
          <w:lang w:eastAsia="zh-CN"/>
        </w:rPr>
        <w:t>configuration</w:t>
      </w:r>
      <w:proofErr w:type="gramEnd"/>
      <w:r>
        <w:rPr>
          <w:rFonts w:eastAsia="宋体"/>
          <w:szCs w:val="24"/>
          <w:lang w:eastAsia="zh-CN"/>
        </w:rPr>
        <w:t xml:space="preserve"> if necessary, shall be provided to UE in FR1, even if UE supports </w:t>
      </w:r>
      <w:r>
        <w:rPr>
          <w:rFonts w:eastAsia="宋体"/>
          <w:i/>
          <w:iCs/>
          <w:szCs w:val="24"/>
          <w:lang w:eastAsia="zh-CN"/>
        </w:rPr>
        <w:t>ltm-MAC-CE-SeparateTCI-r18</w:t>
      </w:r>
      <w:r>
        <w:rPr>
          <w:rFonts w:eastAsia="宋体"/>
          <w:szCs w:val="24"/>
          <w:lang w:eastAsia="zh-CN"/>
        </w:rPr>
        <w:t>.</w:t>
      </w:r>
    </w:p>
    <w:p w14:paraId="504E617A" w14:textId="77777777" w:rsidR="00193013" w:rsidRPr="00193013" w:rsidRDefault="00193013" w:rsidP="00193013">
      <w:pPr>
        <w:pStyle w:val="ListParagraph"/>
        <w:overflowPunct/>
        <w:autoSpaceDE/>
        <w:adjustRightInd/>
        <w:spacing w:after="120"/>
        <w:ind w:left="1440" w:firstLineChars="0" w:firstLine="0"/>
        <w:textAlignment w:val="auto"/>
        <w:rPr>
          <w:rFonts w:eastAsia="宋体"/>
          <w:szCs w:val="24"/>
          <w:lang w:eastAsia="zh-CN"/>
        </w:rPr>
      </w:pPr>
    </w:p>
    <w:p w14:paraId="1E1A80A2" w14:textId="5D679C3A" w:rsidR="006B35B5" w:rsidRDefault="006B35B5" w:rsidP="006B35B5">
      <w:pPr>
        <w:pStyle w:val="Heading2"/>
        <w:overflowPunct/>
        <w:autoSpaceDE/>
        <w:adjustRightInd/>
        <w:rPr>
          <w:rFonts w:eastAsia="宋体"/>
          <w:sz w:val="24"/>
          <w:szCs w:val="24"/>
          <w:lang w:eastAsia="en-US"/>
        </w:rPr>
      </w:pPr>
      <w:r>
        <w:rPr>
          <w:rFonts w:eastAsia="宋体"/>
          <w:sz w:val="24"/>
          <w:szCs w:val="24"/>
          <w:lang w:eastAsia="en-US"/>
        </w:rPr>
        <w:t xml:space="preserve">3.2 Sub-topic 3-2 </w:t>
      </w:r>
      <w:r w:rsidRPr="006B35B5">
        <w:rPr>
          <w:rFonts w:eastAsia="宋体"/>
          <w:sz w:val="24"/>
          <w:szCs w:val="24"/>
          <w:lang w:eastAsia="en-US"/>
        </w:rPr>
        <w:t>Improvement on SCell/SCG setup delay</w:t>
      </w:r>
    </w:p>
    <w:p w14:paraId="218BCCCE" w14:textId="77777777" w:rsidR="006B35B5" w:rsidRDefault="006B35B5" w:rsidP="006B35B5">
      <w:pPr>
        <w:spacing w:afterLines="50" w:after="120"/>
        <w:rPr>
          <w:b/>
          <w:u w:val="single"/>
          <w:lang w:eastAsia="zh-CN"/>
        </w:rPr>
      </w:pPr>
      <w:r>
        <w:rPr>
          <w:b/>
          <w:u w:val="single"/>
        </w:rPr>
        <w:t xml:space="preserve">Issue 3-2-1: </w:t>
      </w:r>
      <w:r>
        <w:rPr>
          <w:b/>
          <w:color w:val="000000" w:themeColor="text1"/>
          <w:u w:val="single"/>
          <w:lang w:val="en-US" w:eastAsia="ko-KR"/>
        </w:rPr>
        <w:t>More test for Improvement on SCell/SCG setup delay</w:t>
      </w:r>
    </w:p>
    <w:p w14:paraId="55C9FB82" w14:textId="77777777" w:rsidR="006B35B5" w:rsidRDefault="006B35B5" w:rsidP="006B35B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5EDC5F74" w14:textId="77777777" w:rsidR="006B35B5" w:rsidRDefault="006B35B5" w:rsidP="006B35B5">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1 (Nokia):</w:t>
      </w:r>
    </w:p>
    <w:p w14:paraId="12FFAFA3" w14:textId="7485A534" w:rsidR="00B67B78" w:rsidRPr="006B35B5" w:rsidRDefault="006B35B5" w:rsidP="006B35B5">
      <w:pPr>
        <w:pStyle w:val="ListParagraph"/>
        <w:numPr>
          <w:ilvl w:val="2"/>
          <w:numId w:val="29"/>
        </w:numPr>
        <w:spacing w:after="120"/>
        <w:ind w:left="2376" w:firstLineChars="0"/>
        <w:textAlignment w:val="auto"/>
        <w:rPr>
          <w:rFonts w:eastAsia="MS Mincho"/>
          <w:lang w:eastAsia="en-US"/>
        </w:rPr>
      </w:pPr>
      <w:r>
        <w:t>Introduce test cases with valid reporting for FR1 and FR2 also for the case when the UE is configured with EMR measurements.</w:t>
      </w:r>
      <w:bookmarkEnd w:id="6"/>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22EC" w14:textId="77777777" w:rsidR="0080511B" w:rsidRDefault="0080511B">
      <w:pPr>
        <w:spacing w:after="0"/>
      </w:pPr>
      <w:r>
        <w:separator/>
      </w:r>
    </w:p>
  </w:endnote>
  <w:endnote w:type="continuationSeparator" w:id="0">
    <w:p w14:paraId="33F43FB9" w14:textId="77777777" w:rsidR="0080511B" w:rsidRDefault="00805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538D" w14:textId="77777777" w:rsidR="0080511B" w:rsidRDefault="0080511B">
      <w:pPr>
        <w:spacing w:after="0"/>
      </w:pPr>
      <w:r>
        <w:separator/>
      </w:r>
    </w:p>
  </w:footnote>
  <w:footnote w:type="continuationSeparator" w:id="0">
    <w:p w14:paraId="235B3D84" w14:textId="77777777" w:rsidR="0080511B" w:rsidRDefault="008051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宋体" w:eastAsia="宋体" w:hAnsi="宋体"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626099">
    <w:abstractNumId w:val="13"/>
  </w:num>
  <w:num w:numId="2" w16cid:durableId="641691700">
    <w:abstractNumId w:val="11"/>
  </w:num>
  <w:num w:numId="3" w16cid:durableId="1949386441">
    <w:abstractNumId w:val="14"/>
  </w:num>
  <w:num w:numId="4" w16cid:durableId="1886720484">
    <w:abstractNumId w:val="10"/>
  </w:num>
  <w:num w:numId="5" w16cid:durableId="1092121546">
    <w:abstractNumId w:val="12"/>
  </w:num>
  <w:num w:numId="6" w16cid:durableId="1529442456">
    <w:abstractNumId w:val="5"/>
  </w:num>
  <w:num w:numId="7" w16cid:durableId="1023943494">
    <w:abstractNumId w:val="2"/>
  </w:num>
  <w:num w:numId="8" w16cid:durableId="1866089606">
    <w:abstractNumId w:val="10"/>
  </w:num>
  <w:num w:numId="9" w16cid:durableId="1114133538">
    <w:abstractNumId w:val="10"/>
  </w:num>
  <w:num w:numId="10" w16cid:durableId="713895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826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23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211360">
    <w:abstractNumId w:val="10"/>
  </w:num>
  <w:num w:numId="15" w16cid:durableId="1488787318">
    <w:abstractNumId w:val="11"/>
  </w:num>
  <w:num w:numId="16" w16cid:durableId="31618102">
    <w:abstractNumId w:val="10"/>
  </w:num>
  <w:num w:numId="17" w16cid:durableId="1419788336">
    <w:abstractNumId w:val="2"/>
  </w:num>
  <w:num w:numId="18" w16cid:durableId="1965378452">
    <w:abstractNumId w:val="10"/>
  </w:num>
  <w:num w:numId="19" w16cid:durableId="1934584098">
    <w:abstractNumId w:val="10"/>
  </w:num>
  <w:num w:numId="20" w16cid:durableId="1796634277">
    <w:abstractNumId w:val="12"/>
  </w:num>
  <w:num w:numId="21" w16cid:durableId="857696608">
    <w:abstractNumId w:val="7"/>
  </w:num>
  <w:num w:numId="22" w16cid:durableId="717632424">
    <w:abstractNumId w:val="9"/>
  </w:num>
  <w:num w:numId="23" w16cid:durableId="1220554610">
    <w:abstractNumId w:val="1"/>
  </w:num>
  <w:num w:numId="24" w16cid:durableId="1810127557">
    <w:abstractNumId w:val="0"/>
  </w:num>
  <w:num w:numId="25" w16cid:durableId="1056389246">
    <w:abstractNumId w:val="0"/>
  </w:num>
  <w:num w:numId="26" w16cid:durableId="2096244259">
    <w:abstractNumId w:val="10"/>
  </w:num>
  <w:num w:numId="27" w16cid:durableId="724764252">
    <w:abstractNumId w:val="11"/>
  </w:num>
  <w:num w:numId="28" w16cid:durableId="414594973">
    <w:abstractNumId w:val="6"/>
  </w:num>
  <w:num w:numId="29" w16cid:durableId="932855939">
    <w:abstractNumId w:val="10"/>
  </w:num>
  <w:num w:numId="30" w16cid:durableId="704869164">
    <w:abstractNumId w:val="15"/>
  </w:num>
  <w:num w:numId="31" w16cid:durableId="1013343555">
    <w:abstractNumId w:val="10"/>
  </w:num>
  <w:num w:numId="32" w16cid:durableId="122382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6361"/>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17D83"/>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D1C"/>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93A"/>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3F"/>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821"/>
    <w:rsid w:val="00746350"/>
    <w:rsid w:val="00747082"/>
    <w:rsid w:val="00747A76"/>
    <w:rsid w:val="00750C5F"/>
    <w:rsid w:val="00751418"/>
    <w:rsid w:val="0075163B"/>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11B"/>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685"/>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029"/>
    <w:rsid w:val="009E3857"/>
    <w:rsid w:val="009E4088"/>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4AA"/>
    <w:rsid w:val="00B70F0A"/>
    <w:rsid w:val="00B70F23"/>
    <w:rsid w:val="00B71902"/>
    <w:rsid w:val="00B71EC7"/>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8C3"/>
    <w:rsid w:val="00CF4D05"/>
    <w:rsid w:val="00CF502A"/>
    <w:rsid w:val="00CF5FA8"/>
    <w:rsid w:val="00CF6334"/>
    <w:rsid w:val="00CF6A01"/>
    <w:rsid w:val="00CF6E1D"/>
    <w:rsid w:val="00CF76CD"/>
    <w:rsid w:val="00CF792A"/>
    <w:rsid w:val="00CF7C54"/>
    <w:rsid w:val="00CF7E80"/>
    <w:rsid w:val="00CF7F3C"/>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B5E"/>
    <w:rsid w:val="00D5719C"/>
    <w:rsid w:val="00D57274"/>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185"/>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宋体"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1"/>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1">
    <w:name w:val="List Paragraph Char1"/>
    <w:aliases w:val="R4_bullets Char1,- Bullets Char1,?? ?? Char1,????? Char1,???? Char1,リスト段落 Char1,Lista1 Char1,列出段落1 Char1,中等深浅网格 1 - 着色 21 Char1,列表段落1 Char1,—ño’i—Ž Char1,¥¡¡¡¡ì¬º¥¹¥È¶ÎÂä Char1,ÁÐ³ö¶ÎÂä Char1,¥ê¥¹¥È¶ÎÂä Char1,Paragrafo elenco Char"/>
    <w:link w:val="ListParagraph"/>
    <w:uiPriority w:val="34"/>
    <w:qFormat/>
    <w:locked/>
    <w:rPr>
      <w:rFonts w:ascii="Times New Roman" w:eastAsia="Times New Roman" w:hAnsi="Times New Roman"/>
    </w:rPr>
  </w:style>
  <w:style w:type="character" w:customStyle="1" w:styleId="a">
    <w:name w:val="列表段落 字符"/>
    <w:aliases w:val="列表段落11 字符,列 字符"/>
    <w:uiPriority w:val="34"/>
    <w:qFormat/>
    <w:locked/>
    <w:rPr>
      <w:rFonts w:eastAsia="MS Mincho"/>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rPr>
  </w:style>
  <w:style w:type="paragraph" w:customStyle="1" w:styleId="1">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DefaultParagraphFont"/>
    <w:uiPriority w:val="34"/>
    <w:qFormat/>
    <w:locked/>
  </w:style>
  <w:style w:type="paragraph" w:customStyle="1" w:styleId="Agreement">
    <w:name w:val="Agreement"/>
    <w:basedOn w:val="Normal"/>
    <w:next w:val="Normal"/>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Normal"/>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
    <w:name w:val="修订2"/>
    <w:hidden/>
    <w:uiPriority w:val="99"/>
    <w:unhideWhenUsed/>
    <w:qFormat/>
    <w:rPr>
      <w:rFonts w:ascii="Times New Roman" w:eastAsia="Times New Roman" w:hAnsi="Times New Roman"/>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styleId="Revision">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customXml/itemProps2.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5511F-2CCB-46DB-8F93-BA2DF1551210}">
  <ds:schemaRefs>
    <ds:schemaRef ds:uri="http://schemas.microsoft.com/sharepoint/events"/>
  </ds:schemaRefs>
</ds:datastoreItem>
</file>

<file path=customXml/itemProps4.xml><?xml version="1.0" encoding="utf-8"?>
<ds:datastoreItem xmlns:ds="http://schemas.openxmlformats.org/officeDocument/2006/customXml" ds:itemID="{B10158BD-DD65-4BED-ADF4-1B2ECFCF5A6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7.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6</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Miao Wang</cp:lastModifiedBy>
  <cp:revision>4</cp:revision>
  <dcterms:created xsi:type="dcterms:W3CDTF">2024-08-23T08:25:00Z</dcterms:created>
  <dcterms:modified xsi:type="dcterms:W3CDTF">2024-08-23T08:51:00Z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