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597B1E4"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A26321">
        <w:rPr>
          <w:rFonts w:ascii="Arial" w:hAnsi="Arial" w:cs="Arial"/>
          <w:b/>
          <w:sz w:val="24"/>
          <w:szCs w:val="24"/>
          <w:lang w:eastAsia="zh-CN"/>
        </w:rPr>
        <w:t>2</w:t>
      </w:r>
      <w:r w:rsidRPr="00377591">
        <w:rPr>
          <w:rFonts w:ascii="Arial" w:eastAsia="MS Mincho" w:hAnsi="Arial" w:cs="Arial"/>
          <w:b/>
          <w:sz w:val="24"/>
          <w:szCs w:val="24"/>
        </w:rPr>
        <w:tab/>
      </w:r>
      <w:r w:rsidR="00FF6DAB" w:rsidRPr="00FF6DAB">
        <w:rPr>
          <w:rFonts w:ascii="Arial" w:eastAsia="MS Mincho" w:hAnsi="Arial" w:cs="Arial"/>
          <w:b/>
          <w:sz w:val="24"/>
          <w:szCs w:val="24"/>
        </w:rPr>
        <w:t>R4-241</w:t>
      </w:r>
      <w:r w:rsidR="00A26321">
        <w:rPr>
          <w:rFonts w:ascii="Arial" w:eastAsia="MS Mincho" w:hAnsi="Arial" w:cs="Arial"/>
          <w:b/>
          <w:sz w:val="24"/>
          <w:szCs w:val="24"/>
        </w:rPr>
        <w:t>4277</w:t>
      </w:r>
    </w:p>
    <w:p w14:paraId="0ED16545" w14:textId="7D1F3915" w:rsidR="0068254F" w:rsidRPr="00881E60" w:rsidRDefault="006249B0"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Maastricht, Netherlands</w:t>
      </w:r>
      <w:r w:rsidR="00EF3FF4">
        <w:rPr>
          <w:rFonts w:ascii="Arial" w:hAnsi="Arial"/>
          <w:b/>
          <w:sz w:val="24"/>
          <w:szCs w:val="24"/>
          <w:lang w:eastAsia="zh-CN"/>
        </w:rPr>
        <w:t xml:space="preserve">, </w:t>
      </w:r>
      <w:r w:rsidR="00A26321">
        <w:rPr>
          <w:rFonts w:ascii="Arial" w:hAnsi="Arial"/>
          <w:b/>
          <w:sz w:val="24"/>
          <w:szCs w:val="24"/>
          <w:lang w:eastAsia="zh-CN"/>
        </w:rPr>
        <w:t>19</w:t>
      </w:r>
      <w:r w:rsidR="00156F82">
        <w:rPr>
          <w:rFonts w:ascii="Arial" w:hAnsi="Arial"/>
          <w:b/>
          <w:sz w:val="24"/>
          <w:szCs w:val="24"/>
          <w:lang w:eastAsia="zh-CN"/>
        </w:rPr>
        <w:t>-2</w:t>
      </w:r>
      <w:r w:rsidR="00A26321">
        <w:rPr>
          <w:rFonts w:ascii="Arial" w:hAnsi="Arial"/>
          <w:b/>
          <w:sz w:val="24"/>
          <w:szCs w:val="24"/>
          <w:lang w:eastAsia="zh-CN"/>
        </w:rPr>
        <w:t>3</w:t>
      </w:r>
      <w:r w:rsidR="00950C7F">
        <w:rPr>
          <w:rFonts w:ascii="Arial" w:hAnsi="Arial"/>
          <w:b/>
          <w:sz w:val="24"/>
          <w:szCs w:val="24"/>
          <w:lang w:eastAsia="zh-CN"/>
        </w:rPr>
        <w:t xml:space="preserve"> </w:t>
      </w:r>
      <w:r w:rsidR="00A26321">
        <w:rPr>
          <w:rFonts w:ascii="Arial" w:hAnsi="Arial"/>
          <w:b/>
          <w:sz w:val="24"/>
          <w:szCs w:val="24"/>
          <w:lang w:eastAsia="zh-CN"/>
        </w:rPr>
        <w:t>Aug</w:t>
      </w:r>
      <w:r w:rsidR="00EF3FF4" w:rsidRPr="00EF3FF4">
        <w:rPr>
          <w:rFonts w:ascii="Arial" w:hAnsi="Arial"/>
          <w:b/>
          <w:sz w:val="24"/>
          <w:szCs w:val="24"/>
          <w:lang w:eastAsia="zh-CN"/>
        </w:rPr>
        <w:t>, 202</w:t>
      </w:r>
      <w:r w:rsidR="00E76B29">
        <w:rPr>
          <w:rFonts w:ascii="Arial" w:hAnsi="Arial"/>
          <w:b/>
          <w:sz w:val="24"/>
          <w:szCs w:val="24"/>
          <w:lang w:eastAsia="zh-CN"/>
        </w:rPr>
        <w:t>4</w:t>
      </w:r>
    </w:p>
    <w:p w14:paraId="1226C057" w14:textId="5A80F07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950C7F">
        <w:rPr>
          <w:rFonts w:ascii="Arial" w:hAnsi="Arial" w:cs="Arial"/>
          <w:sz w:val="22"/>
          <w:lang w:eastAsia="zh-CN"/>
        </w:rPr>
        <w:t xml:space="preserve">WF </w:t>
      </w:r>
      <w:r w:rsidR="00950C7F" w:rsidRPr="00950C7F">
        <w:rPr>
          <w:rFonts w:ascii="Arial" w:hAnsi="Arial" w:cs="Arial"/>
          <w:sz w:val="22"/>
          <w:lang w:eastAsia="zh-CN"/>
        </w:rPr>
        <w:t xml:space="preserve">on </w:t>
      </w:r>
      <w:r w:rsidR="00A26321">
        <w:rPr>
          <w:rFonts w:ascii="Arial" w:hAnsi="Arial" w:cs="Arial"/>
          <w:sz w:val="22"/>
          <w:lang w:eastAsia="zh-CN"/>
        </w:rPr>
        <w:t>HPUE for CA in TN</w:t>
      </w:r>
    </w:p>
    <w:p w14:paraId="73AD8CE3" w14:textId="7E1D81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26321">
        <w:rPr>
          <w:rFonts w:ascii="Arial" w:hAnsi="Arial" w:cs="Arial"/>
          <w:sz w:val="22"/>
          <w:lang w:eastAsia="zh-CN"/>
        </w:rPr>
        <w:t>8.1.3</w:t>
      </w:r>
    </w:p>
    <w:p w14:paraId="6402E503" w14:textId="24F8503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50C7F" w:rsidRPr="00E4673A">
        <w:rPr>
          <w:rFonts w:ascii="Arial" w:hAnsi="Arial" w:cs="Arial"/>
          <w:bCs/>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1BF4FB5" w14:textId="77777777" w:rsidR="00431D02" w:rsidRPr="00431D02" w:rsidRDefault="00431D02" w:rsidP="003E08FC">
      <w:pPr>
        <w:pStyle w:val="B1"/>
        <w:rPr>
          <w:lang w:eastAsia="zh-CN"/>
        </w:rPr>
      </w:pPr>
    </w:p>
    <w:p w14:paraId="179DFD57" w14:textId="314D2C0E" w:rsidR="003960CF" w:rsidRDefault="003960CF" w:rsidP="009D0BDF">
      <w:pPr>
        <w:pStyle w:val="1"/>
        <w:spacing w:after="360"/>
      </w:pPr>
      <w:r w:rsidRPr="003960CF">
        <w:t xml:space="preserve"> </w:t>
      </w:r>
      <w:r w:rsidR="009D0BDF">
        <w:t>1</w:t>
      </w:r>
      <w:r>
        <w:t xml:space="preserve">. </w:t>
      </w:r>
      <w:r w:rsidRPr="003960CF">
        <w:t>PC1.5 for intra-band contiguous and non-contiguous UL CA</w:t>
      </w:r>
    </w:p>
    <w:p w14:paraId="49EAF581" w14:textId="286D44FD" w:rsidR="003960CF" w:rsidRPr="00CD6CE0" w:rsidRDefault="009D0BDF" w:rsidP="00CD6CE0">
      <w:pPr>
        <w:pStyle w:val="2"/>
        <w:rPr>
          <w:sz w:val="24"/>
          <w:lang w:eastAsia="zh-CN"/>
        </w:rPr>
      </w:pPr>
      <w:r>
        <w:rPr>
          <w:sz w:val="24"/>
        </w:rPr>
        <w:t>1</w:t>
      </w:r>
      <w:r w:rsidR="00431D02" w:rsidRPr="00431D02">
        <w:rPr>
          <w:sz w:val="24"/>
        </w:rPr>
        <w:t xml:space="preserve">.1 </w:t>
      </w:r>
      <w:r w:rsidR="00924551" w:rsidRPr="00924551">
        <w:rPr>
          <w:sz w:val="24"/>
        </w:rPr>
        <w:t>MPR evaluation methodology and assumption</w:t>
      </w:r>
    </w:p>
    <w:p w14:paraId="4F2D8359" w14:textId="3D5A3D0E" w:rsidR="00D8034C" w:rsidRPr="00BC4B28" w:rsidRDefault="0089542A" w:rsidP="00D8034C">
      <w:pPr>
        <w:rPr>
          <w:rFonts w:eastAsiaTheme="minorEastAsia"/>
          <w:b/>
          <w:bCs/>
        </w:rPr>
      </w:pPr>
      <w:r w:rsidRPr="00BC4B28">
        <w:rPr>
          <w:rFonts w:eastAsiaTheme="minorEastAsia"/>
          <w:b/>
          <w:bCs/>
        </w:rPr>
        <w:t xml:space="preserve">Online </w:t>
      </w:r>
      <w:r w:rsidR="00BC4B28" w:rsidRPr="00BC4B28">
        <w:rPr>
          <w:rFonts w:eastAsiaTheme="minorEastAsia"/>
          <w:b/>
          <w:bCs/>
        </w:rPr>
        <w:t>a</w:t>
      </w:r>
      <w:r w:rsidR="00D8034C" w:rsidRPr="00BC4B28">
        <w:rPr>
          <w:rFonts w:eastAsiaTheme="minorEastAsia"/>
          <w:b/>
          <w:bCs/>
        </w:rPr>
        <w:t xml:space="preserve">greement: </w:t>
      </w:r>
    </w:p>
    <w:p w14:paraId="1375B4D6" w14:textId="77777777" w:rsidR="00E93447" w:rsidRPr="00BC4B28" w:rsidRDefault="00E93447" w:rsidP="00E93447">
      <w:pPr>
        <w:pStyle w:val="af"/>
        <w:numPr>
          <w:ilvl w:val="0"/>
          <w:numId w:val="10"/>
        </w:numPr>
        <w:ind w:firstLineChars="0"/>
        <w:rPr>
          <w:rFonts w:eastAsiaTheme="minorEastAsia"/>
        </w:rPr>
      </w:pPr>
      <w:r w:rsidRPr="00BC4B28">
        <w:t xml:space="preserve">MPR and CANS_04 A-MPR studies for PC1.5 contiguous intra-band ULCA focusses on </w:t>
      </w:r>
      <w:proofErr w:type="spellStart"/>
      <w:r w:rsidRPr="00BC4B28">
        <w:t>TxD</w:t>
      </w:r>
      <w:proofErr w:type="spellEnd"/>
      <w:r w:rsidRPr="00BC4B28">
        <w:t xml:space="preserve"> architecture and may account for PSD imbalance with up to 6dB.</w:t>
      </w:r>
    </w:p>
    <w:p w14:paraId="25A735CF" w14:textId="77777777" w:rsidR="00E93447" w:rsidRPr="00BC4B28" w:rsidRDefault="00E93447" w:rsidP="00E93447">
      <w:pPr>
        <w:pStyle w:val="af"/>
        <w:numPr>
          <w:ilvl w:val="1"/>
          <w:numId w:val="10"/>
        </w:numPr>
        <w:ind w:firstLineChars="0"/>
        <w:rPr>
          <w:rFonts w:eastAsiaTheme="minorEastAsia"/>
        </w:rPr>
      </w:pPr>
      <w:r w:rsidRPr="00BC4B28">
        <w:rPr>
          <w:rFonts w:eastAsiaTheme="minorEastAsia" w:hint="eastAsia"/>
        </w:rPr>
        <w:t>F</w:t>
      </w:r>
      <w:r w:rsidRPr="00BC4B28">
        <w:rPr>
          <w:rFonts w:eastAsiaTheme="minorEastAsia"/>
        </w:rPr>
        <w:t>FS on whether to define the requirements based on equal PSD or PSD imbalance with 6dB</w:t>
      </w:r>
    </w:p>
    <w:p w14:paraId="1AC8054B" w14:textId="77777777" w:rsidR="00E93447" w:rsidRPr="00BC4B28" w:rsidRDefault="00E93447" w:rsidP="00E93447">
      <w:pPr>
        <w:pStyle w:val="af"/>
        <w:numPr>
          <w:ilvl w:val="0"/>
          <w:numId w:val="10"/>
        </w:numPr>
        <w:ind w:firstLineChars="0"/>
        <w:rPr>
          <w:rFonts w:eastAsiaTheme="minorEastAsia"/>
        </w:rPr>
      </w:pPr>
      <w:r w:rsidRPr="00BC4B28">
        <w:t xml:space="preserve">PC1.5 contiguous intra-band ULCA based on </w:t>
      </w:r>
      <w:proofErr w:type="spellStart"/>
      <w:r w:rsidRPr="00BC4B28">
        <w:t>dualPA</w:t>
      </w:r>
      <w:proofErr w:type="spellEnd"/>
      <w:r w:rsidRPr="00BC4B28">
        <w:t xml:space="preserve"> architecture with two LOs is not specified in R19</w:t>
      </w:r>
    </w:p>
    <w:p w14:paraId="067FBF7A" w14:textId="77777777" w:rsidR="00E93447" w:rsidRPr="00BC4B28" w:rsidRDefault="00E93447" w:rsidP="00E93447">
      <w:pPr>
        <w:pStyle w:val="af"/>
        <w:numPr>
          <w:ilvl w:val="0"/>
          <w:numId w:val="10"/>
        </w:numPr>
        <w:ind w:firstLineChars="0"/>
        <w:rPr>
          <w:rFonts w:eastAsiaTheme="minorEastAsia"/>
        </w:rPr>
      </w:pPr>
      <w:r w:rsidRPr="00BC4B28">
        <w:t xml:space="preserve">MPR studies for PC1.5 non-contiguous intra-band ULCA focusses on </w:t>
      </w:r>
      <w:proofErr w:type="spellStart"/>
      <w:r w:rsidRPr="00BC4B28">
        <w:t>dualPA</w:t>
      </w:r>
      <w:proofErr w:type="spellEnd"/>
      <w:r w:rsidRPr="00BC4B28">
        <w:t xml:space="preserve"> architecture with two LOs and may account for PSD imbalance with up to 6dB.</w:t>
      </w:r>
    </w:p>
    <w:p w14:paraId="6DE16BC2" w14:textId="77777777" w:rsidR="00E93447" w:rsidRPr="00BC4B28" w:rsidRDefault="00E93447" w:rsidP="00E93447">
      <w:pPr>
        <w:pStyle w:val="af"/>
        <w:numPr>
          <w:ilvl w:val="1"/>
          <w:numId w:val="10"/>
        </w:numPr>
        <w:ind w:firstLineChars="0"/>
        <w:rPr>
          <w:rFonts w:eastAsiaTheme="minorEastAsia"/>
        </w:rPr>
      </w:pPr>
      <w:r w:rsidRPr="00BC4B28">
        <w:rPr>
          <w:rFonts w:eastAsiaTheme="minorEastAsia" w:hint="eastAsia"/>
        </w:rPr>
        <w:t>F</w:t>
      </w:r>
      <w:r w:rsidRPr="00BC4B28">
        <w:rPr>
          <w:rFonts w:eastAsiaTheme="minorEastAsia"/>
        </w:rPr>
        <w:t>FS on whether to define the requirements based on equal PSD or PSD imbalance with 6dB</w:t>
      </w:r>
    </w:p>
    <w:p w14:paraId="7BEFD368" w14:textId="77777777" w:rsidR="00E93447" w:rsidRPr="00BC4B28" w:rsidRDefault="00E93447" w:rsidP="00E93447">
      <w:pPr>
        <w:pStyle w:val="af"/>
        <w:numPr>
          <w:ilvl w:val="0"/>
          <w:numId w:val="10"/>
        </w:numPr>
        <w:ind w:firstLineChars="0"/>
      </w:pPr>
      <w:r w:rsidRPr="00BC4B28">
        <w:t xml:space="preserve">PC1.5 non-contiguous intra-band ULCA based on </w:t>
      </w:r>
      <w:proofErr w:type="spellStart"/>
      <w:r w:rsidRPr="00BC4B28">
        <w:t>TxD</w:t>
      </w:r>
      <w:proofErr w:type="spellEnd"/>
      <w:r w:rsidRPr="00BC4B28">
        <w:t xml:space="preserve"> architecture is not specified in R19</w:t>
      </w:r>
    </w:p>
    <w:p w14:paraId="2D0CDA33" w14:textId="77777777" w:rsidR="00E93447" w:rsidRDefault="00E93447" w:rsidP="00E93447">
      <w:pPr>
        <w:overflowPunct/>
        <w:autoSpaceDE/>
        <w:autoSpaceDN/>
        <w:adjustRightInd/>
        <w:spacing w:after="120"/>
        <w:textAlignment w:val="auto"/>
        <w:rPr>
          <w:rFonts w:eastAsiaTheme="minorEastAsia"/>
          <w:highlight w:val="green"/>
          <w:lang w:val="en-US"/>
        </w:rPr>
      </w:pPr>
    </w:p>
    <w:p w14:paraId="2E428FE1" w14:textId="77777777" w:rsidR="0079696D" w:rsidRDefault="0079696D" w:rsidP="004047E1">
      <w:pPr>
        <w:pStyle w:val="B1"/>
        <w:ind w:left="0" w:firstLine="0"/>
        <w:rPr>
          <w:rFonts w:eastAsiaTheme="minorEastAsia" w:hint="eastAsia"/>
          <w:lang w:eastAsia="zh-CN"/>
        </w:rPr>
      </w:pPr>
    </w:p>
    <w:p w14:paraId="1AE57CC7" w14:textId="7A7A21E7" w:rsidR="003960CF" w:rsidRPr="00431D02" w:rsidRDefault="009D0BDF" w:rsidP="00A42552">
      <w:pPr>
        <w:pStyle w:val="2"/>
        <w:ind w:left="0" w:firstLine="0"/>
        <w:rPr>
          <w:sz w:val="24"/>
          <w:lang w:eastAsia="zh-CN"/>
        </w:rPr>
      </w:pPr>
      <w:r>
        <w:rPr>
          <w:sz w:val="24"/>
        </w:rPr>
        <w:t>1</w:t>
      </w:r>
      <w:r w:rsidR="00A42552">
        <w:rPr>
          <w:sz w:val="24"/>
        </w:rPr>
        <w:t>.2</w:t>
      </w:r>
      <w:r w:rsidR="00397720">
        <w:rPr>
          <w:sz w:val="24"/>
        </w:rPr>
        <w:t xml:space="preserve"> </w:t>
      </w:r>
      <w:r w:rsidR="00EF2CA7" w:rsidRPr="00EF2CA7">
        <w:rPr>
          <w:sz w:val="24"/>
        </w:rPr>
        <w:t>P</w:t>
      </w:r>
      <w:r w:rsidR="00EF2CA7" w:rsidRPr="00EF2CA7">
        <w:rPr>
          <w:sz w:val="24"/>
          <w:vertAlign w:val="subscript"/>
        </w:rPr>
        <w:t>CMAX,C</w:t>
      </w:r>
      <w:r w:rsidR="000B5112">
        <w:rPr>
          <w:sz w:val="24"/>
          <w:vertAlign w:val="subscript"/>
        </w:rPr>
        <w:t xml:space="preserve"> </w:t>
      </w:r>
    </w:p>
    <w:p w14:paraId="237E193E" w14:textId="09F16AA9" w:rsidR="008B2E96" w:rsidRPr="00BC4B28" w:rsidRDefault="00BD2C81" w:rsidP="008B2E96">
      <w:pPr>
        <w:rPr>
          <w:rFonts w:eastAsiaTheme="minorEastAsia"/>
        </w:rPr>
      </w:pPr>
      <w:bookmarkStart w:id="0" w:name="_Hlk175006540"/>
      <w:proofErr w:type="spellStart"/>
      <w:r w:rsidRPr="00BC4B28">
        <w:rPr>
          <w:rFonts w:eastAsiaTheme="minorEastAsia"/>
          <w:b/>
          <w:bCs/>
        </w:rPr>
        <w:t>A</w:t>
      </w:r>
      <w:r w:rsidRPr="00BC4B28">
        <w:rPr>
          <w:rFonts w:eastAsiaTheme="minorEastAsia" w:hint="eastAsia"/>
          <w:b/>
          <w:bCs/>
          <w:lang w:eastAsia="zh-CN"/>
        </w:rPr>
        <w:t>dh</w:t>
      </w:r>
      <w:r w:rsidRPr="00BC4B28">
        <w:rPr>
          <w:rFonts w:eastAsiaTheme="minorEastAsia"/>
          <w:b/>
          <w:bCs/>
          <w:lang w:eastAsia="zh-CN"/>
        </w:rPr>
        <w:t>oc</w:t>
      </w:r>
      <w:proofErr w:type="spellEnd"/>
      <w:r w:rsidRPr="00BC4B28">
        <w:rPr>
          <w:rFonts w:eastAsiaTheme="minorEastAsia"/>
          <w:b/>
          <w:bCs/>
          <w:lang w:eastAsia="zh-CN"/>
        </w:rPr>
        <w:t xml:space="preserve"> </w:t>
      </w:r>
      <w:r w:rsidR="00BC4B28" w:rsidRPr="00BC4B28">
        <w:rPr>
          <w:rFonts w:eastAsiaTheme="minorEastAsia"/>
          <w:b/>
          <w:bCs/>
        </w:rPr>
        <w:t>a</w:t>
      </w:r>
      <w:r w:rsidR="00D8632C" w:rsidRPr="00BC4B28">
        <w:rPr>
          <w:rFonts w:eastAsiaTheme="minorEastAsia"/>
          <w:b/>
          <w:bCs/>
        </w:rPr>
        <w:t>greement</w:t>
      </w:r>
      <w:r w:rsidR="008B2E96" w:rsidRPr="00BC4B28">
        <w:rPr>
          <w:rFonts w:eastAsiaTheme="minorEastAsia"/>
          <w:b/>
          <w:bCs/>
        </w:rPr>
        <w:t xml:space="preserve">: </w:t>
      </w:r>
    </w:p>
    <w:p w14:paraId="74480307" w14:textId="383C03F1" w:rsidR="004B03DA" w:rsidRPr="008F5928" w:rsidRDefault="000B5112" w:rsidP="008F5928">
      <w:pPr>
        <w:pStyle w:val="af"/>
        <w:numPr>
          <w:ilvl w:val="0"/>
          <w:numId w:val="10"/>
        </w:numPr>
        <w:ind w:firstLineChars="0"/>
      </w:pPr>
      <w:r w:rsidRPr="008F5928">
        <w:t>For intra-band UL NC CA with</w:t>
      </w:r>
      <w:r w:rsidRPr="008F5928">
        <w:rPr>
          <w:rFonts w:hint="eastAsia"/>
        </w:rPr>
        <w:t xml:space="preserve"> </w:t>
      </w:r>
      <w:proofErr w:type="spellStart"/>
      <w:r w:rsidRPr="008F5928">
        <w:rPr>
          <w:rFonts w:hint="eastAsia"/>
        </w:rPr>
        <w:t>dualPA</w:t>
      </w:r>
      <w:proofErr w:type="spellEnd"/>
      <w:r w:rsidRPr="008F5928">
        <w:rPr>
          <w:rFonts w:hint="eastAsia"/>
        </w:rPr>
        <w:t>-architecture,</w:t>
      </w:r>
      <w:r w:rsidRPr="008F5928">
        <w:t xml:space="preserve"> </w:t>
      </w:r>
      <w:r w:rsidR="00BC4B28" w:rsidRPr="008F5928">
        <w:t xml:space="preserve">the </w:t>
      </w:r>
      <w:r w:rsidR="004B03DA" w:rsidRPr="008F5928">
        <w:t>u</w:t>
      </w:r>
      <w:r w:rsidR="009F20C5" w:rsidRPr="008F5928">
        <w:t xml:space="preserve">pper bound of </w:t>
      </w:r>
      <w:proofErr w:type="spellStart"/>
      <w:r w:rsidR="009F20C5" w:rsidRPr="008F5928">
        <w:t>Pc</w:t>
      </w:r>
      <w:r w:rsidR="004B03DA" w:rsidRPr="008F5928">
        <w:t>ma</w:t>
      </w:r>
      <w:r w:rsidR="009F20C5" w:rsidRPr="008F5928">
        <w:t>x</w:t>
      </w:r>
      <w:r w:rsidR="004B03DA" w:rsidRPr="008F5928">
        <w:t>,c</w:t>
      </w:r>
      <w:proofErr w:type="spellEnd"/>
      <w:r w:rsidR="009F20C5" w:rsidRPr="008F5928">
        <w:t xml:space="preserve"> is 26dBm per C</w:t>
      </w:r>
      <w:r w:rsidR="004B03DA" w:rsidRPr="008F5928">
        <w:t>C</w:t>
      </w:r>
    </w:p>
    <w:p w14:paraId="349FF9A7" w14:textId="79D8600D" w:rsidR="004B03DA" w:rsidRPr="008F5928" w:rsidRDefault="004B03DA" w:rsidP="008F5928">
      <w:pPr>
        <w:pStyle w:val="af"/>
        <w:numPr>
          <w:ilvl w:val="1"/>
          <w:numId w:val="10"/>
        </w:numPr>
        <w:ind w:firstLineChars="0"/>
        <w:rPr>
          <w:rFonts w:eastAsiaTheme="minorEastAsia"/>
        </w:rPr>
      </w:pPr>
      <w:r w:rsidRPr="008F5928">
        <w:rPr>
          <w:rFonts w:eastAsiaTheme="minorEastAsia"/>
        </w:rPr>
        <w:t>Whether or how to reflect the above agreement in spec is FFS</w:t>
      </w:r>
      <w:r w:rsidRPr="008F5928">
        <w:rPr>
          <w:rFonts w:eastAsiaTheme="minorEastAsia" w:hint="eastAsia"/>
        </w:rPr>
        <w:t xml:space="preserve"> </w:t>
      </w:r>
      <w:r w:rsidRPr="008F5928">
        <w:rPr>
          <w:rFonts w:eastAsiaTheme="minorEastAsia"/>
        </w:rPr>
        <w:t xml:space="preserve"> </w:t>
      </w:r>
    </w:p>
    <w:p w14:paraId="635C3FE0" w14:textId="71701069" w:rsidR="000B5112" w:rsidRPr="008F5928" w:rsidRDefault="000B5112" w:rsidP="008F5928">
      <w:pPr>
        <w:pStyle w:val="af"/>
        <w:numPr>
          <w:ilvl w:val="0"/>
          <w:numId w:val="10"/>
        </w:numPr>
        <w:ind w:firstLineChars="0"/>
      </w:pPr>
      <w:r w:rsidRPr="008F5928">
        <w:t>For intra-band UL contiguous CA with</w:t>
      </w:r>
      <w:r w:rsidRPr="008F5928">
        <w:rPr>
          <w:rFonts w:hint="eastAsia"/>
        </w:rPr>
        <w:t xml:space="preserve"> </w:t>
      </w:r>
      <w:proofErr w:type="spellStart"/>
      <w:r w:rsidRPr="008F5928">
        <w:t>TxD</w:t>
      </w:r>
      <w:proofErr w:type="spellEnd"/>
      <w:r w:rsidRPr="008F5928">
        <w:rPr>
          <w:rFonts w:hint="eastAsia"/>
        </w:rPr>
        <w:t>,</w:t>
      </w:r>
      <w:r w:rsidRPr="008F5928">
        <w:t xml:space="preserve"> </w:t>
      </w:r>
      <w:r w:rsidR="00BC4B28" w:rsidRPr="008F5928">
        <w:t xml:space="preserve">the </w:t>
      </w:r>
      <w:r w:rsidR="004B03DA" w:rsidRPr="008F5928">
        <w:t xml:space="preserve">upper bound of </w:t>
      </w:r>
      <w:proofErr w:type="spellStart"/>
      <w:r w:rsidR="004B03DA" w:rsidRPr="008F5928">
        <w:t>Pcmax,c</w:t>
      </w:r>
      <w:proofErr w:type="spellEnd"/>
      <w:r w:rsidR="004B03DA" w:rsidRPr="008F5928">
        <w:t xml:space="preserve"> is 29dBm per CC</w:t>
      </w:r>
    </w:p>
    <w:p w14:paraId="64386660" w14:textId="76C9DCD0" w:rsidR="000B5112" w:rsidRPr="008F5928" w:rsidRDefault="004B03DA" w:rsidP="008F5928">
      <w:pPr>
        <w:pStyle w:val="af"/>
        <w:numPr>
          <w:ilvl w:val="1"/>
          <w:numId w:val="10"/>
        </w:numPr>
        <w:ind w:firstLineChars="0"/>
        <w:rPr>
          <w:rFonts w:eastAsiaTheme="minorEastAsia" w:hint="eastAsia"/>
        </w:rPr>
      </w:pPr>
      <w:r w:rsidRPr="008F5928">
        <w:rPr>
          <w:rFonts w:eastAsiaTheme="minorEastAsia"/>
        </w:rPr>
        <w:t>Whether or how to reflect the above agreement in spec is FFS</w:t>
      </w:r>
      <w:bookmarkEnd w:id="0"/>
    </w:p>
    <w:p w14:paraId="446401AB" w14:textId="4BA0E20D" w:rsidR="00EF2CA7" w:rsidRDefault="00EF2CA7" w:rsidP="00A76CD2">
      <w:pPr>
        <w:pStyle w:val="B1"/>
        <w:ind w:left="0" w:firstLine="0"/>
        <w:rPr>
          <w:rFonts w:eastAsiaTheme="minorEastAsia"/>
          <w:lang w:eastAsia="zh-CN"/>
        </w:rPr>
      </w:pPr>
    </w:p>
    <w:p w14:paraId="760CD9E5" w14:textId="77777777" w:rsidR="00EF2CA7" w:rsidRPr="008F5928" w:rsidRDefault="00EF2CA7" w:rsidP="00A76CD2">
      <w:pPr>
        <w:pStyle w:val="B1"/>
        <w:ind w:left="0" w:firstLine="0"/>
        <w:rPr>
          <w:rFonts w:eastAsiaTheme="minorEastAsia"/>
          <w:lang w:eastAsia="zh-CN"/>
        </w:rPr>
      </w:pPr>
    </w:p>
    <w:p w14:paraId="4CD106A2" w14:textId="3329BE75" w:rsidR="003960CF" w:rsidRDefault="009F598C" w:rsidP="003960CF">
      <w:pPr>
        <w:pStyle w:val="2"/>
        <w:rPr>
          <w:sz w:val="24"/>
          <w:vertAlign w:val="subscript"/>
        </w:rPr>
      </w:pPr>
      <w:r>
        <w:rPr>
          <w:sz w:val="24"/>
        </w:rPr>
        <w:t>1</w:t>
      </w:r>
      <w:r w:rsidR="00A76CD2">
        <w:rPr>
          <w:sz w:val="24"/>
        </w:rPr>
        <w:t>.</w:t>
      </w:r>
      <w:r w:rsidR="008B2E96">
        <w:rPr>
          <w:sz w:val="24"/>
        </w:rPr>
        <w:t>3</w:t>
      </w:r>
      <w:r w:rsidR="003960CF" w:rsidRPr="00431D02">
        <w:rPr>
          <w:sz w:val="24"/>
        </w:rPr>
        <w:t xml:space="preserve"> </w:t>
      </w:r>
      <w:r w:rsidR="00017D21" w:rsidRPr="00017D21">
        <w:rPr>
          <w:sz w:val="24"/>
        </w:rPr>
        <w:t>P</w:t>
      </w:r>
      <w:r w:rsidR="00017D21" w:rsidRPr="00017D21">
        <w:rPr>
          <w:sz w:val="24"/>
          <w:vertAlign w:val="subscript"/>
        </w:rPr>
        <w:t>CMAX</w:t>
      </w:r>
    </w:p>
    <w:p w14:paraId="661B759E" w14:textId="0354193F" w:rsidR="002C7C1A" w:rsidRPr="00BC4B28" w:rsidRDefault="008B2E96" w:rsidP="002C7C1A">
      <w:pPr>
        <w:rPr>
          <w:rFonts w:eastAsiaTheme="minorEastAsia"/>
          <w:b/>
          <w:bCs/>
        </w:rPr>
      </w:pPr>
      <w:r w:rsidRPr="00BC4B28">
        <w:rPr>
          <w:rFonts w:eastAsiaTheme="minorEastAsia"/>
          <w:b/>
          <w:bCs/>
        </w:rPr>
        <w:t>Online agreement</w:t>
      </w:r>
      <w:r w:rsidR="00596A9E" w:rsidRPr="00BC4B28">
        <w:rPr>
          <w:rFonts w:eastAsiaTheme="minorEastAsia"/>
          <w:b/>
          <w:bCs/>
        </w:rPr>
        <w:t xml:space="preserve"> with </w:t>
      </w:r>
      <w:proofErr w:type="spellStart"/>
      <w:r w:rsidR="00596A9E" w:rsidRPr="00BC4B28">
        <w:rPr>
          <w:rFonts w:eastAsiaTheme="minorEastAsia"/>
          <w:b/>
          <w:bCs/>
        </w:rPr>
        <w:t>adhoc</w:t>
      </w:r>
      <w:proofErr w:type="spellEnd"/>
      <w:r w:rsidR="00596A9E" w:rsidRPr="00BC4B28">
        <w:rPr>
          <w:rFonts w:eastAsiaTheme="minorEastAsia"/>
          <w:b/>
          <w:bCs/>
        </w:rPr>
        <w:t xml:space="preserve"> modification</w:t>
      </w:r>
      <w:r w:rsidR="002C7C1A" w:rsidRPr="00BC4B28">
        <w:rPr>
          <w:rFonts w:eastAsiaTheme="minorEastAsia"/>
          <w:b/>
          <w:bCs/>
        </w:rPr>
        <w:t xml:space="preserve">: </w:t>
      </w:r>
    </w:p>
    <w:p w14:paraId="28FF2224" w14:textId="07C47ADB" w:rsidR="00275EDA" w:rsidRPr="006C1DE6" w:rsidRDefault="00275EDA" w:rsidP="00275EDA">
      <w:pPr>
        <w:numPr>
          <w:ilvl w:val="0"/>
          <w:numId w:val="19"/>
        </w:numPr>
        <w:rPr>
          <w:rFonts w:eastAsia="Malgun Gothic"/>
          <w:szCs w:val="24"/>
          <w:lang w:val="en-US" w:eastAsia="ko-KR"/>
        </w:rPr>
      </w:pPr>
      <w:r w:rsidRPr="006C1DE6">
        <w:rPr>
          <w:rFonts w:eastAsia="Malgun Gothic"/>
          <w:szCs w:val="24"/>
          <w:lang w:val="en-US" w:eastAsia="ko-KR"/>
        </w:rPr>
        <w:t xml:space="preserve">For intra-band contiguous ULCA with 2Tx-TxD, the upper bound of </w:t>
      </w:r>
      <w:proofErr w:type="spellStart"/>
      <w:r w:rsidRPr="006C1DE6">
        <w:rPr>
          <w:rFonts w:eastAsia="Malgun Gothic"/>
          <w:szCs w:val="24"/>
          <w:lang w:val="en-US" w:eastAsia="ko-KR"/>
        </w:rPr>
        <w:t>Pcmax</w:t>
      </w:r>
      <w:proofErr w:type="spellEnd"/>
      <w:r w:rsidRPr="006C1DE6">
        <w:rPr>
          <w:rFonts w:eastAsia="Malgun Gothic"/>
          <w:szCs w:val="24"/>
          <w:lang w:val="en-US" w:eastAsia="ko-KR"/>
        </w:rPr>
        <w:t xml:space="preserve"> is 29dBm </w:t>
      </w:r>
    </w:p>
    <w:p w14:paraId="7C6A090F" w14:textId="77777777" w:rsidR="00275EDA" w:rsidRPr="006C1DE6" w:rsidRDefault="00275EDA" w:rsidP="00275EDA">
      <w:pPr>
        <w:numPr>
          <w:ilvl w:val="0"/>
          <w:numId w:val="19"/>
        </w:numPr>
        <w:rPr>
          <w:rFonts w:eastAsia="Malgun Gothic"/>
          <w:szCs w:val="24"/>
          <w:lang w:val="en-US" w:eastAsia="ko-KR"/>
        </w:rPr>
      </w:pPr>
      <w:r w:rsidRPr="006C1DE6">
        <w:rPr>
          <w:rFonts w:eastAsia="Malgun Gothic"/>
          <w:szCs w:val="24"/>
          <w:lang w:val="en-US" w:eastAsia="ko-KR"/>
        </w:rPr>
        <w:t xml:space="preserve">For intra-band UL NC CA with dual PA architecture, the upper bound of </w:t>
      </w:r>
      <w:proofErr w:type="spellStart"/>
      <w:r w:rsidRPr="006C1DE6">
        <w:rPr>
          <w:rFonts w:eastAsia="Malgun Gothic"/>
          <w:szCs w:val="24"/>
          <w:lang w:val="en-US" w:eastAsia="ko-KR"/>
        </w:rPr>
        <w:t>Pcmax</w:t>
      </w:r>
      <w:proofErr w:type="spellEnd"/>
      <w:r w:rsidRPr="006C1DE6">
        <w:rPr>
          <w:rFonts w:eastAsia="Malgun Gothic"/>
          <w:szCs w:val="24"/>
          <w:lang w:val="en-US" w:eastAsia="ko-KR"/>
        </w:rPr>
        <w:t xml:space="preserve"> is 29dBm </w:t>
      </w:r>
    </w:p>
    <w:p w14:paraId="6C9EE356" w14:textId="268453EE" w:rsidR="00017D21" w:rsidRDefault="00017D21" w:rsidP="002924CA">
      <w:pPr>
        <w:rPr>
          <w:rFonts w:eastAsia="宋体" w:hint="eastAsia"/>
          <w:szCs w:val="24"/>
          <w:lang w:eastAsia="zh-CN"/>
        </w:rPr>
      </w:pPr>
    </w:p>
    <w:p w14:paraId="56D5E196" w14:textId="663C2C3A" w:rsidR="003A6AD2" w:rsidRDefault="003A6AD2" w:rsidP="002924CA">
      <w:pPr>
        <w:rPr>
          <w:rFonts w:eastAsiaTheme="minorEastAsia"/>
          <w:lang w:eastAsia="zh-CN"/>
        </w:rPr>
      </w:pPr>
    </w:p>
    <w:p w14:paraId="6FB6A47B" w14:textId="77777777" w:rsidR="003960CF" w:rsidRDefault="003960CF" w:rsidP="003E08FC">
      <w:pPr>
        <w:pStyle w:val="B1"/>
        <w:rPr>
          <w:rFonts w:eastAsiaTheme="minorEastAsia"/>
          <w:lang w:eastAsia="zh-CN"/>
        </w:rPr>
      </w:pPr>
    </w:p>
    <w:p w14:paraId="5C4F3644" w14:textId="6E8BBB16" w:rsidR="002924CA" w:rsidRDefault="00FE7628" w:rsidP="008D3B83">
      <w:pPr>
        <w:pStyle w:val="1"/>
        <w:spacing w:after="360"/>
      </w:pPr>
      <w:r>
        <w:lastRenderedPageBreak/>
        <w:t>2</w:t>
      </w:r>
      <w:r w:rsidR="00A153FD">
        <w:t xml:space="preserve">. </w:t>
      </w:r>
      <w:r w:rsidR="002924CA" w:rsidRPr="002924CA">
        <w:t>2-band Inter-band UL NR-CA</w:t>
      </w:r>
      <w:r w:rsidR="00A153FD">
        <w:t>/EN-DC</w:t>
      </w:r>
      <w:r w:rsidR="00F112A5">
        <w:t xml:space="preserve"> </w:t>
      </w:r>
      <w:r w:rsidR="00711D19">
        <w:t>with 2Tx and/or 3Tx</w:t>
      </w:r>
    </w:p>
    <w:p w14:paraId="1D8FE839" w14:textId="2D3F0068" w:rsidR="002924CA" w:rsidRPr="00431D02" w:rsidRDefault="00FE7628" w:rsidP="00FE7628">
      <w:pPr>
        <w:pStyle w:val="2"/>
        <w:numPr>
          <w:ilvl w:val="1"/>
          <w:numId w:val="13"/>
        </w:numPr>
        <w:rPr>
          <w:sz w:val="24"/>
          <w:lang w:eastAsia="zh-CN"/>
        </w:rPr>
      </w:pPr>
      <w:r w:rsidRPr="00FE7628">
        <w:rPr>
          <w:sz w:val="24"/>
        </w:rPr>
        <w:t>Configuration</w:t>
      </w:r>
    </w:p>
    <w:p w14:paraId="2D2881FD" w14:textId="1FA1745F" w:rsidR="00FE7628" w:rsidRPr="00BC4B28" w:rsidRDefault="00BC4B28" w:rsidP="00BC4B28">
      <w:pPr>
        <w:overflowPunct/>
        <w:autoSpaceDE/>
        <w:autoSpaceDN/>
        <w:adjustRightInd/>
        <w:spacing w:after="120"/>
        <w:textAlignment w:val="auto"/>
        <w:rPr>
          <w:szCs w:val="24"/>
          <w:lang w:eastAsia="zh-CN"/>
        </w:rPr>
      </w:pPr>
      <w:proofErr w:type="spellStart"/>
      <w:r w:rsidRPr="00BC4B28">
        <w:rPr>
          <w:rFonts w:eastAsiaTheme="minorEastAsia"/>
          <w:b/>
          <w:bCs/>
        </w:rPr>
        <w:t>Adhoc</w:t>
      </w:r>
      <w:proofErr w:type="spellEnd"/>
      <w:r w:rsidRPr="00BC4B28">
        <w:rPr>
          <w:rFonts w:eastAsiaTheme="minorEastAsia"/>
          <w:b/>
          <w:bCs/>
        </w:rPr>
        <w:t xml:space="preserve"> </w:t>
      </w:r>
      <w:r>
        <w:rPr>
          <w:rFonts w:eastAsiaTheme="minorEastAsia"/>
          <w:b/>
          <w:bCs/>
        </w:rPr>
        <w:t>a</w:t>
      </w:r>
      <w:r w:rsidR="00A76D2B" w:rsidRPr="00BC4B28">
        <w:rPr>
          <w:rFonts w:eastAsiaTheme="minorEastAsia"/>
          <w:b/>
          <w:bCs/>
        </w:rPr>
        <w:t>greement</w:t>
      </w:r>
      <w:r w:rsidR="00FE7628" w:rsidRPr="00BC4B28">
        <w:rPr>
          <w:rFonts w:eastAsiaTheme="minorEastAsia"/>
          <w:b/>
          <w:bCs/>
        </w:rPr>
        <w:t xml:space="preserve">: </w:t>
      </w:r>
    </w:p>
    <w:p w14:paraId="499AFC13" w14:textId="480B42FE" w:rsidR="00F96F71" w:rsidRDefault="00F96F71" w:rsidP="00F96F71">
      <w:pPr>
        <w:rPr>
          <w:szCs w:val="24"/>
          <w:lang w:eastAsia="zh-CN"/>
        </w:rPr>
      </w:pPr>
      <w:r w:rsidRPr="00BC4B28">
        <w:rPr>
          <w:szCs w:val="24"/>
          <w:lang w:eastAsia="zh-CN"/>
        </w:rPr>
        <w:t xml:space="preserve">For PC1.5 inter-band UL CA/EN-DC, </w:t>
      </w:r>
      <w:r w:rsidRPr="00BC4B28">
        <w:rPr>
          <w:rFonts w:eastAsia="宋体"/>
          <w:szCs w:val="24"/>
          <w:lang w:eastAsia="zh-CN"/>
        </w:rPr>
        <w:t xml:space="preserve">the work for the case </w:t>
      </w:r>
      <w:r w:rsidRPr="00BC4B28">
        <w:rPr>
          <w:szCs w:val="24"/>
          <w:lang w:eastAsia="zh-CN"/>
        </w:rPr>
        <w:t xml:space="preserve">PC2 FDD band as one of the constituent band </w:t>
      </w:r>
      <w:r w:rsidRPr="00BC4B28">
        <w:rPr>
          <w:rFonts w:eastAsia="宋体"/>
          <w:szCs w:val="24"/>
          <w:lang w:eastAsia="zh-CN"/>
        </w:rPr>
        <w:t xml:space="preserve">would be triggered </w:t>
      </w:r>
      <w:r w:rsidR="00A76D2B" w:rsidRPr="00BC4B28">
        <w:rPr>
          <w:rFonts w:eastAsia="宋体"/>
          <w:szCs w:val="24"/>
          <w:lang w:eastAsia="zh-CN"/>
        </w:rPr>
        <w:t>after</w:t>
      </w:r>
      <w:r w:rsidRPr="00BC4B28">
        <w:rPr>
          <w:rFonts w:eastAsia="宋体"/>
          <w:szCs w:val="24"/>
          <w:lang w:eastAsia="zh-CN"/>
        </w:rPr>
        <w:t xml:space="preserve"> example combo</w:t>
      </w:r>
      <w:r w:rsidR="003D4B79">
        <w:rPr>
          <w:rFonts w:eastAsia="宋体"/>
          <w:szCs w:val="24"/>
          <w:lang w:eastAsia="zh-CN"/>
        </w:rPr>
        <w:t>(s)</w:t>
      </w:r>
      <w:r w:rsidRPr="00BC4B28">
        <w:rPr>
          <w:rFonts w:eastAsia="宋体"/>
          <w:szCs w:val="24"/>
          <w:lang w:eastAsia="zh-CN"/>
        </w:rPr>
        <w:t xml:space="preserve"> is added in the WID</w:t>
      </w:r>
    </w:p>
    <w:p w14:paraId="65E1ABFD" w14:textId="77777777" w:rsidR="002924CA" w:rsidRPr="004B6B29" w:rsidRDefault="002924CA" w:rsidP="002924CA">
      <w:pPr>
        <w:rPr>
          <w:lang w:val="en-US"/>
        </w:rPr>
      </w:pPr>
    </w:p>
    <w:p w14:paraId="42E51762" w14:textId="6D62EC51" w:rsidR="002924CA" w:rsidRPr="00431D02" w:rsidRDefault="006B2CB2" w:rsidP="002924CA">
      <w:pPr>
        <w:pStyle w:val="2"/>
        <w:rPr>
          <w:sz w:val="24"/>
          <w:lang w:eastAsia="zh-CN"/>
        </w:rPr>
      </w:pPr>
      <w:r>
        <w:rPr>
          <w:sz w:val="24"/>
        </w:rPr>
        <w:t>2</w:t>
      </w:r>
      <w:r w:rsidR="002924CA">
        <w:rPr>
          <w:sz w:val="24"/>
        </w:rPr>
        <w:t>.2</w:t>
      </w:r>
      <w:r w:rsidR="002924CA" w:rsidRPr="00431D02">
        <w:rPr>
          <w:sz w:val="24"/>
        </w:rPr>
        <w:t xml:space="preserve"> </w:t>
      </w:r>
      <w:r w:rsidRPr="006B2CB2">
        <w:rPr>
          <w:sz w:val="24"/>
        </w:rPr>
        <w:t>Spec organization</w:t>
      </w:r>
    </w:p>
    <w:p w14:paraId="048B851C" w14:textId="7D1B82A6" w:rsidR="005E7F1A" w:rsidRPr="006B2CB2" w:rsidRDefault="00BC4B28" w:rsidP="00F554E1">
      <w:pPr>
        <w:pStyle w:val="B1"/>
        <w:ind w:left="0" w:firstLine="0"/>
        <w:rPr>
          <w:rFonts w:eastAsiaTheme="minorEastAsia"/>
          <w:b/>
          <w:lang w:eastAsia="zh-CN"/>
        </w:rPr>
      </w:pPr>
      <w:proofErr w:type="spellStart"/>
      <w:r w:rsidRPr="00BC4B28">
        <w:rPr>
          <w:b/>
          <w:lang w:eastAsia="zh-CN"/>
        </w:rPr>
        <w:t>Adhoc</w:t>
      </w:r>
      <w:proofErr w:type="spellEnd"/>
      <w:r w:rsidRPr="00BC4B28">
        <w:rPr>
          <w:b/>
          <w:lang w:eastAsia="zh-CN"/>
        </w:rPr>
        <w:t xml:space="preserve"> </w:t>
      </w:r>
      <w:r>
        <w:rPr>
          <w:b/>
          <w:lang w:eastAsia="zh-CN"/>
        </w:rPr>
        <w:t>a</w:t>
      </w:r>
      <w:r w:rsidR="00D8632C" w:rsidRPr="00BC4B28">
        <w:rPr>
          <w:b/>
          <w:lang w:eastAsia="zh-CN"/>
        </w:rPr>
        <w:t>greement</w:t>
      </w:r>
      <w:r w:rsidR="005E7F1A" w:rsidRPr="00BC4B28">
        <w:rPr>
          <w:b/>
          <w:lang w:eastAsia="zh-CN"/>
        </w:rPr>
        <w:t xml:space="preserve">: </w:t>
      </w:r>
      <w:r w:rsidR="006B2CB2" w:rsidRPr="00BC4B28">
        <w:rPr>
          <w:bCs/>
          <w:lang w:eastAsia="zh-CN"/>
        </w:rPr>
        <w:t>Adopt same way as in Rel-18</w:t>
      </w:r>
    </w:p>
    <w:p w14:paraId="57E00429" w14:textId="509FC3C7" w:rsidR="00F554E1" w:rsidRDefault="00F554E1" w:rsidP="00186753">
      <w:pPr>
        <w:pStyle w:val="B1"/>
        <w:ind w:left="560" w:firstLine="0"/>
        <w:rPr>
          <w:rFonts w:eastAsia="宋体"/>
          <w:szCs w:val="24"/>
          <w:lang w:eastAsia="zh-CN"/>
        </w:rPr>
      </w:pPr>
    </w:p>
    <w:p w14:paraId="1C269724" w14:textId="77777777" w:rsidR="009D4FA2" w:rsidRPr="00CB0EEA" w:rsidRDefault="009D4FA2" w:rsidP="00186753">
      <w:pPr>
        <w:pStyle w:val="B1"/>
        <w:ind w:left="560" w:firstLine="0"/>
        <w:rPr>
          <w:rFonts w:eastAsia="宋体"/>
          <w:szCs w:val="24"/>
          <w:lang w:eastAsia="zh-CN"/>
        </w:rPr>
      </w:pPr>
    </w:p>
    <w:p w14:paraId="7C5D4A6B" w14:textId="2B17F1B0" w:rsidR="002924CA" w:rsidRPr="00431D02" w:rsidRDefault="009D4FA2" w:rsidP="002924CA">
      <w:pPr>
        <w:pStyle w:val="2"/>
        <w:rPr>
          <w:sz w:val="24"/>
          <w:lang w:eastAsia="zh-CN"/>
        </w:rPr>
      </w:pPr>
      <w:r>
        <w:rPr>
          <w:sz w:val="24"/>
        </w:rPr>
        <w:t>2</w:t>
      </w:r>
      <w:r w:rsidR="002924CA">
        <w:rPr>
          <w:sz w:val="24"/>
        </w:rPr>
        <w:t>.3</w:t>
      </w:r>
      <w:r w:rsidR="002924CA" w:rsidRPr="00431D02">
        <w:rPr>
          <w:sz w:val="24"/>
        </w:rPr>
        <w:t xml:space="preserve"> </w:t>
      </w:r>
      <w:r w:rsidR="008D3B83" w:rsidRPr="008D3B83">
        <w:rPr>
          <w:sz w:val="24"/>
        </w:rPr>
        <w:t>3UL CC with 3Tx</w:t>
      </w:r>
    </w:p>
    <w:p w14:paraId="742DAD95" w14:textId="367D9585" w:rsidR="008D3B83" w:rsidRPr="008D3B83" w:rsidRDefault="00BC4B28" w:rsidP="008D3B83">
      <w:pPr>
        <w:pStyle w:val="B1"/>
        <w:ind w:left="0" w:firstLine="0"/>
        <w:rPr>
          <w:rFonts w:eastAsiaTheme="minorEastAsia"/>
          <w:b/>
          <w:lang w:eastAsia="zh-CN"/>
        </w:rPr>
      </w:pPr>
      <w:proofErr w:type="spellStart"/>
      <w:r w:rsidRPr="00BC4B28">
        <w:rPr>
          <w:b/>
          <w:lang w:eastAsia="zh-CN"/>
        </w:rPr>
        <w:t>Adhoc</w:t>
      </w:r>
      <w:proofErr w:type="spellEnd"/>
      <w:r w:rsidRPr="00BC4B28">
        <w:rPr>
          <w:b/>
          <w:lang w:eastAsia="zh-CN"/>
        </w:rPr>
        <w:t xml:space="preserve"> </w:t>
      </w:r>
      <w:r>
        <w:rPr>
          <w:b/>
          <w:lang w:eastAsia="zh-CN"/>
        </w:rPr>
        <w:t>a</w:t>
      </w:r>
      <w:r w:rsidR="00D8632C" w:rsidRPr="00BC4B28">
        <w:rPr>
          <w:b/>
          <w:lang w:eastAsia="zh-CN"/>
        </w:rPr>
        <w:t>greement</w:t>
      </w:r>
      <w:r w:rsidR="008D3B83" w:rsidRPr="00BC4B28">
        <w:rPr>
          <w:b/>
          <w:lang w:eastAsia="zh-CN"/>
        </w:rPr>
        <w:t>:</w:t>
      </w:r>
      <w:r w:rsidR="00186753" w:rsidRPr="00BC4B28">
        <w:rPr>
          <w:rFonts w:eastAsia="宋体"/>
          <w:szCs w:val="24"/>
          <w:lang w:eastAsia="zh-CN"/>
        </w:rPr>
        <w:t xml:space="preserve"> </w:t>
      </w:r>
      <w:r w:rsidR="006B2CB2" w:rsidRPr="00BC4B28">
        <w:rPr>
          <w:bCs/>
          <w:lang w:eastAsia="zh-CN"/>
        </w:rPr>
        <w:t xml:space="preserve">Don not consider 3ULCC with 3Tx </w:t>
      </w:r>
      <w:proofErr w:type="spellStart"/>
      <w:r w:rsidR="006B2CB2" w:rsidRPr="00BC4B28">
        <w:rPr>
          <w:bCs/>
          <w:lang w:eastAsia="zh-CN"/>
        </w:rPr>
        <w:t>CA_nXA-nY</w:t>
      </w:r>
      <w:proofErr w:type="spellEnd"/>
      <w:r w:rsidR="006B2CB2" w:rsidRPr="00BC4B28">
        <w:rPr>
          <w:bCs/>
          <w:lang w:eastAsia="zh-CN"/>
        </w:rPr>
        <w:t>(2A)</w:t>
      </w:r>
      <w:r w:rsidR="00A76D2B" w:rsidRPr="00BC4B28">
        <w:rPr>
          <w:bCs/>
          <w:lang w:eastAsia="zh-CN"/>
        </w:rPr>
        <w:t xml:space="preserve">/ </w:t>
      </w:r>
      <w:proofErr w:type="spellStart"/>
      <w:r w:rsidR="00A76D2B" w:rsidRPr="00BC4B28">
        <w:rPr>
          <w:bCs/>
          <w:lang w:eastAsia="zh-CN"/>
        </w:rPr>
        <w:t>DC_XA_nY</w:t>
      </w:r>
      <w:proofErr w:type="spellEnd"/>
      <w:r w:rsidR="00A76D2B" w:rsidRPr="00BC4B28">
        <w:rPr>
          <w:bCs/>
          <w:lang w:eastAsia="zh-CN"/>
        </w:rPr>
        <w:t>(2A)</w:t>
      </w:r>
      <w:r w:rsidR="006B2CB2" w:rsidRPr="00BC4B28">
        <w:rPr>
          <w:bCs/>
          <w:lang w:eastAsia="zh-CN"/>
        </w:rPr>
        <w:t xml:space="preserve"> </w:t>
      </w:r>
      <w:r w:rsidR="00A76D2B" w:rsidRPr="00BC4B28">
        <w:rPr>
          <w:bCs/>
          <w:lang w:eastAsia="zh-CN"/>
        </w:rPr>
        <w:t>scenario</w:t>
      </w:r>
    </w:p>
    <w:p w14:paraId="780B6361" w14:textId="77777777" w:rsidR="00723740" w:rsidRDefault="00723740" w:rsidP="006041CD"/>
    <w:p w14:paraId="42AD4239" w14:textId="36888BA4" w:rsidR="00A153FD" w:rsidRDefault="00756839" w:rsidP="00A153FD">
      <w:pPr>
        <w:pStyle w:val="1"/>
      </w:pPr>
      <w:r>
        <w:t>3</w:t>
      </w:r>
      <w:r w:rsidR="00A153FD">
        <w:t xml:space="preserve">. </w:t>
      </w:r>
      <w:r w:rsidR="00A153FD" w:rsidRPr="00A153FD">
        <w:t>Increasing UE transmission power</w:t>
      </w:r>
    </w:p>
    <w:p w14:paraId="75593CA2" w14:textId="5C38C536" w:rsidR="003A7673" w:rsidRPr="003A7673" w:rsidRDefault="00756839" w:rsidP="003A7673">
      <w:pPr>
        <w:pStyle w:val="2"/>
        <w:rPr>
          <w:sz w:val="24"/>
          <w:lang w:eastAsia="zh-CN"/>
        </w:rPr>
      </w:pPr>
      <w:r>
        <w:rPr>
          <w:sz w:val="24"/>
        </w:rPr>
        <w:t>3</w:t>
      </w:r>
      <w:r w:rsidR="003A7673">
        <w:rPr>
          <w:sz w:val="24"/>
        </w:rPr>
        <w:t xml:space="preserve">.1 </w:t>
      </w:r>
      <w:r w:rsidR="008465F5" w:rsidRPr="008465F5">
        <w:rPr>
          <w:sz w:val="24"/>
        </w:rPr>
        <w:t>The methodology</w:t>
      </w:r>
    </w:p>
    <w:p w14:paraId="79E6DD1A" w14:textId="3FC4E47E" w:rsidR="008465F5" w:rsidRPr="00BC4B28" w:rsidRDefault="00BC4B28" w:rsidP="008465F5">
      <w:pPr>
        <w:rPr>
          <w:b/>
          <w:lang w:eastAsia="zh-CN"/>
        </w:rPr>
      </w:pPr>
      <w:bookmarkStart w:id="1" w:name="_Hlk175006887"/>
      <w:proofErr w:type="spellStart"/>
      <w:r w:rsidRPr="00BC4B28">
        <w:rPr>
          <w:rFonts w:eastAsia="MS Mincho"/>
          <w:b/>
          <w:bCs/>
          <w:szCs w:val="24"/>
          <w:lang w:eastAsia="zh-CN"/>
        </w:rPr>
        <w:t>Adhoc</w:t>
      </w:r>
      <w:proofErr w:type="spellEnd"/>
      <w:r w:rsidRPr="00BC4B28">
        <w:rPr>
          <w:rFonts w:eastAsia="MS Mincho"/>
          <w:szCs w:val="24"/>
          <w:lang w:eastAsia="zh-CN"/>
        </w:rPr>
        <w:t xml:space="preserve"> </w:t>
      </w:r>
      <w:r w:rsidRPr="00BC4B28">
        <w:rPr>
          <w:b/>
          <w:lang w:eastAsia="zh-CN"/>
        </w:rPr>
        <w:t>a</w:t>
      </w:r>
      <w:r w:rsidR="00A76D2B" w:rsidRPr="00BC4B28">
        <w:rPr>
          <w:b/>
          <w:lang w:eastAsia="zh-CN"/>
        </w:rPr>
        <w:t>greement</w:t>
      </w:r>
      <w:r w:rsidR="00756839" w:rsidRPr="00BC4B28">
        <w:rPr>
          <w:b/>
          <w:lang w:eastAsia="zh-CN"/>
        </w:rPr>
        <w:t>:</w:t>
      </w:r>
    </w:p>
    <w:bookmarkEnd w:id="1"/>
    <w:p w14:paraId="3B12CA8A" w14:textId="77777777" w:rsidR="002F0F78" w:rsidRPr="00BC4B28" w:rsidRDefault="002F0F78" w:rsidP="002F0F78">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 xml:space="preserve">Use higherPowerLimit-R17 and higherPowerLimtMRDC-R17 capability </w:t>
      </w:r>
    </w:p>
    <w:p w14:paraId="5AF0F31D" w14:textId="77777777" w:rsidR="002F0F78" w:rsidRPr="00BC4B28" w:rsidRDefault="002F0F78" w:rsidP="002F0F78">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No new power class is introduced</w:t>
      </w:r>
    </w:p>
    <w:p w14:paraId="4C453856" w14:textId="77777777" w:rsidR="002F0F78" w:rsidRPr="00BC4B28" w:rsidRDefault="002F0F78" w:rsidP="008465F5">
      <w:pPr>
        <w:rPr>
          <w:rFonts w:eastAsiaTheme="minorEastAsia"/>
          <w:b/>
          <w:lang w:val="en-US" w:eastAsia="zh-CN"/>
        </w:rPr>
      </w:pPr>
    </w:p>
    <w:p w14:paraId="46A187BF" w14:textId="3DE1893F" w:rsidR="008465F5" w:rsidRPr="00BC4B28" w:rsidRDefault="008465F5" w:rsidP="008465F5">
      <w:pPr>
        <w:rPr>
          <w:rFonts w:eastAsiaTheme="minorEastAsia" w:hint="eastAsia"/>
          <w:b/>
          <w:lang w:eastAsia="zh-CN"/>
        </w:rPr>
      </w:pPr>
    </w:p>
    <w:p w14:paraId="1037E717" w14:textId="6BA64F25" w:rsidR="008465F5" w:rsidRPr="00BC4B28" w:rsidRDefault="008E2845" w:rsidP="008465F5">
      <w:pPr>
        <w:pStyle w:val="2"/>
        <w:rPr>
          <w:sz w:val="24"/>
          <w:lang w:eastAsia="zh-CN"/>
        </w:rPr>
      </w:pPr>
      <w:r w:rsidRPr="00BC4B28">
        <w:rPr>
          <w:sz w:val="24"/>
        </w:rPr>
        <w:t>3.2</w:t>
      </w:r>
      <w:r w:rsidR="008465F5" w:rsidRPr="00BC4B28">
        <w:rPr>
          <w:sz w:val="24"/>
        </w:rPr>
        <w:t xml:space="preserve"> </w:t>
      </w:r>
      <w:r w:rsidR="003C3B63" w:rsidRPr="00BC4B28">
        <w:rPr>
          <w:sz w:val="24"/>
        </w:rPr>
        <w:t>The scenarios to be considered in Rel-19</w:t>
      </w:r>
    </w:p>
    <w:p w14:paraId="2C118FAB" w14:textId="77777777" w:rsidR="00BC4B28" w:rsidRPr="00BC4B28" w:rsidRDefault="00BC4B28" w:rsidP="00BC4B28">
      <w:pPr>
        <w:rPr>
          <w:b/>
          <w:lang w:eastAsia="zh-CN"/>
        </w:rPr>
      </w:pPr>
      <w:bookmarkStart w:id="2" w:name="_Hlk167281046"/>
      <w:proofErr w:type="spellStart"/>
      <w:r w:rsidRPr="00BC4B28">
        <w:rPr>
          <w:rFonts w:eastAsia="MS Mincho"/>
          <w:b/>
          <w:bCs/>
          <w:szCs w:val="24"/>
          <w:lang w:eastAsia="zh-CN"/>
        </w:rPr>
        <w:t>Adhoc</w:t>
      </w:r>
      <w:proofErr w:type="spellEnd"/>
      <w:r w:rsidRPr="00BC4B28">
        <w:rPr>
          <w:rFonts w:eastAsia="MS Mincho"/>
          <w:szCs w:val="24"/>
          <w:lang w:eastAsia="zh-CN"/>
        </w:rPr>
        <w:t xml:space="preserve"> </w:t>
      </w:r>
      <w:r w:rsidRPr="00BC4B28">
        <w:rPr>
          <w:b/>
          <w:lang w:eastAsia="zh-CN"/>
        </w:rPr>
        <w:t>agreement:</w:t>
      </w:r>
    </w:p>
    <w:p w14:paraId="39AC578D" w14:textId="77777777" w:rsidR="008E2845" w:rsidRPr="00BC4B28" w:rsidRDefault="008E2845" w:rsidP="008E2845">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For both 2Tx and 3Tx, higherPowerLimit-R17/higherPowerLimtMRDC-R17 is enabled for any specified inter-band band combination</w:t>
      </w:r>
    </w:p>
    <w:p w14:paraId="6D37EC5F" w14:textId="0C7CAF34" w:rsidR="008E2845" w:rsidRPr="00BC4B28" w:rsidRDefault="008E2845" w:rsidP="00EF3875">
      <w:pPr>
        <w:pStyle w:val="af"/>
        <w:numPr>
          <w:ilvl w:val="0"/>
          <w:numId w:val="16"/>
        </w:numPr>
        <w:overflowPunct/>
        <w:autoSpaceDE/>
        <w:autoSpaceDN/>
        <w:adjustRightInd/>
        <w:spacing w:after="120"/>
        <w:ind w:leftChars="250" w:left="920" w:firstLineChars="0"/>
        <w:textAlignment w:val="auto"/>
        <w:rPr>
          <w:rFonts w:eastAsia="MS Mincho"/>
          <w:szCs w:val="24"/>
          <w:lang w:eastAsia="zh-CN"/>
        </w:rPr>
      </w:pPr>
      <w:r w:rsidRPr="00BC4B28">
        <w:rPr>
          <w:rFonts w:eastAsiaTheme="minorEastAsia"/>
          <w:szCs w:val="24"/>
          <w:lang w:eastAsia="zh-CN"/>
        </w:rPr>
        <w:t>“</w:t>
      </w:r>
      <w:r w:rsidRPr="00BC4B28">
        <w:rPr>
          <w:rFonts w:eastAsia="MS Mincho"/>
          <w:szCs w:val="24"/>
          <w:lang w:eastAsia="zh-CN"/>
        </w:rPr>
        <w:t>Specified” here intends for the existing combos and the ones to be added into MOP table in future</w:t>
      </w:r>
      <w:bookmarkEnd w:id="2"/>
    </w:p>
    <w:p w14:paraId="73BF5675" w14:textId="2066DAA3" w:rsidR="00AF5DB4" w:rsidRDefault="00AF5DB4" w:rsidP="003C3B63">
      <w:pPr>
        <w:rPr>
          <w:rFonts w:eastAsiaTheme="minorEastAsia"/>
          <w:b/>
          <w:lang w:eastAsia="zh-CN"/>
        </w:rPr>
      </w:pPr>
    </w:p>
    <w:p w14:paraId="709E5247" w14:textId="77777777" w:rsidR="006B1DE9" w:rsidRDefault="006B1DE9" w:rsidP="006B1DE9"/>
    <w:p w14:paraId="3F490DAC" w14:textId="23A88225" w:rsidR="006B1DE9" w:rsidRPr="006B1DE9" w:rsidRDefault="006B1DE9" w:rsidP="006B1DE9">
      <w:pPr>
        <w:pStyle w:val="1"/>
      </w:pPr>
      <w:r>
        <w:t>4. General aspect</w:t>
      </w:r>
    </w:p>
    <w:p w14:paraId="3A63B203" w14:textId="55C0C562" w:rsidR="00222A0C" w:rsidRPr="00FC3465" w:rsidRDefault="00DF2393" w:rsidP="00FC3465">
      <w:pPr>
        <w:pStyle w:val="2"/>
        <w:rPr>
          <w:rFonts w:hint="eastAsia"/>
          <w:sz w:val="24"/>
          <w:lang w:eastAsia="zh-CN"/>
        </w:rPr>
      </w:pPr>
      <w:r>
        <w:rPr>
          <w:sz w:val="24"/>
        </w:rPr>
        <w:t>4.</w:t>
      </w:r>
      <w:r w:rsidR="006B1DE9">
        <w:rPr>
          <w:sz w:val="24"/>
        </w:rPr>
        <w:t>1</w:t>
      </w:r>
      <w:r>
        <w:rPr>
          <w:sz w:val="24"/>
        </w:rPr>
        <w:t xml:space="preserve"> </w:t>
      </w:r>
      <w:r w:rsidRPr="00DF2393">
        <w:rPr>
          <w:sz w:val="24"/>
        </w:rPr>
        <w:t xml:space="preserve">MSD </w:t>
      </w:r>
      <w:r w:rsidR="00222A0C">
        <w:rPr>
          <w:sz w:val="24"/>
        </w:rPr>
        <w:t>rules</w:t>
      </w:r>
    </w:p>
    <w:p w14:paraId="74F5BD97" w14:textId="77777777" w:rsidR="00222A0C" w:rsidRPr="008E2845" w:rsidRDefault="00222A0C" w:rsidP="00222A0C">
      <w:pPr>
        <w:rPr>
          <w:rFonts w:eastAsiaTheme="minorEastAsia"/>
          <w:b/>
          <w:lang w:eastAsia="zh-CN"/>
        </w:rPr>
      </w:pPr>
      <w:r>
        <w:rPr>
          <w:b/>
          <w:lang w:eastAsia="zh-CN"/>
        </w:rPr>
        <w:t>Way forward:</w:t>
      </w:r>
    </w:p>
    <w:p w14:paraId="25718300" w14:textId="0AD5D2F9" w:rsidR="00222A0C" w:rsidRPr="00222A0C" w:rsidRDefault="00222A0C" w:rsidP="00222A0C">
      <w:pPr>
        <w:numPr>
          <w:ilvl w:val="0"/>
          <w:numId w:val="10"/>
        </w:numPr>
        <w:overflowPunct/>
        <w:autoSpaceDE/>
        <w:autoSpaceDN/>
        <w:adjustRightInd/>
        <w:spacing w:after="120"/>
        <w:textAlignment w:val="auto"/>
        <w:rPr>
          <w:rFonts w:eastAsiaTheme="minorEastAsia"/>
          <w:lang w:val="en-US"/>
        </w:rPr>
      </w:pPr>
      <w:r w:rsidRPr="00222A0C">
        <w:rPr>
          <w:rFonts w:eastAsiaTheme="minorEastAsia"/>
          <w:lang w:val="en-US"/>
        </w:rPr>
        <w:t>It is common understanding in RAN4 that MSD general rule discussion is within the WI scope, just the specific MSD values are left for corresponding basket WIDs to evaluate</w:t>
      </w:r>
    </w:p>
    <w:p w14:paraId="0EBB6E4B" w14:textId="55AF4115" w:rsidR="00222A0C" w:rsidRDefault="0061375B" w:rsidP="00222A0C">
      <w:pPr>
        <w:numPr>
          <w:ilvl w:val="0"/>
          <w:numId w:val="10"/>
        </w:numPr>
        <w:overflowPunct/>
        <w:autoSpaceDE/>
        <w:autoSpaceDN/>
        <w:adjustRightInd/>
        <w:spacing w:after="120"/>
        <w:textAlignment w:val="auto"/>
        <w:rPr>
          <w:rFonts w:eastAsiaTheme="minorEastAsia"/>
          <w:lang w:val="en-US"/>
        </w:rPr>
      </w:pPr>
      <w:r>
        <w:rPr>
          <w:rFonts w:eastAsiaTheme="minorEastAsia"/>
          <w:lang w:val="en-US"/>
        </w:rPr>
        <w:t>For the MSD general rules for the scenarios within this WI scope, down-select from the following two options.</w:t>
      </w:r>
    </w:p>
    <w:p w14:paraId="47CB7402" w14:textId="3D2C2567" w:rsidR="0061375B" w:rsidRDefault="00FC3465" w:rsidP="008F5928">
      <w:pPr>
        <w:pStyle w:val="af"/>
        <w:numPr>
          <w:ilvl w:val="0"/>
          <w:numId w:val="16"/>
        </w:numPr>
        <w:overflowPunct/>
        <w:autoSpaceDE/>
        <w:autoSpaceDN/>
        <w:adjustRightInd/>
        <w:spacing w:after="120"/>
        <w:ind w:leftChars="250" w:left="920" w:firstLineChars="0"/>
        <w:textAlignment w:val="auto"/>
        <w:rPr>
          <w:rFonts w:eastAsiaTheme="minorEastAsia"/>
          <w:szCs w:val="24"/>
          <w:lang w:eastAsia="zh-CN"/>
        </w:rPr>
      </w:pPr>
      <w:r>
        <w:rPr>
          <w:rFonts w:eastAsiaTheme="minorEastAsia"/>
          <w:szCs w:val="24"/>
          <w:lang w:eastAsia="zh-CN"/>
        </w:rPr>
        <w:t>PC2/PC1.5</w:t>
      </w:r>
      <w:r w:rsidR="008F5928" w:rsidRPr="008F5928">
        <w:rPr>
          <w:rFonts w:eastAsiaTheme="minorEastAsia"/>
          <w:szCs w:val="24"/>
          <w:lang w:eastAsia="zh-CN"/>
        </w:rPr>
        <w:t xml:space="preserve"> </w:t>
      </w:r>
      <w:r w:rsidR="008F5928" w:rsidRPr="008F5928">
        <w:rPr>
          <w:rFonts w:eastAsiaTheme="minorEastAsia" w:hint="eastAsia"/>
          <w:szCs w:val="24"/>
          <w:lang w:eastAsia="zh-CN"/>
        </w:rPr>
        <w:t>M</w:t>
      </w:r>
      <w:r w:rsidR="008F5928" w:rsidRPr="008F5928">
        <w:rPr>
          <w:rFonts w:eastAsiaTheme="minorEastAsia"/>
          <w:szCs w:val="24"/>
          <w:lang w:eastAsia="zh-CN"/>
        </w:rPr>
        <w:t xml:space="preserve">SD is </w:t>
      </w:r>
      <w:r w:rsidR="009A17AF">
        <w:rPr>
          <w:rFonts w:eastAsiaTheme="minorEastAsia"/>
          <w:szCs w:val="24"/>
          <w:lang w:eastAsia="zh-CN"/>
        </w:rPr>
        <w:t>no long</w:t>
      </w:r>
      <w:r w:rsidR="00925A21" w:rsidRPr="00222A0C">
        <w:rPr>
          <w:rFonts w:eastAsia="MS Mincho"/>
          <w:lang w:eastAsia="en-US"/>
        </w:rPr>
        <w:t xml:space="preserve"> specified in the TS</w:t>
      </w:r>
      <w:r w:rsidR="009A17AF">
        <w:rPr>
          <w:rFonts w:eastAsiaTheme="minorEastAsia"/>
          <w:szCs w:val="24"/>
          <w:lang w:eastAsia="zh-CN"/>
        </w:rPr>
        <w:t xml:space="preserve">. </w:t>
      </w:r>
      <w:r w:rsidR="008F5928" w:rsidRPr="008F5928">
        <w:rPr>
          <w:rFonts w:eastAsiaTheme="minorEastAsia"/>
          <w:szCs w:val="24"/>
          <w:lang w:eastAsia="zh-CN"/>
        </w:rPr>
        <w:t>UE shall meet the Rx requirements of default power class</w:t>
      </w:r>
      <w:r w:rsidR="007C5EA2">
        <w:rPr>
          <w:rFonts w:eastAsiaTheme="minorEastAsia"/>
          <w:szCs w:val="24"/>
          <w:lang w:eastAsia="zh-CN"/>
        </w:rPr>
        <w:t>,</w:t>
      </w:r>
      <w:r w:rsidR="008F5928" w:rsidRPr="008F5928">
        <w:rPr>
          <w:rFonts w:eastAsiaTheme="minorEastAsia"/>
          <w:szCs w:val="24"/>
          <w:lang w:eastAsia="zh-CN"/>
        </w:rPr>
        <w:t xml:space="preserve"> with default power class</w:t>
      </w:r>
    </w:p>
    <w:p w14:paraId="5EE661C0" w14:textId="12546141" w:rsidR="007C5EA2" w:rsidRPr="008F5928" w:rsidRDefault="0053140D" w:rsidP="008F5928">
      <w:pPr>
        <w:pStyle w:val="af"/>
        <w:numPr>
          <w:ilvl w:val="0"/>
          <w:numId w:val="16"/>
        </w:numPr>
        <w:overflowPunct/>
        <w:autoSpaceDE/>
        <w:autoSpaceDN/>
        <w:adjustRightInd/>
        <w:spacing w:after="120"/>
        <w:ind w:leftChars="250" w:left="920" w:firstLineChars="0"/>
        <w:textAlignment w:val="auto"/>
        <w:rPr>
          <w:rFonts w:eastAsiaTheme="minorEastAsia"/>
          <w:szCs w:val="24"/>
          <w:lang w:eastAsia="zh-CN"/>
        </w:rPr>
      </w:pPr>
      <w:r>
        <w:rPr>
          <w:lang w:eastAsia="en-US"/>
        </w:rPr>
        <w:t>U</w:t>
      </w:r>
      <w:r w:rsidRPr="00222A0C">
        <w:rPr>
          <w:lang w:eastAsia="en-US"/>
        </w:rPr>
        <w:t xml:space="preserve">sing some equations </w:t>
      </w:r>
      <w:r>
        <w:rPr>
          <w:lang w:eastAsia="en-US"/>
        </w:rPr>
        <w:t>or look</w:t>
      </w:r>
      <w:r w:rsidR="00FC3465">
        <w:rPr>
          <w:lang w:eastAsia="en-US"/>
        </w:rPr>
        <w:t>-</w:t>
      </w:r>
      <w:r>
        <w:rPr>
          <w:lang w:eastAsia="en-US"/>
        </w:rPr>
        <w:t xml:space="preserve">up </w:t>
      </w:r>
      <w:r w:rsidR="00FC3465">
        <w:rPr>
          <w:lang w:eastAsia="en-US"/>
        </w:rPr>
        <w:t>tables</w:t>
      </w:r>
      <w:r>
        <w:rPr>
          <w:lang w:eastAsia="en-US"/>
        </w:rPr>
        <w:t xml:space="preserve"> </w:t>
      </w:r>
      <w:r w:rsidRPr="00222A0C">
        <w:rPr>
          <w:lang w:eastAsia="en-US"/>
        </w:rPr>
        <w:t>to derive PC2/PC1.5 MSD from respective PC3 MSD</w:t>
      </w:r>
    </w:p>
    <w:p w14:paraId="347295D5" w14:textId="2FFB5837" w:rsidR="00BE0C56" w:rsidRPr="0061375B" w:rsidRDefault="00BE0C56" w:rsidP="003C3B63">
      <w:pPr>
        <w:rPr>
          <w:lang w:val="en-US"/>
        </w:rPr>
      </w:pPr>
    </w:p>
    <w:p w14:paraId="587404BB" w14:textId="77777777" w:rsidR="00584253" w:rsidRPr="00FC3465" w:rsidRDefault="00584253" w:rsidP="003C3B63">
      <w:pPr>
        <w:rPr>
          <w:lang w:val="en-US"/>
        </w:rPr>
      </w:pPr>
    </w:p>
    <w:p w14:paraId="719614C5" w14:textId="3C66EA1F" w:rsidR="00F122F9" w:rsidRDefault="00F122F9" w:rsidP="00F122F9">
      <w:pPr>
        <w:pStyle w:val="2"/>
        <w:rPr>
          <w:sz w:val="24"/>
        </w:rPr>
      </w:pPr>
      <w:r>
        <w:rPr>
          <w:sz w:val="24"/>
        </w:rPr>
        <w:t xml:space="preserve">4.2 </w:t>
      </w:r>
      <w:r w:rsidRPr="00F122F9">
        <w:rPr>
          <w:sz w:val="24"/>
        </w:rPr>
        <w:t>Duty cycle solution for SAR compliance</w:t>
      </w:r>
    </w:p>
    <w:p w14:paraId="204534DB" w14:textId="77777777" w:rsidR="00F122F9" w:rsidRPr="00F122F9" w:rsidRDefault="00F122F9" w:rsidP="00F122F9">
      <w:pPr>
        <w:overflowPunct/>
        <w:autoSpaceDE/>
        <w:autoSpaceDN/>
        <w:adjustRightInd/>
        <w:spacing w:after="120"/>
        <w:ind w:left="720"/>
        <w:textAlignment w:val="auto"/>
        <w:rPr>
          <w:rFonts w:eastAsia="宋体"/>
          <w:color w:val="0070C0"/>
          <w:szCs w:val="24"/>
          <w:lang w:eastAsia="zh-CN"/>
        </w:rPr>
      </w:pPr>
      <w:r w:rsidRPr="00F122F9">
        <w:rPr>
          <w:rFonts w:eastAsia="宋体"/>
          <w:color w:val="0070C0"/>
          <w:szCs w:val="24"/>
          <w:lang w:eastAsia="zh-CN"/>
        </w:rPr>
        <w:t>Proposals</w:t>
      </w:r>
      <w:r w:rsidRPr="00F122F9">
        <w:rPr>
          <w:rFonts w:eastAsia="宋体"/>
          <w:color w:val="0070C0"/>
          <w:szCs w:val="24"/>
          <w:lang w:eastAsia="zh-CN"/>
        </w:rPr>
        <w:t>：</w:t>
      </w:r>
    </w:p>
    <w:p w14:paraId="1A09660A" w14:textId="77777777" w:rsidR="00F122F9" w:rsidRPr="00F122F9" w:rsidRDefault="00F122F9" w:rsidP="00F122F9">
      <w:pPr>
        <w:numPr>
          <w:ilvl w:val="1"/>
          <w:numId w:val="1"/>
        </w:numPr>
        <w:overflowPunct/>
        <w:autoSpaceDE/>
        <w:autoSpaceDN/>
        <w:adjustRightInd/>
        <w:spacing w:after="60"/>
        <w:ind w:left="1440"/>
        <w:jc w:val="both"/>
        <w:textAlignment w:val="auto"/>
        <w:rPr>
          <w:rFonts w:eastAsia="宋体"/>
          <w:szCs w:val="24"/>
          <w:lang w:eastAsia="zh-CN"/>
        </w:rPr>
      </w:pPr>
      <w:r w:rsidRPr="00F122F9">
        <w:rPr>
          <w:rFonts w:eastAsia="宋体"/>
          <w:szCs w:val="24"/>
          <w:lang w:eastAsia="zh-CN"/>
        </w:rPr>
        <w:t xml:space="preserve">Proposal 1: </w:t>
      </w:r>
      <w:r w:rsidRPr="00F122F9">
        <w:rPr>
          <w:rFonts w:eastAsia="MS Mincho"/>
          <w:bCs/>
          <w:lang w:eastAsia="en-US"/>
        </w:rPr>
        <w:t xml:space="preserve">Do not introduce </w:t>
      </w:r>
      <w:proofErr w:type="spellStart"/>
      <w:r w:rsidRPr="00F122F9">
        <w:rPr>
          <w:rFonts w:eastAsia="MS Mincho"/>
          <w:bCs/>
          <w:lang w:eastAsia="en-US"/>
        </w:rPr>
        <w:t>ΔP</w:t>
      </w:r>
      <w:r w:rsidRPr="00F122F9">
        <w:rPr>
          <w:rFonts w:eastAsia="MS Mincho"/>
          <w:bCs/>
          <w:vertAlign w:val="subscript"/>
          <w:lang w:eastAsia="en-US"/>
        </w:rPr>
        <w:t>PowerClass</w:t>
      </w:r>
      <w:proofErr w:type="spellEnd"/>
      <w:r w:rsidRPr="00F122F9">
        <w:rPr>
          <w:rFonts w:eastAsia="MS Mincho"/>
          <w:bCs/>
          <w:lang w:eastAsia="en-US"/>
        </w:rPr>
        <w:t xml:space="preserve"> related specifications changes for PC1.5 inter-band UL CA/EN-DC with 2Tx or 3Tx configuration. (Apple)</w:t>
      </w:r>
    </w:p>
    <w:p w14:paraId="759C551D"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2: 3GPP duty-cycle solution is not specified for any scenarios of this WI. (Samsung)</w:t>
      </w:r>
    </w:p>
    <w:p w14:paraId="097A1E51"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3: (Xiaomi)</w:t>
      </w:r>
    </w:p>
    <w:p w14:paraId="2CE9C8B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F122F9">
        <w:rPr>
          <w:rFonts w:eastAsia="MS Mincho"/>
          <w:lang w:eastAsia="en-US"/>
        </w:rPr>
        <w:t>dutycycle</w:t>
      </w:r>
      <w:proofErr w:type="spellEnd"/>
      <w:r w:rsidRPr="00F122F9">
        <w:rPr>
          <w:rFonts w:eastAsia="MS Mincho"/>
          <w:lang w:eastAsia="en-US"/>
        </w:rPr>
        <w:t xml:space="preserve"> approach for PC2 case with some small changes as shown in the following table 2 for TDD+TDD case and FDD+TDD case.</w:t>
      </w:r>
    </w:p>
    <w:p w14:paraId="1FC6E72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A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2C9EC3F9"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4: (Meta)</w:t>
      </w:r>
    </w:p>
    <w:p w14:paraId="61D0E42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contiguous CA combinations UE.</w:t>
      </w:r>
    </w:p>
    <w:p w14:paraId="25CD6497"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non-contiguous CA combinations UE.</w:t>
      </w:r>
    </w:p>
    <w:p w14:paraId="5398C614"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5: (LGE)</w:t>
      </w:r>
    </w:p>
    <w:p w14:paraId="26F3C33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宋体"/>
          <w:lang w:val="sv-SE" w:eastAsia="zh-CN"/>
        </w:rPr>
        <w:t>Modify the existing PC2 duty cycle solution if PC2 FDD/TDD + PC2 TDD with 2Tx is introduced.</w:t>
      </w:r>
    </w:p>
    <w:p w14:paraId="7094AF34"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w:t>
      </w:r>
      <w:r w:rsidRPr="00F122F9">
        <w:rPr>
          <w:rFonts w:eastAsia="MS Mincho"/>
          <w:lang w:eastAsia="en-US"/>
        </w:rPr>
        <w:t xml:space="preserve"> </w:t>
      </w:r>
      <w:r w:rsidRPr="00F122F9">
        <w:rPr>
          <w:rFonts w:eastAsia="宋体"/>
          <w:lang w:val="sv-SE" w:eastAsia="zh-CN"/>
        </w:rPr>
        <w:t xml:space="preserve"> consider A new capability, for example, maxUplinkDutyCycle-interBandENDC-FDD-PC2 which comprises of maxUplinkDutyCycle-FDD-EN-DC1 and maxUplinkDutyCycle-FDD-EN-DC2</w:t>
      </w:r>
    </w:p>
    <w:p w14:paraId="13124DC3"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403DECA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 NR TDD,  considere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22ACD96D"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 (UL-MIMO or Tx diversity),  consider a</w:t>
      </w:r>
      <w:r w:rsidRPr="00F122F9">
        <w:rPr>
          <w:rFonts w:eastAsia="MS Mincho"/>
          <w:lang w:val="sv-SE" w:eastAsia="zh-CN"/>
        </w:rPr>
        <w:t xml:space="preserve"> new capability, for example, maxUplinkDutyCycle-interBandENDC-FDD-PC2 which comprises of maxUplinkDutyCycle-FDD-EN-DC1 and maxUplinkDutyCycle-FDD-EN-DC2</w:t>
      </w:r>
    </w:p>
    <w:p w14:paraId="5C1DEFC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(UL-MIMO or Tx diversity),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0383B20F"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PC3 E-UTRA FDD/TDD + PC1.5 NR TDD (UL-MIMO or Tx diversity), consider </w:t>
      </w:r>
      <w:r w:rsidRPr="00F122F9">
        <w:rPr>
          <w:rFonts w:eastAsia="MS Mincho"/>
          <w:lang w:val="sv-SE" w:eastAsia="zh-CN"/>
        </w:rPr>
        <w:t xml:space="preserve">New duty cycle solution considering the possible E-UTRA TDD uplink-downlink configurations and </w:t>
      </w:r>
      <w:r w:rsidRPr="00F122F9">
        <w:rPr>
          <w:rFonts w:eastAsia="宋体"/>
          <w:lang w:val="sv-SE" w:eastAsia="zh-CN"/>
        </w:rPr>
        <w:t xml:space="preserve">the percentage of maximum E-UTRA/NR uplink transmission </w:t>
      </w:r>
    </w:p>
    <w:p w14:paraId="6E528E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PC2/PC1.5 NR TDD (UL-MIMO or Tx diversity), consider New duty cycle solution considering the possible E-UTRA TDD uplink-downlink configurations and the percentage of maximum E-UTRA/NR uplink transmission </w:t>
      </w:r>
    </w:p>
    <w:p w14:paraId="704459D2"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6: (ZTE)</w:t>
      </w:r>
    </w:p>
    <w:p w14:paraId="0936CC4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Duty-cycle solution should be considered for limited scenarios of PC2/PC1.5 NR inter-band UL CA.</w:t>
      </w:r>
    </w:p>
    <w:p w14:paraId="16482E98"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Only consider P-MPR scheme for the band combination including PC2 FDD band, i.e. FDD+FDD, FDD+TDD</w:t>
      </w:r>
    </w:p>
    <w:p w14:paraId="6A302C6C"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Except P-MPR, duty cycle scheme is applied to the band combination including pure TDD bands, i.e. TDD+TDD</w:t>
      </w:r>
    </w:p>
    <w:p w14:paraId="552515B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hint="eastAsia"/>
          <w:lang w:val="sv-SE" w:eastAsia="zh-CN"/>
        </w:rPr>
        <w:t>For duty cycle based SAR solution, reu</w:t>
      </w:r>
      <w:r w:rsidRPr="00F122F9">
        <w:rPr>
          <w:rFonts w:eastAsia="宋体"/>
          <w:lang w:val="sv-SE" w:eastAsia="zh-CN"/>
        </w:rPr>
        <w:t xml:space="preserve">se the </w:t>
      </w:r>
      <w:r w:rsidRPr="00F122F9">
        <w:rPr>
          <w:rFonts w:eastAsia="宋体" w:hint="eastAsia"/>
          <w:lang w:val="sv-SE" w:eastAsia="zh-CN"/>
        </w:rPr>
        <w:t xml:space="preserve">PC1.5 </w:t>
      </w:r>
      <w:r w:rsidRPr="00F122F9">
        <w:rPr>
          <w:rFonts w:eastAsia="宋体"/>
          <w:lang w:val="sv-SE" w:eastAsia="zh-CN"/>
        </w:rPr>
        <w:t xml:space="preserve">single CC </w:t>
      </w:r>
      <w:r w:rsidRPr="00F122F9">
        <w:rPr>
          <w:rFonts w:eastAsia="宋体" w:hint="eastAsia"/>
          <w:lang w:val="sv-SE" w:eastAsia="zh-CN"/>
        </w:rPr>
        <w:t>capability for PC1.5 TDD UL intra-band contiguous and non-contiguous CA</w:t>
      </w:r>
    </w:p>
    <w:p w14:paraId="0ABE9EDE"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7: (vivo)</w:t>
      </w:r>
    </w:p>
    <w:p w14:paraId="4DE1638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MS Mincho"/>
          <w:lang w:val="sv-SE" w:eastAsia="zh-CN"/>
        </w:rPr>
        <w:t>For PC1.5 of intra-band CA, the default threshold is 25% when maxUplinkDutyCycle-PC2-FR1 is absent, if 0.5* maxUplinkDutyCycle-PC2-FR1 is exceeded, power reduction is expected.</w:t>
      </w:r>
    </w:p>
    <w:p w14:paraId="5AB3B9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3BF2DC2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6EF3A0D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lastRenderedPageBreak/>
        <w:t>F</w:t>
      </w:r>
      <w:r w:rsidRPr="00F122F9">
        <w:rPr>
          <w:rFonts w:eastAsia="MS Mincho"/>
          <w:lang w:val="sv-SE" w:eastAsia="zh-CN"/>
        </w:rPr>
        <w:t>or PC2 of inter-band EN-DC(FDD+FDD), on LTE side, there are two threshold 40% and 70% is hardcoded. On NR side, UE will report two thresholds: maxUplinkDutyCycle-FDD-FDD-EN-DC1 and maxUplinkDutyCycle-FDD-FDD-EN-DC2.</w:t>
      </w:r>
    </w:p>
    <w:p w14:paraId="136D9965"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8: (CHTTL)</w:t>
      </w:r>
    </w:p>
    <w:p w14:paraId="67C8245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with 1Tx PC3 + 2Tx PC1.5 configuration</w:t>
      </w:r>
    </w:p>
    <w:p w14:paraId="0427D28A"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 xml:space="preserve">At least the method that reusing PC2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signalling with 0.5 scaling is considered</w:t>
      </w:r>
    </w:p>
    <w:p w14:paraId="06C4A7F1" w14:textId="77777777" w:rsidR="00F122F9" w:rsidRPr="00F122F9" w:rsidRDefault="00F122F9" w:rsidP="00F122F9">
      <w:pPr>
        <w:numPr>
          <w:ilvl w:val="2"/>
          <w:numId w:val="1"/>
        </w:numPr>
        <w:overflowPunct/>
        <w:autoSpaceDE/>
        <w:autoSpaceDN/>
        <w:adjustRightInd/>
        <w:spacing w:after="0"/>
        <w:textAlignment w:val="auto"/>
        <w:rPr>
          <w:rFonts w:eastAsia="MS Mincho"/>
          <w:b/>
          <w:lang w:eastAsia="zh-TW"/>
        </w:rPr>
      </w:pPr>
      <w:r w:rsidRPr="00F122F9">
        <w:rPr>
          <w:rFonts w:eastAsia="MS Mincho" w:hint="eastAsia"/>
          <w:lang w:val="sv-SE" w:eastAsia="zh-CN"/>
        </w:rPr>
        <w:t>T</w:t>
      </w:r>
      <w:r w:rsidRPr="00F122F9">
        <w:rPr>
          <w:rFonts w:eastAsia="MS Mincho"/>
          <w:lang w:val="sv-SE" w:eastAsia="zh-CN"/>
        </w:rPr>
        <w:t xml:space="preserve">he UE-implementation based methods (i.e. P-MPR) is </w:t>
      </w:r>
      <w:r w:rsidRPr="00F122F9">
        <w:rPr>
          <w:rFonts w:eastAsia="MS Mincho" w:hint="eastAsia"/>
          <w:lang w:val="sv-SE" w:eastAsia="zh-CN"/>
        </w:rPr>
        <w:t xml:space="preserve">still </w:t>
      </w:r>
      <w:r w:rsidRPr="00F122F9">
        <w:rPr>
          <w:rFonts w:eastAsia="MS Mincho"/>
          <w:lang w:val="sv-SE" w:eastAsia="zh-CN"/>
        </w:rPr>
        <w:t>applied by default</w:t>
      </w:r>
    </w:p>
    <w:p w14:paraId="416B77A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FDD 2Tx/3Tx configurations</w:t>
      </w:r>
    </w:p>
    <w:p w14:paraId="52DB31B7"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T</w:t>
      </w:r>
      <w:r w:rsidRPr="00F122F9">
        <w:rPr>
          <w:rFonts w:eastAsia="MS Mincho"/>
          <w:lang w:val="sv-SE" w:eastAsia="zh-CN"/>
        </w:rPr>
        <w:t>he UE-implementation based methods (i.e. P-MPR) is applied by default</w:t>
      </w:r>
    </w:p>
    <w:p w14:paraId="3E0F1BB6"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RAN4 to discuss whether other solutions (ex: duty cycle method) can be considered</w:t>
      </w:r>
    </w:p>
    <w:p w14:paraId="64A6F3F9" w14:textId="768DD2D1"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 xml:space="preserve">Proposal </w:t>
      </w:r>
      <w:r>
        <w:rPr>
          <w:rFonts w:eastAsia="宋体"/>
          <w:szCs w:val="24"/>
          <w:lang w:eastAsia="zh-CN"/>
        </w:rPr>
        <w:t>9</w:t>
      </w:r>
      <w:r w:rsidRPr="00F122F9">
        <w:rPr>
          <w:rFonts w:eastAsia="宋体"/>
          <w:szCs w:val="24"/>
          <w:lang w:eastAsia="zh-CN"/>
        </w:rPr>
        <w:t>: (China Telecom)</w:t>
      </w:r>
    </w:p>
    <w:p w14:paraId="73EA960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PC2 two band EN-DC with 2Tx and/or 3Tx, the legacy duty-cycle solution in 38.101-3 and corresponding capability and signalling shall be reused.</w:t>
      </w:r>
    </w:p>
    <w:p w14:paraId="0989C2EA"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PC1.5 HPUE for intra/inter-band CA, the general SAR solution framework and the threshold of average percentage of uplink symbols should both refer to PC2 UE for CA and PC1.5 UE for single CC.</w:t>
      </w:r>
    </w:p>
    <w:p w14:paraId="05074BF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 xml:space="preserve">For PC1.5 HPUE for intra/inter-band CA, if power class of one or both of the bands within the band combination is power class 1.5, the default value of maxDutyNR,x/y should be 25%. </w:t>
      </w:r>
    </w:p>
    <w:p w14:paraId="03FA557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Start with taking half of PC2 default duty-cycle threshold and 0.5*PC2capability as new trigger condition of SAR solution for PC1.5 of FDD+TDD/TDD+TDD.</w:t>
      </w:r>
    </w:p>
    <w:p w14:paraId="35AC9C8E" w14:textId="77777777" w:rsidR="00F122F9" w:rsidRPr="00F122F9" w:rsidRDefault="00F122F9" w:rsidP="00F122F9">
      <w:pPr>
        <w:overflowPunct/>
        <w:autoSpaceDE/>
        <w:autoSpaceDN/>
        <w:adjustRightInd/>
        <w:spacing w:after="0"/>
        <w:textAlignment w:val="auto"/>
        <w:rPr>
          <w:rFonts w:eastAsia="宋体"/>
          <w:lang w:val="sv-SE" w:eastAsia="zh-CN"/>
        </w:rPr>
      </w:pPr>
    </w:p>
    <w:p w14:paraId="469D58F2" w14:textId="018F0E27" w:rsidR="006249B0" w:rsidRPr="008E2845" w:rsidRDefault="006249B0" w:rsidP="006249B0">
      <w:pPr>
        <w:rPr>
          <w:rFonts w:eastAsiaTheme="minorEastAsia"/>
          <w:b/>
          <w:lang w:eastAsia="zh-CN"/>
        </w:rPr>
      </w:pPr>
      <w:r>
        <w:rPr>
          <w:b/>
          <w:lang w:eastAsia="zh-CN"/>
        </w:rPr>
        <w:t xml:space="preserve">Way forward: </w:t>
      </w:r>
      <w:r w:rsidR="008F5928">
        <w:rPr>
          <w:bCs/>
          <w:lang w:eastAsia="zh-CN"/>
        </w:rPr>
        <w:t xml:space="preserve">FFS </w:t>
      </w:r>
    </w:p>
    <w:p w14:paraId="53308D17" w14:textId="77777777" w:rsidR="00F122F9" w:rsidRPr="00F122F9" w:rsidRDefault="00F122F9" w:rsidP="00F122F9">
      <w:pPr>
        <w:rPr>
          <w:lang w:val="sv-SE"/>
        </w:rPr>
      </w:pPr>
    </w:p>
    <w:p w14:paraId="5CB368A6" w14:textId="66AA6A34" w:rsidR="00B73ABE" w:rsidRPr="002924CA" w:rsidRDefault="00B73ABE" w:rsidP="00B73ABE"/>
    <w:sectPr w:rsidR="00B73ABE" w:rsidRPr="002924CA" w:rsidSect="007C5130">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4FAE" w14:textId="77777777" w:rsidR="00D01E0A" w:rsidRPr="00A10429" w:rsidRDefault="00D01E0A" w:rsidP="0064547A">
      <w:pPr>
        <w:spacing w:after="0"/>
        <w:rPr>
          <w:kern w:val="2"/>
          <w:lang w:eastAsia="zh-CN"/>
        </w:rPr>
      </w:pPr>
      <w:r>
        <w:separator/>
      </w:r>
    </w:p>
  </w:endnote>
  <w:endnote w:type="continuationSeparator" w:id="0">
    <w:p w14:paraId="301C48FB" w14:textId="77777777" w:rsidR="00D01E0A" w:rsidRPr="00A10429" w:rsidRDefault="00D01E0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AD80" w14:textId="77777777" w:rsidR="00D01E0A" w:rsidRPr="00A10429" w:rsidRDefault="00D01E0A" w:rsidP="0064547A">
      <w:pPr>
        <w:spacing w:after="0"/>
        <w:rPr>
          <w:kern w:val="2"/>
          <w:lang w:eastAsia="zh-CN"/>
        </w:rPr>
      </w:pPr>
      <w:r>
        <w:separator/>
      </w:r>
    </w:p>
  </w:footnote>
  <w:footnote w:type="continuationSeparator" w:id="0">
    <w:p w14:paraId="0961C7DF" w14:textId="77777777" w:rsidR="00D01E0A" w:rsidRPr="00A10429" w:rsidRDefault="00D01E0A"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tentative="1">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2" w15:restartNumberingAfterBreak="0">
    <w:nsid w:val="130E2DF4"/>
    <w:multiLevelType w:val="multilevel"/>
    <w:tmpl w:val="6B26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25AAF"/>
    <w:multiLevelType w:val="hybridMultilevel"/>
    <w:tmpl w:val="19B20C78"/>
    <w:lvl w:ilvl="0" w:tplc="C6AE9B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DD1BEB"/>
    <w:multiLevelType w:val="hybridMultilevel"/>
    <w:tmpl w:val="8306EE20"/>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34F1951"/>
    <w:multiLevelType w:val="hybridMultilevel"/>
    <w:tmpl w:val="C4FC6C1E"/>
    <w:lvl w:ilvl="0" w:tplc="75526734">
      <w:start w:val="2"/>
      <w:numFmt w:val="bullet"/>
      <w:lvlText w:val="-"/>
      <w:lvlJc w:val="left"/>
      <w:pPr>
        <w:ind w:left="1020" w:hanging="420"/>
      </w:pPr>
      <w:rPr>
        <w:rFonts w:ascii="Times New Roman" w:eastAsia="宋体"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3CA30031"/>
    <w:multiLevelType w:val="hybridMultilevel"/>
    <w:tmpl w:val="EAECE69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2"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5C4D0A"/>
    <w:multiLevelType w:val="hybridMultilevel"/>
    <w:tmpl w:val="1D8A7EB0"/>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0542E2"/>
    <w:multiLevelType w:val="multilevel"/>
    <w:tmpl w:val="52F87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7038D"/>
    <w:multiLevelType w:val="multilevel"/>
    <w:tmpl w:val="E3C8F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396760"/>
    <w:multiLevelType w:val="hybridMultilevel"/>
    <w:tmpl w:val="40D0D9B4"/>
    <w:lvl w:ilvl="0" w:tplc="08090001">
      <w:start w:val="1"/>
      <w:numFmt w:val="bullet"/>
      <w:lvlText w:val=""/>
      <w:lvlJc w:val="left"/>
      <w:pPr>
        <w:ind w:left="936" w:hanging="360"/>
      </w:pPr>
      <w:rPr>
        <w:rFonts w:ascii="Symbol" w:hAnsi="Symbol" w:hint="default"/>
      </w:rPr>
    </w:lvl>
    <w:lvl w:ilvl="1" w:tplc="041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3"/>
  </w:num>
  <w:num w:numId="2">
    <w:abstractNumId w:val="10"/>
  </w:num>
  <w:num w:numId="3">
    <w:abstractNumId w:val="18"/>
  </w:num>
  <w:num w:numId="4">
    <w:abstractNumId w:val="12"/>
  </w:num>
  <w:num w:numId="5">
    <w:abstractNumId w:val="8"/>
  </w:num>
  <w:num w:numId="6">
    <w:abstractNumId w:val="14"/>
  </w:num>
  <w:num w:numId="7">
    <w:abstractNumId w:val="11"/>
  </w:num>
  <w:num w:numId="8">
    <w:abstractNumId w:val="1"/>
  </w:num>
  <w:num w:numId="9">
    <w:abstractNumId w:val="7"/>
  </w:num>
  <w:num w:numId="10">
    <w:abstractNumId w:val="16"/>
  </w:num>
  <w:num w:numId="11">
    <w:abstractNumId w:val="2"/>
  </w:num>
  <w:num w:numId="12">
    <w:abstractNumId w:val="19"/>
  </w:num>
  <w:num w:numId="13">
    <w:abstractNumId w:val="17"/>
  </w:num>
  <w:num w:numId="14">
    <w:abstractNumId w:val="5"/>
  </w:num>
  <w:num w:numId="15">
    <w:abstractNumId w:val="4"/>
  </w:num>
  <w:num w:numId="16">
    <w:abstractNumId w:val="6"/>
  </w:num>
  <w:num w:numId="17">
    <w:abstractNumId w:val="9"/>
  </w:num>
  <w:num w:numId="18">
    <w:abstractNumId w:val="0"/>
  </w:num>
  <w:num w:numId="19">
    <w:abstractNumId w:val="15"/>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4D5C"/>
    <w:rsid w:val="00005055"/>
    <w:rsid w:val="0000532F"/>
    <w:rsid w:val="00005510"/>
    <w:rsid w:val="0000585F"/>
    <w:rsid w:val="00006335"/>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17D21"/>
    <w:rsid w:val="000201C7"/>
    <w:rsid w:val="0002128E"/>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815"/>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1E7F"/>
    <w:rsid w:val="0006280E"/>
    <w:rsid w:val="000630EE"/>
    <w:rsid w:val="00064870"/>
    <w:rsid w:val="00065D20"/>
    <w:rsid w:val="00065F75"/>
    <w:rsid w:val="00065F76"/>
    <w:rsid w:val="00067448"/>
    <w:rsid w:val="0006786F"/>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4F3A"/>
    <w:rsid w:val="000854D2"/>
    <w:rsid w:val="00085F92"/>
    <w:rsid w:val="0008756E"/>
    <w:rsid w:val="0009018B"/>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112"/>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27B8"/>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4DB1"/>
    <w:rsid w:val="000E4EE3"/>
    <w:rsid w:val="000E546F"/>
    <w:rsid w:val="000E55AE"/>
    <w:rsid w:val="000E567B"/>
    <w:rsid w:val="000E59CB"/>
    <w:rsid w:val="000E5B16"/>
    <w:rsid w:val="000E5EF4"/>
    <w:rsid w:val="000E61B1"/>
    <w:rsid w:val="000E6A68"/>
    <w:rsid w:val="000E6B80"/>
    <w:rsid w:val="000E6C29"/>
    <w:rsid w:val="000E6D3E"/>
    <w:rsid w:val="000E78AA"/>
    <w:rsid w:val="000E7CAC"/>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5AE"/>
    <w:rsid w:val="00100E5C"/>
    <w:rsid w:val="00101494"/>
    <w:rsid w:val="00101C27"/>
    <w:rsid w:val="00103A28"/>
    <w:rsid w:val="0010582B"/>
    <w:rsid w:val="00106E13"/>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F0E"/>
    <w:rsid w:val="00124289"/>
    <w:rsid w:val="00124E13"/>
    <w:rsid w:val="00126CA6"/>
    <w:rsid w:val="001278A5"/>
    <w:rsid w:val="001308F6"/>
    <w:rsid w:val="0013169D"/>
    <w:rsid w:val="00132700"/>
    <w:rsid w:val="00132FBF"/>
    <w:rsid w:val="0013378D"/>
    <w:rsid w:val="00133D05"/>
    <w:rsid w:val="00136061"/>
    <w:rsid w:val="00136834"/>
    <w:rsid w:val="00136F3D"/>
    <w:rsid w:val="00137982"/>
    <w:rsid w:val="001402F2"/>
    <w:rsid w:val="00140C8D"/>
    <w:rsid w:val="0014152A"/>
    <w:rsid w:val="001421CF"/>
    <w:rsid w:val="00144511"/>
    <w:rsid w:val="001456D3"/>
    <w:rsid w:val="00145CDD"/>
    <w:rsid w:val="001460F4"/>
    <w:rsid w:val="0014612A"/>
    <w:rsid w:val="001467B0"/>
    <w:rsid w:val="001467CE"/>
    <w:rsid w:val="00146A28"/>
    <w:rsid w:val="00146C80"/>
    <w:rsid w:val="00146F82"/>
    <w:rsid w:val="0015432E"/>
    <w:rsid w:val="00154449"/>
    <w:rsid w:val="00155FC8"/>
    <w:rsid w:val="00156368"/>
    <w:rsid w:val="00156F82"/>
    <w:rsid w:val="00157359"/>
    <w:rsid w:val="001576DD"/>
    <w:rsid w:val="00157EC4"/>
    <w:rsid w:val="001617B9"/>
    <w:rsid w:val="0016217D"/>
    <w:rsid w:val="00162690"/>
    <w:rsid w:val="0016274A"/>
    <w:rsid w:val="00162CC9"/>
    <w:rsid w:val="00163132"/>
    <w:rsid w:val="00163AFF"/>
    <w:rsid w:val="00163C61"/>
    <w:rsid w:val="00164BF9"/>
    <w:rsid w:val="00164F8F"/>
    <w:rsid w:val="001650B5"/>
    <w:rsid w:val="00165A8C"/>
    <w:rsid w:val="00165B03"/>
    <w:rsid w:val="0016639A"/>
    <w:rsid w:val="0016789C"/>
    <w:rsid w:val="00167BAA"/>
    <w:rsid w:val="00167BF6"/>
    <w:rsid w:val="00170005"/>
    <w:rsid w:val="001700CE"/>
    <w:rsid w:val="00170CB4"/>
    <w:rsid w:val="00170D8A"/>
    <w:rsid w:val="00170DF7"/>
    <w:rsid w:val="001718DC"/>
    <w:rsid w:val="00171B98"/>
    <w:rsid w:val="001720E2"/>
    <w:rsid w:val="0017239C"/>
    <w:rsid w:val="00173059"/>
    <w:rsid w:val="00174A3D"/>
    <w:rsid w:val="00175B25"/>
    <w:rsid w:val="00176367"/>
    <w:rsid w:val="0017793C"/>
    <w:rsid w:val="00177CA1"/>
    <w:rsid w:val="00180A37"/>
    <w:rsid w:val="0018149C"/>
    <w:rsid w:val="00181C7F"/>
    <w:rsid w:val="00183889"/>
    <w:rsid w:val="00183CEE"/>
    <w:rsid w:val="00183F9A"/>
    <w:rsid w:val="00184F92"/>
    <w:rsid w:val="001856EB"/>
    <w:rsid w:val="00185B97"/>
    <w:rsid w:val="00185C95"/>
    <w:rsid w:val="00186634"/>
    <w:rsid w:val="00186753"/>
    <w:rsid w:val="00186D2E"/>
    <w:rsid w:val="001876A5"/>
    <w:rsid w:val="00187BDF"/>
    <w:rsid w:val="00187D2B"/>
    <w:rsid w:val="00190D3D"/>
    <w:rsid w:val="00192AB7"/>
    <w:rsid w:val="00193726"/>
    <w:rsid w:val="00193B74"/>
    <w:rsid w:val="0019591E"/>
    <w:rsid w:val="00196E90"/>
    <w:rsid w:val="00197367"/>
    <w:rsid w:val="00197502"/>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E85"/>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605E"/>
    <w:rsid w:val="002100B3"/>
    <w:rsid w:val="0021147E"/>
    <w:rsid w:val="0021162B"/>
    <w:rsid w:val="00212131"/>
    <w:rsid w:val="0021245C"/>
    <w:rsid w:val="00213F0D"/>
    <w:rsid w:val="002145B5"/>
    <w:rsid w:val="002147A1"/>
    <w:rsid w:val="00215978"/>
    <w:rsid w:val="00216617"/>
    <w:rsid w:val="002173C7"/>
    <w:rsid w:val="00217A80"/>
    <w:rsid w:val="0022200D"/>
    <w:rsid w:val="00222346"/>
    <w:rsid w:val="00222A0C"/>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10A"/>
    <w:rsid w:val="00240EE5"/>
    <w:rsid w:val="00241635"/>
    <w:rsid w:val="00241943"/>
    <w:rsid w:val="00241BD4"/>
    <w:rsid w:val="00241EB2"/>
    <w:rsid w:val="00241FA1"/>
    <w:rsid w:val="002428BD"/>
    <w:rsid w:val="00243E44"/>
    <w:rsid w:val="002446CD"/>
    <w:rsid w:val="00244F13"/>
    <w:rsid w:val="0024548A"/>
    <w:rsid w:val="00245B88"/>
    <w:rsid w:val="00245B8D"/>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EDA"/>
    <w:rsid w:val="002760BF"/>
    <w:rsid w:val="0027635F"/>
    <w:rsid w:val="002765B2"/>
    <w:rsid w:val="00276AD0"/>
    <w:rsid w:val="00276FF1"/>
    <w:rsid w:val="00280D59"/>
    <w:rsid w:val="0028151D"/>
    <w:rsid w:val="00281711"/>
    <w:rsid w:val="00281AE9"/>
    <w:rsid w:val="002829F6"/>
    <w:rsid w:val="00282BA4"/>
    <w:rsid w:val="002834E2"/>
    <w:rsid w:val="0028397A"/>
    <w:rsid w:val="00285BF4"/>
    <w:rsid w:val="00285DFB"/>
    <w:rsid w:val="0028649D"/>
    <w:rsid w:val="0028787D"/>
    <w:rsid w:val="002878A1"/>
    <w:rsid w:val="00290438"/>
    <w:rsid w:val="00290469"/>
    <w:rsid w:val="00290BF1"/>
    <w:rsid w:val="00291C4E"/>
    <w:rsid w:val="00291CEF"/>
    <w:rsid w:val="00292326"/>
    <w:rsid w:val="002924CA"/>
    <w:rsid w:val="002924FD"/>
    <w:rsid w:val="002928DB"/>
    <w:rsid w:val="00292A7A"/>
    <w:rsid w:val="0029392D"/>
    <w:rsid w:val="0029566F"/>
    <w:rsid w:val="00295A8F"/>
    <w:rsid w:val="00295B68"/>
    <w:rsid w:val="002A001C"/>
    <w:rsid w:val="002A0146"/>
    <w:rsid w:val="002A02B7"/>
    <w:rsid w:val="002A0599"/>
    <w:rsid w:val="002A1A4D"/>
    <w:rsid w:val="002A374C"/>
    <w:rsid w:val="002A432A"/>
    <w:rsid w:val="002A441F"/>
    <w:rsid w:val="002A4635"/>
    <w:rsid w:val="002A6695"/>
    <w:rsid w:val="002A6CB5"/>
    <w:rsid w:val="002A6FAE"/>
    <w:rsid w:val="002A71AA"/>
    <w:rsid w:val="002A7450"/>
    <w:rsid w:val="002B03B3"/>
    <w:rsid w:val="002B262E"/>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1A"/>
    <w:rsid w:val="002C7C29"/>
    <w:rsid w:val="002D00E4"/>
    <w:rsid w:val="002D078E"/>
    <w:rsid w:val="002D0C17"/>
    <w:rsid w:val="002D0C75"/>
    <w:rsid w:val="002D1314"/>
    <w:rsid w:val="002D3534"/>
    <w:rsid w:val="002D3E08"/>
    <w:rsid w:val="002D49F9"/>
    <w:rsid w:val="002D506B"/>
    <w:rsid w:val="002D509E"/>
    <w:rsid w:val="002D72F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78"/>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286"/>
    <w:rsid w:val="003007E7"/>
    <w:rsid w:val="00301F58"/>
    <w:rsid w:val="00302D41"/>
    <w:rsid w:val="003030A0"/>
    <w:rsid w:val="00303292"/>
    <w:rsid w:val="003040EB"/>
    <w:rsid w:val="003041DD"/>
    <w:rsid w:val="00305269"/>
    <w:rsid w:val="00305A3C"/>
    <w:rsid w:val="0030757F"/>
    <w:rsid w:val="00307C43"/>
    <w:rsid w:val="00310AC0"/>
    <w:rsid w:val="00310CAF"/>
    <w:rsid w:val="00310D6F"/>
    <w:rsid w:val="00310D9D"/>
    <w:rsid w:val="003123E5"/>
    <w:rsid w:val="00312C0E"/>
    <w:rsid w:val="003131EB"/>
    <w:rsid w:val="00313AC8"/>
    <w:rsid w:val="003142E0"/>
    <w:rsid w:val="00314346"/>
    <w:rsid w:val="003144A8"/>
    <w:rsid w:val="003147F8"/>
    <w:rsid w:val="00315285"/>
    <w:rsid w:val="0031570B"/>
    <w:rsid w:val="00315F1F"/>
    <w:rsid w:val="00316B5B"/>
    <w:rsid w:val="00316D07"/>
    <w:rsid w:val="0031711F"/>
    <w:rsid w:val="00317689"/>
    <w:rsid w:val="0031772E"/>
    <w:rsid w:val="00320145"/>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4"/>
    <w:rsid w:val="003275E6"/>
    <w:rsid w:val="00327722"/>
    <w:rsid w:val="0032788C"/>
    <w:rsid w:val="00327936"/>
    <w:rsid w:val="00327B3F"/>
    <w:rsid w:val="00327E29"/>
    <w:rsid w:val="00330270"/>
    <w:rsid w:val="00330ABA"/>
    <w:rsid w:val="00331455"/>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81D"/>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79D3"/>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7"/>
    <w:rsid w:val="003A4C2D"/>
    <w:rsid w:val="003A62C5"/>
    <w:rsid w:val="003A63F6"/>
    <w:rsid w:val="003A6AD2"/>
    <w:rsid w:val="003A7061"/>
    <w:rsid w:val="003A7673"/>
    <w:rsid w:val="003A7A32"/>
    <w:rsid w:val="003B0020"/>
    <w:rsid w:val="003B0194"/>
    <w:rsid w:val="003B12B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B63"/>
    <w:rsid w:val="003C421A"/>
    <w:rsid w:val="003C4B33"/>
    <w:rsid w:val="003C63A7"/>
    <w:rsid w:val="003C77D2"/>
    <w:rsid w:val="003D02D5"/>
    <w:rsid w:val="003D069C"/>
    <w:rsid w:val="003D0728"/>
    <w:rsid w:val="003D1BB6"/>
    <w:rsid w:val="003D1F8A"/>
    <w:rsid w:val="003D2634"/>
    <w:rsid w:val="003D2EA7"/>
    <w:rsid w:val="003D4B79"/>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AF4"/>
    <w:rsid w:val="003E7B44"/>
    <w:rsid w:val="003E7C17"/>
    <w:rsid w:val="003E7CC5"/>
    <w:rsid w:val="003E7CD4"/>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6A"/>
    <w:rsid w:val="00402879"/>
    <w:rsid w:val="00403C32"/>
    <w:rsid w:val="0040445F"/>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753"/>
    <w:rsid w:val="00433A11"/>
    <w:rsid w:val="0043509E"/>
    <w:rsid w:val="00435974"/>
    <w:rsid w:val="00436ABB"/>
    <w:rsid w:val="00436FDA"/>
    <w:rsid w:val="0043784A"/>
    <w:rsid w:val="00437BF2"/>
    <w:rsid w:val="0044019E"/>
    <w:rsid w:val="0044039B"/>
    <w:rsid w:val="00440ADF"/>
    <w:rsid w:val="00441CB2"/>
    <w:rsid w:val="0044201A"/>
    <w:rsid w:val="00443217"/>
    <w:rsid w:val="00443676"/>
    <w:rsid w:val="004436DD"/>
    <w:rsid w:val="0044560C"/>
    <w:rsid w:val="004465DF"/>
    <w:rsid w:val="00451383"/>
    <w:rsid w:val="004521D3"/>
    <w:rsid w:val="0045290C"/>
    <w:rsid w:val="00452AF7"/>
    <w:rsid w:val="00452EFA"/>
    <w:rsid w:val="00453EA2"/>
    <w:rsid w:val="0045408C"/>
    <w:rsid w:val="00454651"/>
    <w:rsid w:val="00455313"/>
    <w:rsid w:val="00455D81"/>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510"/>
    <w:rsid w:val="00471B2C"/>
    <w:rsid w:val="00471DEB"/>
    <w:rsid w:val="004723D0"/>
    <w:rsid w:val="00472470"/>
    <w:rsid w:val="00472BA0"/>
    <w:rsid w:val="004730E2"/>
    <w:rsid w:val="00473D41"/>
    <w:rsid w:val="004750A1"/>
    <w:rsid w:val="004758B3"/>
    <w:rsid w:val="00476D39"/>
    <w:rsid w:val="00476E14"/>
    <w:rsid w:val="004771B5"/>
    <w:rsid w:val="004807A8"/>
    <w:rsid w:val="00480F10"/>
    <w:rsid w:val="004813E7"/>
    <w:rsid w:val="00481684"/>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3DA"/>
    <w:rsid w:val="004B0849"/>
    <w:rsid w:val="004B250B"/>
    <w:rsid w:val="004B2DB1"/>
    <w:rsid w:val="004B32D9"/>
    <w:rsid w:val="004B3A83"/>
    <w:rsid w:val="004B5759"/>
    <w:rsid w:val="004B5AD2"/>
    <w:rsid w:val="004B6B29"/>
    <w:rsid w:val="004B7343"/>
    <w:rsid w:val="004C0260"/>
    <w:rsid w:val="004C0607"/>
    <w:rsid w:val="004C0E72"/>
    <w:rsid w:val="004C114D"/>
    <w:rsid w:val="004C1552"/>
    <w:rsid w:val="004C178B"/>
    <w:rsid w:val="004C1856"/>
    <w:rsid w:val="004C1D3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7FB"/>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701"/>
    <w:rsid w:val="004F5A68"/>
    <w:rsid w:val="004F657B"/>
    <w:rsid w:val="004F7322"/>
    <w:rsid w:val="004F7894"/>
    <w:rsid w:val="005006E2"/>
    <w:rsid w:val="0050076A"/>
    <w:rsid w:val="00500FBE"/>
    <w:rsid w:val="0050146B"/>
    <w:rsid w:val="00501905"/>
    <w:rsid w:val="0050196F"/>
    <w:rsid w:val="00501FDA"/>
    <w:rsid w:val="005027B7"/>
    <w:rsid w:val="00502C84"/>
    <w:rsid w:val="005033E2"/>
    <w:rsid w:val="00503B27"/>
    <w:rsid w:val="00503BBA"/>
    <w:rsid w:val="00503DCA"/>
    <w:rsid w:val="005053E7"/>
    <w:rsid w:val="00505B05"/>
    <w:rsid w:val="0050612D"/>
    <w:rsid w:val="0050629A"/>
    <w:rsid w:val="00507187"/>
    <w:rsid w:val="005072DF"/>
    <w:rsid w:val="005109A0"/>
    <w:rsid w:val="00510DD2"/>
    <w:rsid w:val="00510F21"/>
    <w:rsid w:val="005130A8"/>
    <w:rsid w:val="0051365B"/>
    <w:rsid w:val="00513FA0"/>
    <w:rsid w:val="00514241"/>
    <w:rsid w:val="00514C80"/>
    <w:rsid w:val="005150D2"/>
    <w:rsid w:val="0051531D"/>
    <w:rsid w:val="0051544C"/>
    <w:rsid w:val="00515EB3"/>
    <w:rsid w:val="00516F9B"/>
    <w:rsid w:val="00517177"/>
    <w:rsid w:val="005176DF"/>
    <w:rsid w:val="00517FDA"/>
    <w:rsid w:val="005206D5"/>
    <w:rsid w:val="005208FB"/>
    <w:rsid w:val="005211AB"/>
    <w:rsid w:val="00521ACD"/>
    <w:rsid w:val="0052312D"/>
    <w:rsid w:val="005238E9"/>
    <w:rsid w:val="00525095"/>
    <w:rsid w:val="0052512E"/>
    <w:rsid w:val="00525F4C"/>
    <w:rsid w:val="00526534"/>
    <w:rsid w:val="00526D92"/>
    <w:rsid w:val="0052771D"/>
    <w:rsid w:val="00527A63"/>
    <w:rsid w:val="00527C83"/>
    <w:rsid w:val="0053140D"/>
    <w:rsid w:val="0053231C"/>
    <w:rsid w:val="00532AA1"/>
    <w:rsid w:val="005335CB"/>
    <w:rsid w:val="00533C97"/>
    <w:rsid w:val="00534A2D"/>
    <w:rsid w:val="00534EAD"/>
    <w:rsid w:val="00535207"/>
    <w:rsid w:val="005368B4"/>
    <w:rsid w:val="005370D8"/>
    <w:rsid w:val="00537386"/>
    <w:rsid w:val="005375B6"/>
    <w:rsid w:val="00537723"/>
    <w:rsid w:val="00537927"/>
    <w:rsid w:val="005400AA"/>
    <w:rsid w:val="00540183"/>
    <w:rsid w:val="005401AB"/>
    <w:rsid w:val="00540E2D"/>
    <w:rsid w:val="005412B6"/>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20F"/>
    <w:rsid w:val="005564BC"/>
    <w:rsid w:val="0055671D"/>
    <w:rsid w:val="00557448"/>
    <w:rsid w:val="005574ED"/>
    <w:rsid w:val="00557DA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2C1"/>
    <w:rsid w:val="00581859"/>
    <w:rsid w:val="00581908"/>
    <w:rsid w:val="00582803"/>
    <w:rsid w:val="00582B4E"/>
    <w:rsid w:val="005830F7"/>
    <w:rsid w:val="005831F3"/>
    <w:rsid w:val="00583A10"/>
    <w:rsid w:val="00583AC3"/>
    <w:rsid w:val="0058425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A9E"/>
    <w:rsid w:val="00596B5F"/>
    <w:rsid w:val="00596FF9"/>
    <w:rsid w:val="0059793D"/>
    <w:rsid w:val="00597A82"/>
    <w:rsid w:val="00597B46"/>
    <w:rsid w:val="005A1049"/>
    <w:rsid w:val="005A152C"/>
    <w:rsid w:val="005A2FE4"/>
    <w:rsid w:val="005A3C2D"/>
    <w:rsid w:val="005A4D84"/>
    <w:rsid w:val="005A4E59"/>
    <w:rsid w:val="005A6891"/>
    <w:rsid w:val="005A6EFF"/>
    <w:rsid w:val="005A7475"/>
    <w:rsid w:val="005A759A"/>
    <w:rsid w:val="005B022A"/>
    <w:rsid w:val="005B0987"/>
    <w:rsid w:val="005B2177"/>
    <w:rsid w:val="005B39E2"/>
    <w:rsid w:val="005B3D19"/>
    <w:rsid w:val="005B3F97"/>
    <w:rsid w:val="005B4E05"/>
    <w:rsid w:val="005B5569"/>
    <w:rsid w:val="005B6E41"/>
    <w:rsid w:val="005C04DB"/>
    <w:rsid w:val="005C0CDA"/>
    <w:rsid w:val="005C16FD"/>
    <w:rsid w:val="005C21C7"/>
    <w:rsid w:val="005C22B8"/>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F1A"/>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75B"/>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49B0"/>
    <w:rsid w:val="0062535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46C"/>
    <w:rsid w:val="006579B3"/>
    <w:rsid w:val="00657CCC"/>
    <w:rsid w:val="00662783"/>
    <w:rsid w:val="006629A3"/>
    <w:rsid w:val="00663A4E"/>
    <w:rsid w:val="00664CD3"/>
    <w:rsid w:val="00664E34"/>
    <w:rsid w:val="00664FF7"/>
    <w:rsid w:val="00665910"/>
    <w:rsid w:val="00665D37"/>
    <w:rsid w:val="00665FDC"/>
    <w:rsid w:val="006667DA"/>
    <w:rsid w:val="00666869"/>
    <w:rsid w:val="00670570"/>
    <w:rsid w:val="006707C2"/>
    <w:rsid w:val="0067082F"/>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667"/>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12D"/>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1AE7"/>
    <w:rsid w:val="006B1DE9"/>
    <w:rsid w:val="006B1EA7"/>
    <w:rsid w:val="006B287B"/>
    <w:rsid w:val="006B2CB2"/>
    <w:rsid w:val="006B2D11"/>
    <w:rsid w:val="006B329B"/>
    <w:rsid w:val="006B4637"/>
    <w:rsid w:val="006C032D"/>
    <w:rsid w:val="006C05F5"/>
    <w:rsid w:val="006C0D1A"/>
    <w:rsid w:val="006C1B61"/>
    <w:rsid w:val="006C1DE6"/>
    <w:rsid w:val="006C2850"/>
    <w:rsid w:val="006C2ED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2F56"/>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455"/>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1C22"/>
    <w:rsid w:val="00703AD8"/>
    <w:rsid w:val="00703EE7"/>
    <w:rsid w:val="0070510C"/>
    <w:rsid w:val="007051FC"/>
    <w:rsid w:val="00705C38"/>
    <w:rsid w:val="00705C76"/>
    <w:rsid w:val="00705E3C"/>
    <w:rsid w:val="0070636B"/>
    <w:rsid w:val="00706862"/>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740"/>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873"/>
    <w:rsid w:val="00736FF6"/>
    <w:rsid w:val="0073713A"/>
    <w:rsid w:val="0073714B"/>
    <w:rsid w:val="007400DB"/>
    <w:rsid w:val="007403D0"/>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70A"/>
    <w:rsid w:val="00756839"/>
    <w:rsid w:val="00761D2B"/>
    <w:rsid w:val="00762396"/>
    <w:rsid w:val="00762891"/>
    <w:rsid w:val="00763D3E"/>
    <w:rsid w:val="007656F7"/>
    <w:rsid w:val="00765B37"/>
    <w:rsid w:val="00766AC1"/>
    <w:rsid w:val="00766C0D"/>
    <w:rsid w:val="00770F70"/>
    <w:rsid w:val="00771039"/>
    <w:rsid w:val="007710FF"/>
    <w:rsid w:val="007711BE"/>
    <w:rsid w:val="007724C7"/>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5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96D"/>
    <w:rsid w:val="00796F94"/>
    <w:rsid w:val="0079725B"/>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130"/>
    <w:rsid w:val="007C563E"/>
    <w:rsid w:val="007C5DBD"/>
    <w:rsid w:val="007C5EA2"/>
    <w:rsid w:val="007C60A3"/>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1AE"/>
    <w:rsid w:val="007E22F1"/>
    <w:rsid w:val="007E28FF"/>
    <w:rsid w:val="007E3F9A"/>
    <w:rsid w:val="007E46B9"/>
    <w:rsid w:val="007E4FAE"/>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269"/>
    <w:rsid w:val="007F64C3"/>
    <w:rsid w:val="007F68D9"/>
    <w:rsid w:val="007F69DE"/>
    <w:rsid w:val="007F6D31"/>
    <w:rsid w:val="007F6F5B"/>
    <w:rsid w:val="0080036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5F5"/>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EF"/>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3DB"/>
    <w:rsid w:val="00886459"/>
    <w:rsid w:val="00887509"/>
    <w:rsid w:val="00887BFE"/>
    <w:rsid w:val="00890173"/>
    <w:rsid w:val="0089023D"/>
    <w:rsid w:val="0089047C"/>
    <w:rsid w:val="008905FA"/>
    <w:rsid w:val="00890B0F"/>
    <w:rsid w:val="00891B6B"/>
    <w:rsid w:val="00894402"/>
    <w:rsid w:val="0089462D"/>
    <w:rsid w:val="008946FF"/>
    <w:rsid w:val="00894CB2"/>
    <w:rsid w:val="0089542A"/>
    <w:rsid w:val="008957E1"/>
    <w:rsid w:val="00895962"/>
    <w:rsid w:val="00896171"/>
    <w:rsid w:val="00896278"/>
    <w:rsid w:val="008963C9"/>
    <w:rsid w:val="00897424"/>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DB7"/>
    <w:rsid w:val="008A78B9"/>
    <w:rsid w:val="008A7DBE"/>
    <w:rsid w:val="008B069C"/>
    <w:rsid w:val="008B099C"/>
    <w:rsid w:val="008B0EE6"/>
    <w:rsid w:val="008B1F5B"/>
    <w:rsid w:val="008B2E96"/>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A9A"/>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3B83"/>
    <w:rsid w:val="008D4416"/>
    <w:rsid w:val="008D5371"/>
    <w:rsid w:val="008D5C68"/>
    <w:rsid w:val="008D698E"/>
    <w:rsid w:val="008D6C2B"/>
    <w:rsid w:val="008D70AA"/>
    <w:rsid w:val="008D7176"/>
    <w:rsid w:val="008D7F85"/>
    <w:rsid w:val="008E0015"/>
    <w:rsid w:val="008E0A8B"/>
    <w:rsid w:val="008E0EF1"/>
    <w:rsid w:val="008E1607"/>
    <w:rsid w:val="008E2845"/>
    <w:rsid w:val="008E2D4A"/>
    <w:rsid w:val="008E2D4F"/>
    <w:rsid w:val="008E3F61"/>
    <w:rsid w:val="008E4272"/>
    <w:rsid w:val="008E46C8"/>
    <w:rsid w:val="008E4DF2"/>
    <w:rsid w:val="008E5133"/>
    <w:rsid w:val="008E5296"/>
    <w:rsid w:val="008E61DF"/>
    <w:rsid w:val="008E63A8"/>
    <w:rsid w:val="008E6438"/>
    <w:rsid w:val="008E78BA"/>
    <w:rsid w:val="008F076E"/>
    <w:rsid w:val="008F0A33"/>
    <w:rsid w:val="008F1A27"/>
    <w:rsid w:val="008F2020"/>
    <w:rsid w:val="008F2096"/>
    <w:rsid w:val="008F215A"/>
    <w:rsid w:val="008F229A"/>
    <w:rsid w:val="008F3701"/>
    <w:rsid w:val="008F407B"/>
    <w:rsid w:val="008F4E6A"/>
    <w:rsid w:val="008F58E8"/>
    <w:rsid w:val="008F592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4D16"/>
    <w:rsid w:val="00915043"/>
    <w:rsid w:val="009160C0"/>
    <w:rsid w:val="00916340"/>
    <w:rsid w:val="00917385"/>
    <w:rsid w:val="00920CAB"/>
    <w:rsid w:val="009212D0"/>
    <w:rsid w:val="009212EC"/>
    <w:rsid w:val="00921977"/>
    <w:rsid w:val="00923700"/>
    <w:rsid w:val="0092398C"/>
    <w:rsid w:val="00923BC1"/>
    <w:rsid w:val="00924515"/>
    <w:rsid w:val="00924551"/>
    <w:rsid w:val="00924B7E"/>
    <w:rsid w:val="00924C05"/>
    <w:rsid w:val="0092529D"/>
    <w:rsid w:val="00925A21"/>
    <w:rsid w:val="009276B3"/>
    <w:rsid w:val="00927894"/>
    <w:rsid w:val="00930120"/>
    <w:rsid w:val="009309B2"/>
    <w:rsid w:val="00931B7C"/>
    <w:rsid w:val="009320FB"/>
    <w:rsid w:val="00933182"/>
    <w:rsid w:val="00933AFF"/>
    <w:rsid w:val="0093414E"/>
    <w:rsid w:val="00934E5A"/>
    <w:rsid w:val="009354B0"/>
    <w:rsid w:val="00935C20"/>
    <w:rsid w:val="00935F4E"/>
    <w:rsid w:val="0093685B"/>
    <w:rsid w:val="00937551"/>
    <w:rsid w:val="00937F6E"/>
    <w:rsid w:val="009403FE"/>
    <w:rsid w:val="00940C35"/>
    <w:rsid w:val="00940F1E"/>
    <w:rsid w:val="0094108E"/>
    <w:rsid w:val="00942BBA"/>
    <w:rsid w:val="00944565"/>
    <w:rsid w:val="00944FA2"/>
    <w:rsid w:val="00945987"/>
    <w:rsid w:val="00945CCE"/>
    <w:rsid w:val="00946849"/>
    <w:rsid w:val="00947045"/>
    <w:rsid w:val="00947D50"/>
    <w:rsid w:val="00947EB5"/>
    <w:rsid w:val="00947FC7"/>
    <w:rsid w:val="00950BCB"/>
    <w:rsid w:val="00950C35"/>
    <w:rsid w:val="00950C7F"/>
    <w:rsid w:val="00951D0F"/>
    <w:rsid w:val="00951E51"/>
    <w:rsid w:val="009526C5"/>
    <w:rsid w:val="00952B46"/>
    <w:rsid w:val="00953472"/>
    <w:rsid w:val="00953E3E"/>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E2D"/>
    <w:rsid w:val="00974949"/>
    <w:rsid w:val="009753CA"/>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7AF"/>
    <w:rsid w:val="009A1B30"/>
    <w:rsid w:val="009A2D55"/>
    <w:rsid w:val="009A2FAC"/>
    <w:rsid w:val="009A32D2"/>
    <w:rsid w:val="009A3432"/>
    <w:rsid w:val="009A3445"/>
    <w:rsid w:val="009A3674"/>
    <w:rsid w:val="009A5636"/>
    <w:rsid w:val="009A59DC"/>
    <w:rsid w:val="009A5C5B"/>
    <w:rsid w:val="009A7288"/>
    <w:rsid w:val="009A7963"/>
    <w:rsid w:val="009B03FF"/>
    <w:rsid w:val="009B04A5"/>
    <w:rsid w:val="009B09D6"/>
    <w:rsid w:val="009B0F6A"/>
    <w:rsid w:val="009B1657"/>
    <w:rsid w:val="009B198D"/>
    <w:rsid w:val="009B1DA9"/>
    <w:rsid w:val="009B25E3"/>
    <w:rsid w:val="009B2D62"/>
    <w:rsid w:val="009B2E09"/>
    <w:rsid w:val="009B3553"/>
    <w:rsid w:val="009B36C5"/>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DF"/>
    <w:rsid w:val="009D1598"/>
    <w:rsid w:val="009D2F25"/>
    <w:rsid w:val="009D364B"/>
    <w:rsid w:val="009D3D73"/>
    <w:rsid w:val="009D452F"/>
    <w:rsid w:val="009D491E"/>
    <w:rsid w:val="009D4C61"/>
    <w:rsid w:val="009D4DCC"/>
    <w:rsid w:val="009D4FA2"/>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1E85"/>
    <w:rsid w:val="009F20C5"/>
    <w:rsid w:val="009F2CFC"/>
    <w:rsid w:val="009F3252"/>
    <w:rsid w:val="009F3B10"/>
    <w:rsid w:val="009F4713"/>
    <w:rsid w:val="009F4EAC"/>
    <w:rsid w:val="009F598C"/>
    <w:rsid w:val="009F5CA9"/>
    <w:rsid w:val="009F5F46"/>
    <w:rsid w:val="009F6164"/>
    <w:rsid w:val="009F6FFC"/>
    <w:rsid w:val="009F7866"/>
    <w:rsid w:val="009F7FEF"/>
    <w:rsid w:val="00A01109"/>
    <w:rsid w:val="00A01584"/>
    <w:rsid w:val="00A0190B"/>
    <w:rsid w:val="00A01EDD"/>
    <w:rsid w:val="00A026D0"/>
    <w:rsid w:val="00A03CD2"/>
    <w:rsid w:val="00A04A62"/>
    <w:rsid w:val="00A04C2A"/>
    <w:rsid w:val="00A057E2"/>
    <w:rsid w:val="00A059CA"/>
    <w:rsid w:val="00A05E72"/>
    <w:rsid w:val="00A06838"/>
    <w:rsid w:val="00A06BA4"/>
    <w:rsid w:val="00A06C3A"/>
    <w:rsid w:val="00A07069"/>
    <w:rsid w:val="00A07A77"/>
    <w:rsid w:val="00A07B3A"/>
    <w:rsid w:val="00A07B54"/>
    <w:rsid w:val="00A07C41"/>
    <w:rsid w:val="00A07C6A"/>
    <w:rsid w:val="00A101B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321"/>
    <w:rsid w:val="00A275FC"/>
    <w:rsid w:val="00A27712"/>
    <w:rsid w:val="00A30374"/>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552"/>
    <w:rsid w:val="00A43B77"/>
    <w:rsid w:val="00A4462F"/>
    <w:rsid w:val="00A456A1"/>
    <w:rsid w:val="00A47CF4"/>
    <w:rsid w:val="00A50BDA"/>
    <w:rsid w:val="00A515A6"/>
    <w:rsid w:val="00A51758"/>
    <w:rsid w:val="00A53700"/>
    <w:rsid w:val="00A54657"/>
    <w:rsid w:val="00A5473D"/>
    <w:rsid w:val="00A55FF9"/>
    <w:rsid w:val="00A60708"/>
    <w:rsid w:val="00A622CC"/>
    <w:rsid w:val="00A629CC"/>
    <w:rsid w:val="00A62E43"/>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D2B"/>
    <w:rsid w:val="00A76E5F"/>
    <w:rsid w:val="00A771F7"/>
    <w:rsid w:val="00A779C6"/>
    <w:rsid w:val="00A77E38"/>
    <w:rsid w:val="00A80EC9"/>
    <w:rsid w:val="00A812BF"/>
    <w:rsid w:val="00A818FD"/>
    <w:rsid w:val="00A82A80"/>
    <w:rsid w:val="00A82AAD"/>
    <w:rsid w:val="00A82D89"/>
    <w:rsid w:val="00A82FD6"/>
    <w:rsid w:val="00A8301C"/>
    <w:rsid w:val="00A8350F"/>
    <w:rsid w:val="00A84435"/>
    <w:rsid w:val="00A85318"/>
    <w:rsid w:val="00A85457"/>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31B0"/>
    <w:rsid w:val="00A948DA"/>
    <w:rsid w:val="00A95D59"/>
    <w:rsid w:val="00A96186"/>
    <w:rsid w:val="00A96245"/>
    <w:rsid w:val="00A9626D"/>
    <w:rsid w:val="00A9682F"/>
    <w:rsid w:val="00A96C16"/>
    <w:rsid w:val="00A96D22"/>
    <w:rsid w:val="00A973DC"/>
    <w:rsid w:val="00A97592"/>
    <w:rsid w:val="00A979C0"/>
    <w:rsid w:val="00AA04C7"/>
    <w:rsid w:val="00AA13AB"/>
    <w:rsid w:val="00AA1829"/>
    <w:rsid w:val="00AA23F2"/>
    <w:rsid w:val="00AA3C9E"/>
    <w:rsid w:val="00AA3F9A"/>
    <w:rsid w:val="00AA40EB"/>
    <w:rsid w:val="00AA4260"/>
    <w:rsid w:val="00AA4320"/>
    <w:rsid w:val="00AA510F"/>
    <w:rsid w:val="00AA525D"/>
    <w:rsid w:val="00AA64E6"/>
    <w:rsid w:val="00AA657A"/>
    <w:rsid w:val="00AA6FC4"/>
    <w:rsid w:val="00AA7716"/>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5DB4"/>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3750"/>
    <w:rsid w:val="00B54F5B"/>
    <w:rsid w:val="00B555DF"/>
    <w:rsid w:val="00B557B6"/>
    <w:rsid w:val="00B55E3B"/>
    <w:rsid w:val="00B5693D"/>
    <w:rsid w:val="00B571B4"/>
    <w:rsid w:val="00B575C0"/>
    <w:rsid w:val="00B60101"/>
    <w:rsid w:val="00B60A3D"/>
    <w:rsid w:val="00B60F46"/>
    <w:rsid w:val="00B612CF"/>
    <w:rsid w:val="00B62248"/>
    <w:rsid w:val="00B62DAB"/>
    <w:rsid w:val="00B631D0"/>
    <w:rsid w:val="00B64096"/>
    <w:rsid w:val="00B64B47"/>
    <w:rsid w:val="00B65338"/>
    <w:rsid w:val="00B6609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8DC"/>
    <w:rsid w:val="00BA6D61"/>
    <w:rsid w:val="00BB0BF4"/>
    <w:rsid w:val="00BB1012"/>
    <w:rsid w:val="00BB222F"/>
    <w:rsid w:val="00BB2A6F"/>
    <w:rsid w:val="00BB3213"/>
    <w:rsid w:val="00BB36DF"/>
    <w:rsid w:val="00BB3853"/>
    <w:rsid w:val="00BB4184"/>
    <w:rsid w:val="00BB4A19"/>
    <w:rsid w:val="00BB4B7D"/>
    <w:rsid w:val="00BB5F59"/>
    <w:rsid w:val="00BB6A94"/>
    <w:rsid w:val="00BB711A"/>
    <w:rsid w:val="00BB7827"/>
    <w:rsid w:val="00BB7A7A"/>
    <w:rsid w:val="00BC01F9"/>
    <w:rsid w:val="00BC0816"/>
    <w:rsid w:val="00BC1C16"/>
    <w:rsid w:val="00BC3618"/>
    <w:rsid w:val="00BC3643"/>
    <w:rsid w:val="00BC3F00"/>
    <w:rsid w:val="00BC4277"/>
    <w:rsid w:val="00BC4B28"/>
    <w:rsid w:val="00BC55D5"/>
    <w:rsid w:val="00BC5C1C"/>
    <w:rsid w:val="00BC6853"/>
    <w:rsid w:val="00BC6B1A"/>
    <w:rsid w:val="00BD16F0"/>
    <w:rsid w:val="00BD2142"/>
    <w:rsid w:val="00BD2371"/>
    <w:rsid w:val="00BD2C81"/>
    <w:rsid w:val="00BD3AC1"/>
    <w:rsid w:val="00BD3B76"/>
    <w:rsid w:val="00BD3EB6"/>
    <w:rsid w:val="00BD581E"/>
    <w:rsid w:val="00BD5B22"/>
    <w:rsid w:val="00BD5ED2"/>
    <w:rsid w:val="00BD5FA4"/>
    <w:rsid w:val="00BD6032"/>
    <w:rsid w:val="00BD61AC"/>
    <w:rsid w:val="00BD6279"/>
    <w:rsid w:val="00BD78D6"/>
    <w:rsid w:val="00BD7E39"/>
    <w:rsid w:val="00BE0BC3"/>
    <w:rsid w:val="00BE0C56"/>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0402"/>
    <w:rsid w:val="00C21995"/>
    <w:rsid w:val="00C220ED"/>
    <w:rsid w:val="00C223CF"/>
    <w:rsid w:val="00C2291A"/>
    <w:rsid w:val="00C22DC1"/>
    <w:rsid w:val="00C22DC6"/>
    <w:rsid w:val="00C244A7"/>
    <w:rsid w:val="00C263C8"/>
    <w:rsid w:val="00C266C3"/>
    <w:rsid w:val="00C277AF"/>
    <w:rsid w:val="00C30412"/>
    <w:rsid w:val="00C3190E"/>
    <w:rsid w:val="00C31BA1"/>
    <w:rsid w:val="00C323C9"/>
    <w:rsid w:val="00C33E06"/>
    <w:rsid w:val="00C41DDB"/>
    <w:rsid w:val="00C421FE"/>
    <w:rsid w:val="00C428BC"/>
    <w:rsid w:val="00C431C5"/>
    <w:rsid w:val="00C43648"/>
    <w:rsid w:val="00C43AF1"/>
    <w:rsid w:val="00C43B13"/>
    <w:rsid w:val="00C43B95"/>
    <w:rsid w:val="00C441BC"/>
    <w:rsid w:val="00C4424C"/>
    <w:rsid w:val="00C44366"/>
    <w:rsid w:val="00C45900"/>
    <w:rsid w:val="00C4612D"/>
    <w:rsid w:val="00C4677C"/>
    <w:rsid w:val="00C47228"/>
    <w:rsid w:val="00C47B3D"/>
    <w:rsid w:val="00C50CDA"/>
    <w:rsid w:val="00C51E61"/>
    <w:rsid w:val="00C51ECE"/>
    <w:rsid w:val="00C521CE"/>
    <w:rsid w:val="00C5286F"/>
    <w:rsid w:val="00C538B8"/>
    <w:rsid w:val="00C54448"/>
    <w:rsid w:val="00C54A22"/>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24E"/>
    <w:rsid w:val="00C72B24"/>
    <w:rsid w:val="00C73D48"/>
    <w:rsid w:val="00C77553"/>
    <w:rsid w:val="00C779D2"/>
    <w:rsid w:val="00C81043"/>
    <w:rsid w:val="00C81A98"/>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8B3"/>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0EEA"/>
    <w:rsid w:val="00CB1FBD"/>
    <w:rsid w:val="00CB24E5"/>
    <w:rsid w:val="00CB3688"/>
    <w:rsid w:val="00CB4720"/>
    <w:rsid w:val="00CB4CB0"/>
    <w:rsid w:val="00CB4FF2"/>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CE0"/>
    <w:rsid w:val="00CD7179"/>
    <w:rsid w:val="00CD717C"/>
    <w:rsid w:val="00CD7D9C"/>
    <w:rsid w:val="00CD7DEC"/>
    <w:rsid w:val="00CE04BD"/>
    <w:rsid w:val="00CE0765"/>
    <w:rsid w:val="00CE0D82"/>
    <w:rsid w:val="00CE1323"/>
    <w:rsid w:val="00CE14B3"/>
    <w:rsid w:val="00CE1522"/>
    <w:rsid w:val="00CE262D"/>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E0A"/>
    <w:rsid w:val="00D021F5"/>
    <w:rsid w:val="00D0265B"/>
    <w:rsid w:val="00D02EC8"/>
    <w:rsid w:val="00D0359F"/>
    <w:rsid w:val="00D03CD5"/>
    <w:rsid w:val="00D03D8D"/>
    <w:rsid w:val="00D04A8A"/>
    <w:rsid w:val="00D053E2"/>
    <w:rsid w:val="00D057FE"/>
    <w:rsid w:val="00D059EA"/>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065E"/>
    <w:rsid w:val="00D515EE"/>
    <w:rsid w:val="00D51D84"/>
    <w:rsid w:val="00D525A1"/>
    <w:rsid w:val="00D52A7A"/>
    <w:rsid w:val="00D52F4E"/>
    <w:rsid w:val="00D5446B"/>
    <w:rsid w:val="00D55B01"/>
    <w:rsid w:val="00D56B5E"/>
    <w:rsid w:val="00D57275"/>
    <w:rsid w:val="00D572E6"/>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65E"/>
    <w:rsid w:val="00D74882"/>
    <w:rsid w:val="00D74C1F"/>
    <w:rsid w:val="00D7744F"/>
    <w:rsid w:val="00D80197"/>
    <w:rsid w:val="00D802D9"/>
    <w:rsid w:val="00D8034C"/>
    <w:rsid w:val="00D80D82"/>
    <w:rsid w:val="00D81A4E"/>
    <w:rsid w:val="00D8240C"/>
    <w:rsid w:val="00D834C5"/>
    <w:rsid w:val="00D83950"/>
    <w:rsid w:val="00D83D5E"/>
    <w:rsid w:val="00D83E3D"/>
    <w:rsid w:val="00D84741"/>
    <w:rsid w:val="00D84BD0"/>
    <w:rsid w:val="00D84D8F"/>
    <w:rsid w:val="00D852EC"/>
    <w:rsid w:val="00D8632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121"/>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8DD"/>
    <w:rsid w:val="00DB3091"/>
    <w:rsid w:val="00DB3EDE"/>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4D04"/>
    <w:rsid w:val="00DC5505"/>
    <w:rsid w:val="00DC55EB"/>
    <w:rsid w:val="00DC6492"/>
    <w:rsid w:val="00DC6974"/>
    <w:rsid w:val="00DC72C6"/>
    <w:rsid w:val="00DC74A4"/>
    <w:rsid w:val="00DC74A6"/>
    <w:rsid w:val="00DC7D27"/>
    <w:rsid w:val="00DD03DB"/>
    <w:rsid w:val="00DD054C"/>
    <w:rsid w:val="00DD05E6"/>
    <w:rsid w:val="00DD0F52"/>
    <w:rsid w:val="00DD1E13"/>
    <w:rsid w:val="00DD2235"/>
    <w:rsid w:val="00DD2502"/>
    <w:rsid w:val="00DD3124"/>
    <w:rsid w:val="00DD538F"/>
    <w:rsid w:val="00DD5697"/>
    <w:rsid w:val="00DD588F"/>
    <w:rsid w:val="00DD5E80"/>
    <w:rsid w:val="00DD60AB"/>
    <w:rsid w:val="00DD628A"/>
    <w:rsid w:val="00DD6CFF"/>
    <w:rsid w:val="00DD6FDA"/>
    <w:rsid w:val="00DD773B"/>
    <w:rsid w:val="00DD7B9E"/>
    <w:rsid w:val="00DE03DA"/>
    <w:rsid w:val="00DE0559"/>
    <w:rsid w:val="00DE1687"/>
    <w:rsid w:val="00DE1786"/>
    <w:rsid w:val="00DE19EC"/>
    <w:rsid w:val="00DE1CD2"/>
    <w:rsid w:val="00DE1F23"/>
    <w:rsid w:val="00DE2410"/>
    <w:rsid w:val="00DE2AAE"/>
    <w:rsid w:val="00DE305C"/>
    <w:rsid w:val="00DE3346"/>
    <w:rsid w:val="00DE3426"/>
    <w:rsid w:val="00DE3916"/>
    <w:rsid w:val="00DE396A"/>
    <w:rsid w:val="00DE3BEF"/>
    <w:rsid w:val="00DE3DF9"/>
    <w:rsid w:val="00DE53FC"/>
    <w:rsid w:val="00DE5727"/>
    <w:rsid w:val="00DE5897"/>
    <w:rsid w:val="00DE590C"/>
    <w:rsid w:val="00DE5CAB"/>
    <w:rsid w:val="00DE5E7A"/>
    <w:rsid w:val="00DE7079"/>
    <w:rsid w:val="00DE7F4F"/>
    <w:rsid w:val="00DF0DB4"/>
    <w:rsid w:val="00DF1313"/>
    <w:rsid w:val="00DF239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991"/>
    <w:rsid w:val="00E26EF6"/>
    <w:rsid w:val="00E26F0F"/>
    <w:rsid w:val="00E300F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73A"/>
    <w:rsid w:val="00E46BA8"/>
    <w:rsid w:val="00E46D80"/>
    <w:rsid w:val="00E47056"/>
    <w:rsid w:val="00E51347"/>
    <w:rsid w:val="00E5196B"/>
    <w:rsid w:val="00E525AA"/>
    <w:rsid w:val="00E53C9F"/>
    <w:rsid w:val="00E542F5"/>
    <w:rsid w:val="00E54346"/>
    <w:rsid w:val="00E54C03"/>
    <w:rsid w:val="00E54C27"/>
    <w:rsid w:val="00E5607F"/>
    <w:rsid w:val="00E56689"/>
    <w:rsid w:val="00E56B28"/>
    <w:rsid w:val="00E57311"/>
    <w:rsid w:val="00E57B78"/>
    <w:rsid w:val="00E6051C"/>
    <w:rsid w:val="00E61455"/>
    <w:rsid w:val="00E61D03"/>
    <w:rsid w:val="00E61DB6"/>
    <w:rsid w:val="00E62DC3"/>
    <w:rsid w:val="00E6368C"/>
    <w:rsid w:val="00E643C4"/>
    <w:rsid w:val="00E647F5"/>
    <w:rsid w:val="00E64989"/>
    <w:rsid w:val="00E6535F"/>
    <w:rsid w:val="00E6619C"/>
    <w:rsid w:val="00E6673E"/>
    <w:rsid w:val="00E66BC5"/>
    <w:rsid w:val="00E671E3"/>
    <w:rsid w:val="00E675CD"/>
    <w:rsid w:val="00E67E6F"/>
    <w:rsid w:val="00E70211"/>
    <w:rsid w:val="00E706B8"/>
    <w:rsid w:val="00E70B90"/>
    <w:rsid w:val="00E70CDF"/>
    <w:rsid w:val="00E71CF2"/>
    <w:rsid w:val="00E72A01"/>
    <w:rsid w:val="00E732BD"/>
    <w:rsid w:val="00E74223"/>
    <w:rsid w:val="00E74C4A"/>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1905"/>
    <w:rsid w:val="00E92245"/>
    <w:rsid w:val="00E9273C"/>
    <w:rsid w:val="00E92BC2"/>
    <w:rsid w:val="00E932BF"/>
    <w:rsid w:val="00E93447"/>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1"/>
    <w:rsid w:val="00EB12DC"/>
    <w:rsid w:val="00EB189F"/>
    <w:rsid w:val="00EB2E2A"/>
    <w:rsid w:val="00EB36A9"/>
    <w:rsid w:val="00EB3956"/>
    <w:rsid w:val="00EB4280"/>
    <w:rsid w:val="00EB459E"/>
    <w:rsid w:val="00EB483C"/>
    <w:rsid w:val="00EB49B2"/>
    <w:rsid w:val="00EB4A48"/>
    <w:rsid w:val="00EB4FC8"/>
    <w:rsid w:val="00EB5D91"/>
    <w:rsid w:val="00EB5E13"/>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CFC"/>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CA7"/>
    <w:rsid w:val="00EF3427"/>
    <w:rsid w:val="00EF3440"/>
    <w:rsid w:val="00EF3875"/>
    <w:rsid w:val="00EF3D59"/>
    <w:rsid w:val="00EF3FF4"/>
    <w:rsid w:val="00EF5BBE"/>
    <w:rsid w:val="00EF5EB5"/>
    <w:rsid w:val="00EF65A9"/>
    <w:rsid w:val="00EF69C1"/>
    <w:rsid w:val="00F004AA"/>
    <w:rsid w:val="00F005F6"/>
    <w:rsid w:val="00F01C49"/>
    <w:rsid w:val="00F0233D"/>
    <w:rsid w:val="00F028F8"/>
    <w:rsid w:val="00F03012"/>
    <w:rsid w:val="00F03438"/>
    <w:rsid w:val="00F03784"/>
    <w:rsid w:val="00F04309"/>
    <w:rsid w:val="00F04E8C"/>
    <w:rsid w:val="00F04F35"/>
    <w:rsid w:val="00F06610"/>
    <w:rsid w:val="00F06D8F"/>
    <w:rsid w:val="00F111D8"/>
    <w:rsid w:val="00F112A5"/>
    <w:rsid w:val="00F113C2"/>
    <w:rsid w:val="00F118D6"/>
    <w:rsid w:val="00F11A09"/>
    <w:rsid w:val="00F11EC4"/>
    <w:rsid w:val="00F122F9"/>
    <w:rsid w:val="00F13EB4"/>
    <w:rsid w:val="00F14ABE"/>
    <w:rsid w:val="00F1500C"/>
    <w:rsid w:val="00F15EE9"/>
    <w:rsid w:val="00F16158"/>
    <w:rsid w:val="00F1684C"/>
    <w:rsid w:val="00F16862"/>
    <w:rsid w:val="00F16D2A"/>
    <w:rsid w:val="00F171D7"/>
    <w:rsid w:val="00F2043B"/>
    <w:rsid w:val="00F20C9A"/>
    <w:rsid w:val="00F21090"/>
    <w:rsid w:val="00F22A08"/>
    <w:rsid w:val="00F23494"/>
    <w:rsid w:val="00F23714"/>
    <w:rsid w:val="00F24CF8"/>
    <w:rsid w:val="00F24FBC"/>
    <w:rsid w:val="00F25720"/>
    <w:rsid w:val="00F25B45"/>
    <w:rsid w:val="00F269B8"/>
    <w:rsid w:val="00F278EC"/>
    <w:rsid w:val="00F27B6B"/>
    <w:rsid w:val="00F3104E"/>
    <w:rsid w:val="00F31ECA"/>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2F0B"/>
    <w:rsid w:val="00F4340D"/>
    <w:rsid w:val="00F4428E"/>
    <w:rsid w:val="00F44A7C"/>
    <w:rsid w:val="00F44DB5"/>
    <w:rsid w:val="00F4534A"/>
    <w:rsid w:val="00F456F0"/>
    <w:rsid w:val="00F45C18"/>
    <w:rsid w:val="00F45C86"/>
    <w:rsid w:val="00F464F1"/>
    <w:rsid w:val="00F4674B"/>
    <w:rsid w:val="00F4786F"/>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A49"/>
    <w:rsid w:val="00F8180E"/>
    <w:rsid w:val="00F81E81"/>
    <w:rsid w:val="00F82587"/>
    <w:rsid w:val="00F8261E"/>
    <w:rsid w:val="00F82BF9"/>
    <w:rsid w:val="00F83D10"/>
    <w:rsid w:val="00F83DFD"/>
    <w:rsid w:val="00F83EEE"/>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96F71"/>
    <w:rsid w:val="00FA00EE"/>
    <w:rsid w:val="00FA050B"/>
    <w:rsid w:val="00FA0C92"/>
    <w:rsid w:val="00FA1837"/>
    <w:rsid w:val="00FA2099"/>
    <w:rsid w:val="00FA2E80"/>
    <w:rsid w:val="00FA30F1"/>
    <w:rsid w:val="00FA351D"/>
    <w:rsid w:val="00FA378B"/>
    <w:rsid w:val="00FA3E25"/>
    <w:rsid w:val="00FA493F"/>
    <w:rsid w:val="00FA4B77"/>
    <w:rsid w:val="00FA4BA4"/>
    <w:rsid w:val="00FA529B"/>
    <w:rsid w:val="00FA6564"/>
    <w:rsid w:val="00FA669F"/>
    <w:rsid w:val="00FA6A6A"/>
    <w:rsid w:val="00FA77B2"/>
    <w:rsid w:val="00FA7DB5"/>
    <w:rsid w:val="00FA7F87"/>
    <w:rsid w:val="00FB03C5"/>
    <w:rsid w:val="00FB0524"/>
    <w:rsid w:val="00FB0FF4"/>
    <w:rsid w:val="00FB11CC"/>
    <w:rsid w:val="00FB1A41"/>
    <w:rsid w:val="00FB2701"/>
    <w:rsid w:val="00FB28D1"/>
    <w:rsid w:val="00FB42B2"/>
    <w:rsid w:val="00FB5811"/>
    <w:rsid w:val="00FB5BC7"/>
    <w:rsid w:val="00FB65C7"/>
    <w:rsid w:val="00FB6789"/>
    <w:rsid w:val="00FB6A8A"/>
    <w:rsid w:val="00FB706A"/>
    <w:rsid w:val="00FB744C"/>
    <w:rsid w:val="00FC0249"/>
    <w:rsid w:val="00FC0837"/>
    <w:rsid w:val="00FC0CFE"/>
    <w:rsid w:val="00FC1202"/>
    <w:rsid w:val="00FC1DB0"/>
    <w:rsid w:val="00FC20D1"/>
    <w:rsid w:val="00FC3465"/>
    <w:rsid w:val="00FC549D"/>
    <w:rsid w:val="00FC563A"/>
    <w:rsid w:val="00FC5A0B"/>
    <w:rsid w:val="00FC5D95"/>
    <w:rsid w:val="00FC608E"/>
    <w:rsid w:val="00FC65A2"/>
    <w:rsid w:val="00FC76AB"/>
    <w:rsid w:val="00FC7F57"/>
    <w:rsid w:val="00FD0D32"/>
    <w:rsid w:val="00FD10D9"/>
    <w:rsid w:val="00FD22C1"/>
    <w:rsid w:val="00FD2A9A"/>
    <w:rsid w:val="00FD2E78"/>
    <w:rsid w:val="00FD4063"/>
    <w:rsid w:val="00FD40FB"/>
    <w:rsid w:val="00FD46AF"/>
    <w:rsid w:val="00FD47CB"/>
    <w:rsid w:val="00FD4E21"/>
    <w:rsid w:val="00FD4F82"/>
    <w:rsid w:val="00FD6087"/>
    <w:rsid w:val="00FD6239"/>
    <w:rsid w:val="00FD638A"/>
    <w:rsid w:val="00FD7A6F"/>
    <w:rsid w:val="00FD7C39"/>
    <w:rsid w:val="00FE0991"/>
    <w:rsid w:val="00FE110C"/>
    <w:rsid w:val="00FE2482"/>
    <w:rsid w:val="00FE2555"/>
    <w:rsid w:val="00FE38C6"/>
    <w:rsid w:val="00FE4C6D"/>
    <w:rsid w:val="00FE64D8"/>
    <w:rsid w:val="00FE6578"/>
    <w:rsid w:val="00FE66A8"/>
    <w:rsid w:val="00FE7001"/>
    <w:rsid w:val="00FE7628"/>
    <w:rsid w:val="00FE7E9C"/>
    <w:rsid w:val="00FF0E99"/>
    <w:rsid w:val="00FF0F2E"/>
    <w:rsid w:val="00FF2228"/>
    <w:rsid w:val="00FF2642"/>
    <w:rsid w:val="00FF27BE"/>
    <w:rsid w:val="00FF4508"/>
    <w:rsid w:val="00FF4C36"/>
    <w:rsid w:val="00FF526C"/>
    <w:rsid w:val="00FF5A95"/>
    <w:rsid w:val="00FF5AF0"/>
    <w:rsid w:val="00FF6AFA"/>
    <w:rsid w:val="00FF6CD4"/>
    <w:rsid w:val="00FF6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0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단락,列,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C4D04"/>
    <w:rPr>
      <w:rFonts w:ascii="Times New Roman" w:eastAsia="Times New Roman" w:hAnsi="Times New Roman"/>
    </w:rPr>
  </w:style>
  <w:style w:type="table" w:customStyle="1" w:styleId="12">
    <w:name w:val="网格型1"/>
    <w:basedOn w:val="a1"/>
    <w:next w:val="a6"/>
    <w:uiPriority w:val="39"/>
    <w:qFormat/>
    <w:rsid w:val="00A62E4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A101BA"/>
    <w:rPr>
      <w:sz w:val="21"/>
      <w:szCs w:val="21"/>
    </w:rPr>
  </w:style>
  <w:style w:type="paragraph" w:styleId="afa">
    <w:name w:val="annotation text"/>
    <w:basedOn w:val="a"/>
    <w:link w:val="afb"/>
    <w:uiPriority w:val="99"/>
    <w:semiHidden/>
    <w:unhideWhenUsed/>
    <w:rsid w:val="00A101BA"/>
  </w:style>
  <w:style w:type="character" w:customStyle="1" w:styleId="afb">
    <w:name w:val="批注文字 字符"/>
    <w:basedOn w:val="a0"/>
    <w:link w:val="afa"/>
    <w:uiPriority w:val="99"/>
    <w:semiHidden/>
    <w:rsid w:val="00A101BA"/>
    <w:rPr>
      <w:rFonts w:ascii="Times New Roman" w:eastAsia="Times New Roman" w:hAnsi="Times New Roman"/>
    </w:rPr>
  </w:style>
  <w:style w:type="paragraph" w:styleId="afc">
    <w:name w:val="annotation subject"/>
    <w:basedOn w:val="afa"/>
    <w:next w:val="afa"/>
    <w:link w:val="afd"/>
    <w:uiPriority w:val="99"/>
    <w:semiHidden/>
    <w:unhideWhenUsed/>
    <w:rsid w:val="00A101BA"/>
    <w:rPr>
      <w:b/>
      <w:bCs/>
    </w:rPr>
  </w:style>
  <w:style w:type="character" w:customStyle="1" w:styleId="afd">
    <w:name w:val="批注主题 字符"/>
    <w:basedOn w:val="afb"/>
    <w:link w:val="afc"/>
    <w:uiPriority w:val="99"/>
    <w:semiHidden/>
    <w:rsid w:val="00A101BA"/>
    <w:rPr>
      <w:rFonts w:ascii="Times New Roman" w:eastAsia="Times New Roman" w:hAnsi="Times New Roman"/>
      <w:b/>
      <w:bCs/>
    </w:rPr>
  </w:style>
  <w:style w:type="table" w:customStyle="1" w:styleId="25">
    <w:name w:val="网格型2"/>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6"/>
    <w:uiPriority w:val="39"/>
    <w:rsid w:val="00AF5DB4"/>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6"/>
    <w:qFormat/>
    <w:rsid w:val="008E2845"/>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6"/>
    <w:uiPriority w:val="39"/>
    <w:qFormat/>
    <w:rsid w:val="008E2845"/>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6"/>
    <w:uiPriority w:val="39"/>
    <w:rsid w:val="008E2845"/>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961">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975488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774</TotalTime>
  <Pages>4</Pages>
  <Words>1273</Words>
  <Characters>7258</Characters>
  <Application>Microsoft Office Word</Application>
  <DocSecurity>0</DocSecurity>
  <Lines>60</Lines>
  <Paragraphs>17</Paragraphs>
  <ScaleCrop>false</ScaleCrop>
  <Company>Huawei Technologies Co.,Ltd.</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Yuanyuan Zhang/Advanced Solution Research Lab /SRC-Beijing/Staff Engineer/Samsung Electronics</cp:lastModifiedBy>
  <cp:revision>189</cp:revision>
  <dcterms:created xsi:type="dcterms:W3CDTF">2024-04-18T10:01:00Z</dcterms:created>
  <dcterms:modified xsi:type="dcterms:W3CDTF">2024-08-21T09:39:00Z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(3)g1zHOlodR1N+FAMI4c+HewZGkbZb6FroHkrkqVDZNdRLqwHruTguXHatZrkCvlHzP05zSp5H
ibIX9iC/Kc1vhH2gjsNZT8aQN7ZRkBV+TGRg/Nc7fbgcsokS6rCtq7R18QgsaxSCEHgDNS0J
s9mgvk/IF05j21ToOhkTRRhlj9k8O4151fRhVA8YcUY/qlAPygTtJ2NppbYB+PsgXAR5AU7O
JxDIw14ncVxKt1wZbR</vt:lpwstr>
  </property>
  <property fmtid="{D5CDD505-2E9C-101B-9397-08002B2CF9AE}" pid="10" name="_2015_ms_pID_725343_00">
    <vt:lpwstr>_2015_ms_pID_725343</vt:lpwstr>
  </property>
  <property fmtid="{D5CDD505-2E9C-101B-9397-08002B2CF9AE}" pid="11" name="_2015_ms_pID_7253431">
    <vt:lpwstr>JZ62BUz7cecupNJKOSjy7XDIK8kKtkSw39BwAjEra9SJSxcimF/FFt
4UunLcs+ByO5CnTDySR5oPn8OkyiofibifZX5ymHHZJYafTOnWTIWO0Qp1wiBCjnazwkhSC/
X5evOSi1Oin6AImuoVCECn9YcrNXqev5zXZpFvQnFjdIsiIc/tAW5GgsR/Mx2gBVEwqLrM7x
gb7VWDPfwopRhF7pdMZKxECYXCGSVNj+rMrk</vt:lpwstr>
  </property>
  <property fmtid="{D5CDD505-2E9C-101B-9397-08002B2CF9AE}" pid="12" name="_2015_ms_pID_7253431_00">
    <vt:lpwstr>_2015_ms_pID_7253431</vt:lpwstr>
  </property>
  <property fmtid="{D5CDD505-2E9C-101B-9397-08002B2CF9AE}" pid="13" name="_2015_ms_pID_7253432">
    <vt:lpwstr>BQ==</vt:lpwstr>
  </property>
</Properties>
</file>