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EA54EE">
        <w:fldChar w:fldCharType="begin"/>
      </w:r>
      <w:r w:rsidR="00EA54EE">
        <w:instrText xml:space="preserve"> DOCPROPERTY  TSG/WGRef  \* MERGEFORMAT </w:instrText>
      </w:r>
      <w:r w:rsidR="00EA54EE">
        <w:fldChar w:fldCharType="separate"/>
      </w:r>
      <w:r w:rsidR="003609EF">
        <w:rPr>
          <w:b/>
          <w:noProof/>
          <w:sz w:val="24"/>
        </w:rPr>
        <w:t>RAN4</w:t>
      </w:r>
      <w:r w:rsidR="00EA54EE">
        <w:rPr>
          <w:b/>
          <w:noProof/>
          <w:sz w:val="24"/>
        </w:rPr>
        <w:fldChar w:fldCharType="end"/>
      </w:r>
      <w:r w:rsidR="00C66BA2">
        <w:rPr>
          <w:b/>
          <w:noProof/>
          <w:sz w:val="24"/>
        </w:rPr>
        <w:t xml:space="preserve"> </w:t>
      </w:r>
      <w:r>
        <w:rPr>
          <w:b/>
          <w:noProof/>
          <w:sz w:val="24"/>
        </w:rPr>
        <w:t>Meeting #</w:t>
      </w:r>
      <w:r w:rsidR="00EA54EE">
        <w:fldChar w:fldCharType="begin"/>
      </w:r>
      <w:r w:rsidR="00EA54EE">
        <w:instrText xml:space="preserve"> DOCPROPERTY  MtgSeq  \* MERGEFORMAT </w:instrText>
      </w:r>
      <w:r w:rsidR="00EA54EE">
        <w:fldChar w:fldCharType="separate"/>
      </w:r>
      <w:r w:rsidR="00EB09B7" w:rsidRPr="00EB09B7">
        <w:rPr>
          <w:b/>
          <w:noProof/>
          <w:sz w:val="24"/>
        </w:rPr>
        <w:t>112</w:t>
      </w:r>
      <w:r w:rsidR="00EA54EE">
        <w:rPr>
          <w:b/>
          <w:noProof/>
          <w:sz w:val="24"/>
        </w:rPr>
        <w:fldChar w:fldCharType="end"/>
      </w:r>
      <w:r w:rsidR="00EA54EE">
        <w:fldChar w:fldCharType="begin"/>
      </w:r>
      <w:r w:rsidR="00EA54EE">
        <w:instrText xml:space="preserve"> DOCPROPERTY  MtgTitle  \* MERGEFORMAT </w:instrText>
      </w:r>
      <w:r w:rsidR="00EA54EE">
        <w:fldChar w:fldCharType="separate"/>
      </w:r>
      <w:r w:rsidR="00EA54EE">
        <w:fldChar w:fldCharType="end"/>
      </w:r>
      <w:r>
        <w:rPr>
          <w:b/>
          <w:i/>
          <w:noProof/>
          <w:sz w:val="28"/>
        </w:rPr>
        <w:tab/>
      </w:r>
      <w:r w:rsidR="00EA54EE">
        <w:fldChar w:fldCharType="begin"/>
      </w:r>
      <w:r w:rsidR="00EA54EE">
        <w:instrText xml:space="preserve"> DOCPROPERTY  Tdoc#  \* MERGEFORMAT </w:instrText>
      </w:r>
      <w:r w:rsidR="00EA54EE">
        <w:fldChar w:fldCharType="separate"/>
      </w:r>
      <w:r w:rsidR="00E13F3D" w:rsidRPr="00E13F3D">
        <w:rPr>
          <w:b/>
          <w:i/>
          <w:noProof/>
          <w:sz w:val="28"/>
        </w:rPr>
        <w:t>R4-2414291</w:t>
      </w:r>
      <w:r w:rsidR="00EA54EE">
        <w:rPr>
          <w:b/>
          <w:i/>
          <w:noProof/>
          <w:sz w:val="28"/>
        </w:rPr>
        <w:fldChar w:fldCharType="end"/>
      </w:r>
    </w:p>
    <w:p w14:paraId="7CB45193" w14:textId="77777777" w:rsidR="001E41F3" w:rsidRDefault="00EA54EE"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A54EE"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A54EE" w:rsidP="00825D0A">
            <w:pPr>
              <w:pStyle w:val="CRCoverPage"/>
              <w:spacing w:after="0"/>
              <w:jc w:val="center"/>
              <w:rPr>
                <w:noProof/>
              </w:rPr>
            </w:pPr>
            <w:r>
              <w:fldChar w:fldCharType="begin"/>
            </w:r>
            <w:r>
              <w:instrText xml:space="preserve"> DOCPROPERTY  Cr#  \* MERGEFORMAT </w:instrText>
            </w:r>
            <w:r>
              <w:fldChar w:fldCharType="separate"/>
            </w:r>
            <w:r w:rsidR="00E13F3D" w:rsidRPr="00410371">
              <w:rPr>
                <w:b/>
                <w:noProof/>
                <w:sz w:val="28"/>
              </w:rPr>
              <w:t>2506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A54EE"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A54EE">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6125F0" w:rsidR="00F25D98" w:rsidRDefault="00825D0A"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A54EE">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NR_SL_enh</w:t>
            </w:r>
            <w:proofErr w:type="spellEnd"/>
            <w:r w:rsidR="002640DD">
              <w:t>-Core) CR to add third level clause suffixes for V2X - TS38.101-1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A54EE">
            <w:pPr>
              <w:pStyle w:val="CRCoverPage"/>
              <w:spacing w:after="0"/>
              <w:ind w:left="100"/>
              <w:rPr>
                <w:noProof/>
              </w:rPr>
            </w:pPr>
            <w:r>
              <w:fldChar w:fldCharType="begin"/>
            </w:r>
            <w:r>
              <w:instrText xml:space="preserve"> DOCPROPERTY  SourceIfWg  \* MERGEFORMAT </w:instrText>
            </w:r>
            <w:r>
              <w:fldChar w:fldCharType="separate"/>
            </w:r>
            <w:r w:rsidR="00E13F3D">
              <w:rPr>
                <w:noProof/>
              </w:rPr>
              <w:t>Anritsu Limited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EA54EE"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A54EE">
            <w:pPr>
              <w:pStyle w:val="CRCoverPage"/>
              <w:spacing w:after="0"/>
              <w:ind w:left="100"/>
              <w:rPr>
                <w:noProof/>
              </w:rPr>
            </w:pPr>
            <w:r>
              <w:fldChar w:fldCharType="begin"/>
            </w:r>
            <w:r>
              <w:instrText xml:space="preserve"> DOCPROPERTY  RelatedWis  \* MERGEFORMAT </w:instrText>
            </w:r>
            <w:r>
              <w:fldChar w:fldCharType="separate"/>
            </w:r>
            <w:r w:rsidR="00E13F3D">
              <w:rPr>
                <w:noProof/>
              </w:rPr>
              <w:t>NR_SL_enh-Core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A54EE">
            <w:pPr>
              <w:pStyle w:val="CRCoverPage"/>
              <w:spacing w:after="0"/>
              <w:ind w:left="100"/>
              <w:rPr>
                <w:noProof/>
              </w:rPr>
            </w:pPr>
            <w:r>
              <w:fldChar w:fldCharType="begin"/>
            </w:r>
            <w:r>
              <w:instrText xml:space="preserve"> DOCPROPERTY  ResDate  \* MERGEFORMAT </w:instrText>
            </w:r>
            <w:r>
              <w:fldChar w:fldCharType="separate"/>
            </w:r>
            <w:r w:rsidR="00D24991">
              <w:rPr>
                <w:noProof/>
              </w:rPr>
              <w:t>2024-08-20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A54EE"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A54EE">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B2486F" w14:textId="77777777" w:rsidR="00825D0A" w:rsidRDefault="00825D0A" w:rsidP="00825D0A">
            <w:pPr>
              <w:pStyle w:val="CRCoverPage"/>
              <w:spacing w:after="0"/>
              <w:ind w:left="100"/>
              <w:rPr>
                <w:noProof/>
              </w:rPr>
            </w:pPr>
            <w:r>
              <w:rPr>
                <w:noProof/>
              </w:rPr>
              <w:t>It is not indicated in section 4.3 that for V2X, suffixes A and F are used for indicating at 3rd level clause.</w:t>
            </w:r>
          </w:p>
          <w:p w14:paraId="708AA7DE" w14:textId="69916B37" w:rsidR="001E41F3" w:rsidRDefault="00825D0A" w:rsidP="00825D0A">
            <w:pPr>
              <w:pStyle w:val="CRCoverPage"/>
              <w:spacing w:after="0"/>
              <w:ind w:left="100"/>
              <w:rPr>
                <w:noProof/>
              </w:rPr>
            </w:pPr>
            <w:r>
              <w:rPr>
                <w:noProof/>
              </w:rPr>
              <w:t>Whereas, there is such indication for: “shared spectrum channel access, suffixes A, B, and D are used for indicating at 3rd level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0B6927" w:rsidR="001E41F3" w:rsidRDefault="00825D0A">
            <w:pPr>
              <w:pStyle w:val="CRCoverPage"/>
              <w:spacing w:after="0"/>
              <w:ind w:left="100"/>
              <w:rPr>
                <w:noProof/>
              </w:rPr>
            </w:pPr>
            <w:r w:rsidRPr="00825D0A">
              <w:rPr>
                <w:noProof/>
              </w:rPr>
              <w:t>Add “For V2X, suffixes A and F are used for indicating at 3rd level clause”.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57C68D" w:rsidR="001E41F3" w:rsidRDefault="00825D0A">
            <w:pPr>
              <w:pStyle w:val="CRCoverPage"/>
              <w:spacing w:after="0"/>
              <w:ind w:left="100"/>
              <w:rPr>
                <w:noProof/>
              </w:rPr>
            </w:pPr>
            <w:r w:rsidRPr="00825D0A">
              <w:rPr>
                <w:noProof/>
              </w:rPr>
              <w:t>Readers may not notice that V2X as share sprectrum channel access makes use of suffixes at 3rd level clause.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DAB182" w:rsidR="001E41F3" w:rsidRDefault="00825D0A">
            <w:pPr>
              <w:pStyle w:val="CRCoverPage"/>
              <w:spacing w:after="0"/>
              <w:ind w:left="100"/>
              <w:rPr>
                <w:noProof/>
              </w:rPr>
            </w:pPr>
            <w:r>
              <w:rPr>
                <w:noProof/>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BF375" w:rsidR="001E41F3" w:rsidRDefault="00825D0A">
            <w:pPr>
              <w:pStyle w:val="CRCoverPage"/>
              <w:spacing w:after="0"/>
              <w:jc w:val="center"/>
              <w:rPr>
                <w:b/>
                <w:caps/>
                <w:noProof/>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D779710" w:rsidR="001E41F3" w:rsidRDefault="00825D0A">
            <w:pPr>
              <w:pStyle w:val="CRCoverPage"/>
              <w:spacing w:after="0"/>
              <w:jc w:val="center"/>
              <w:rPr>
                <w:b/>
                <w:caps/>
                <w:noProof/>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E1F0F2" w:rsidR="001E41F3" w:rsidRDefault="00145D43">
            <w:pPr>
              <w:pStyle w:val="CRCoverPage"/>
              <w:spacing w:after="0"/>
              <w:ind w:left="99"/>
              <w:rPr>
                <w:noProof/>
              </w:rPr>
            </w:pPr>
            <w:r>
              <w:rPr>
                <w:noProof/>
              </w:rPr>
              <w:t>TS</w:t>
            </w:r>
            <w:r w:rsidR="00E5338E">
              <w:rPr>
                <w:noProof/>
              </w:rPr>
              <w:t xml:space="preserve"> </w:t>
            </w:r>
            <w:r w:rsidR="00E5338E" w:rsidRPr="00E5338E">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EB0633" w:rsidR="001E41F3" w:rsidRDefault="00825D0A">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EDFA8" w14:textId="77777777" w:rsidR="00825D0A" w:rsidRDefault="00825D0A">
            <w:pPr>
              <w:pStyle w:val="CRCoverPage"/>
              <w:spacing w:after="0"/>
              <w:ind w:left="100"/>
              <w:rPr>
                <w:noProof/>
              </w:rPr>
            </w:pPr>
            <w:r>
              <w:rPr>
                <w:noProof/>
              </w:rPr>
              <w:t>Initially, only a Rel-18 CR (Cat F) was submitted but the same issue is present in Rel-17 spec.</w:t>
            </w:r>
          </w:p>
          <w:p w14:paraId="00D3B8F7" w14:textId="0B5167F0" w:rsidR="001E41F3" w:rsidRDefault="00825D0A">
            <w:pPr>
              <w:pStyle w:val="CRCoverPage"/>
              <w:spacing w:after="0"/>
              <w:ind w:left="100"/>
              <w:rPr>
                <w:noProof/>
              </w:rPr>
            </w:pPr>
            <w:r>
              <w:rPr>
                <w:noProof/>
              </w:rPr>
              <w:t xml:space="preserve">Therefore, this </w:t>
            </w:r>
            <w:r w:rsidRPr="00825D0A">
              <w:rPr>
                <w:noProof/>
              </w:rPr>
              <w:t xml:space="preserve">Rel-17 CR </w:t>
            </w:r>
            <w:r>
              <w:rPr>
                <w:noProof/>
              </w:rPr>
              <w:t xml:space="preserve">is a new CR </w:t>
            </w:r>
            <w:r w:rsidRPr="00825D0A">
              <w:rPr>
                <w:noProof/>
              </w:rPr>
              <w:t xml:space="preserve">and </w:t>
            </w:r>
            <w:r>
              <w:rPr>
                <w:noProof/>
              </w:rPr>
              <w:t xml:space="preserve">the existent </w:t>
            </w:r>
            <w:r w:rsidRPr="00825D0A">
              <w:rPr>
                <w:noProof/>
              </w:rPr>
              <w:t>Rel-18</w:t>
            </w:r>
            <w:r>
              <w:rPr>
                <w:noProof/>
              </w:rPr>
              <w:t xml:space="preserve"> CR is updated</w:t>
            </w:r>
            <w:r w:rsidRPr="00825D0A">
              <w:rPr>
                <w:noProof/>
              </w:rPr>
              <w:t xml:space="preserve"> </w:t>
            </w:r>
            <w:r>
              <w:rPr>
                <w:noProof/>
              </w:rPr>
              <w:t xml:space="preserve">from Cat F </w:t>
            </w:r>
            <w:r w:rsidRPr="00825D0A">
              <w:rPr>
                <w:noProof/>
              </w:rPr>
              <w:t>to C</w:t>
            </w:r>
            <w:r>
              <w:rPr>
                <w:noProof/>
              </w:rPr>
              <w:t>at</w:t>
            </w:r>
            <w:r w:rsidRPr="00825D0A">
              <w:rPr>
                <w:noProof/>
              </w:rPr>
              <w:t xml:space="preserve"> A</w:t>
            </w:r>
            <w:r>
              <w:rPr>
                <w:noProof/>
              </w:rPr>
              <w:t xml:space="preserve"> (</w:t>
            </w:r>
            <w:r w:rsidRPr="00825D0A">
              <w:rPr>
                <w:noProof/>
              </w:rPr>
              <w:t>R4-2412481</w:t>
            </w:r>
            <w:r>
              <w:rPr>
                <w:noProof/>
              </w:rPr>
              <w:t xml:space="preserve"> =&gt; </w:t>
            </w:r>
            <w:r w:rsidRPr="00825D0A">
              <w:rPr>
                <w:noProof/>
              </w:rPr>
              <w:t>R4-2414291</w:t>
            </w:r>
            <w:r>
              <w:rPr>
                <w:noProof/>
              </w:rPr>
              <w:t>)</w:t>
            </w:r>
            <w:r w:rsidR="00E5338E">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1994515" w14:textId="77777777" w:rsidR="00825D0A" w:rsidRDefault="00825D0A" w:rsidP="00825D0A">
      <w:pPr>
        <w:rPr>
          <w:noProof/>
          <w:lang w:eastAsia="ja-JP"/>
        </w:rPr>
      </w:pPr>
      <w:bookmarkStart w:id="1" w:name="_Hlk175061338"/>
      <w:r w:rsidRPr="004E3B76">
        <w:rPr>
          <w:rFonts w:ascii="Arial" w:hAnsi="Arial" w:hint="eastAsia"/>
          <w:noProof/>
          <w:color w:val="FF0000"/>
          <w:sz w:val="32"/>
          <w:lang w:eastAsia="ja-JP"/>
        </w:rPr>
        <w:lastRenderedPageBreak/>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5FFBFE55" w14:textId="77777777" w:rsidR="00825D0A" w:rsidRDefault="00825D0A" w:rsidP="00825D0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48011F86" w14:textId="77777777" w:rsidR="00E5338E" w:rsidRDefault="00E5338E" w:rsidP="00E5338E">
      <w:pPr>
        <w:pStyle w:val="Heading2"/>
      </w:pPr>
      <w:bookmarkStart w:id="2" w:name="_Toc84413417"/>
      <w:bookmarkStart w:id="3" w:name="_Toc84404808"/>
      <w:bookmarkStart w:id="4" w:name="_Toc83580299"/>
      <w:r>
        <w:t>4.3</w:t>
      </w:r>
      <w:r>
        <w:tab/>
        <w:t>Specification suffix information</w:t>
      </w:r>
      <w:bookmarkEnd w:id="2"/>
      <w:bookmarkEnd w:id="3"/>
      <w:bookmarkEnd w:id="4"/>
    </w:p>
    <w:p w14:paraId="6E232707" w14:textId="0F260ACA" w:rsidR="00E5338E" w:rsidRDefault="00E5338E" w:rsidP="00E5338E">
      <w:r>
        <w:t>Unless stated otherwise, the suffixes shown in Table 4.3-1 are used for indicating at 2</w:t>
      </w:r>
      <w:r>
        <w:rPr>
          <w:vertAlign w:val="superscript"/>
        </w:rPr>
        <w:t>nd</w:t>
      </w:r>
      <w:r>
        <w:t xml:space="preserve"> level clause. For shared spectrum channel access, </w:t>
      </w:r>
      <w:del w:id="5" w:author="Chouli, Hassen" w:date="2024-08-20T15:51:00Z">
        <w:r w:rsidDel="00626C41">
          <w:delText xml:space="preserve">suffices </w:delText>
        </w:r>
      </w:del>
      <w:ins w:id="6" w:author="Chouli, Hassen" w:date="2024-08-20T15:51:00Z">
        <w:r w:rsidR="00626C41">
          <w:t>suffi</w:t>
        </w:r>
        <w:r w:rsidR="00626C41">
          <w:t>x</w:t>
        </w:r>
        <w:r w:rsidR="00626C41">
          <w:t xml:space="preserve">es </w:t>
        </w:r>
      </w:ins>
      <w:r>
        <w:t>A, B, and D are used for indicating at 3</w:t>
      </w:r>
      <w:r>
        <w:rPr>
          <w:vertAlign w:val="superscript"/>
        </w:rPr>
        <w:t>rd</w:t>
      </w:r>
      <w:r>
        <w:t xml:space="preserve"> level clause.</w:t>
      </w:r>
      <w:ins w:id="7" w:author="Chouli, Hassen" w:date="2024-08-20T15:51:00Z">
        <w:r w:rsidRPr="00E5338E">
          <w:t xml:space="preserve"> For V2X, suffixes A and F are used for indicating at 3rd level clause.</w:t>
        </w:r>
      </w:ins>
    </w:p>
    <w:p w14:paraId="559D1F18" w14:textId="77777777" w:rsidR="00E5338E" w:rsidRDefault="00E5338E" w:rsidP="00E5338E">
      <w:pPr>
        <w:pStyle w:val="TH"/>
      </w:pPr>
      <w:r>
        <w:t>Table 4.3-1: Definition of suffixes</w:t>
      </w:r>
      <w:bookmarkStart w:id="8" w:name="_GoBack"/>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E5338E" w14:paraId="5BB34B67"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07BEB6C3" w14:textId="77777777" w:rsidR="00E5338E" w:rsidRDefault="00E5338E">
            <w:pPr>
              <w:pStyle w:val="TAH"/>
            </w:pPr>
            <w:r>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A75FE8D" w14:textId="77777777" w:rsidR="00E5338E" w:rsidRDefault="00E5338E">
            <w:pPr>
              <w:pStyle w:val="TAH"/>
            </w:pPr>
            <w:r>
              <w:t>Variant</w:t>
            </w:r>
          </w:p>
        </w:tc>
      </w:tr>
      <w:tr w:rsidR="00E5338E" w14:paraId="52D53CE5"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086082A4" w14:textId="77777777" w:rsidR="00E5338E" w:rsidRDefault="00E5338E">
            <w:pPr>
              <w:pStyle w:val="TAC"/>
            </w:pPr>
            <w:r>
              <w:t>None</w:t>
            </w:r>
          </w:p>
        </w:tc>
        <w:tc>
          <w:tcPr>
            <w:tcW w:w="2551" w:type="dxa"/>
            <w:tcBorders>
              <w:top w:val="single" w:sz="4" w:space="0" w:color="auto"/>
              <w:left w:val="single" w:sz="4" w:space="0" w:color="auto"/>
              <w:bottom w:val="single" w:sz="4" w:space="0" w:color="auto"/>
              <w:right w:val="single" w:sz="4" w:space="0" w:color="auto"/>
            </w:tcBorders>
            <w:hideMark/>
          </w:tcPr>
          <w:p w14:paraId="79808758" w14:textId="77777777" w:rsidR="00E5338E" w:rsidRDefault="00E5338E">
            <w:pPr>
              <w:pStyle w:val="TAL"/>
            </w:pPr>
            <w:r>
              <w:t>Single Carrier</w:t>
            </w:r>
          </w:p>
        </w:tc>
      </w:tr>
      <w:tr w:rsidR="00E5338E" w14:paraId="083DCBE8"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598DF5D5" w14:textId="77777777" w:rsidR="00E5338E" w:rsidRDefault="00E5338E">
            <w:pPr>
              <w:pStyle w:val="TAC"/>
            </w:pPr>
            <w:r>
              <w:t>A</w:t>
            </w:r>
          </w:p>
        </w:tc>
        <w:tc>
          <w:tcPr>
            <w:tcW w:w="2551" w:type="dxa"/>
            <w:tcBorders>
              <w:top w:val="single" w:sz="4" w:space="0" w:color="auto"/>
              <w:left w:val="single" w:sz="4" w:space="0" w:color="auto"/>
              <w:bottom w:val="single" w:sz="4" w:space="0" w:color="auto"/>
              <w:right w:val="single" w:sz="4" w:space="0" w:color="auto"/>
            </w:tcBorders>
            <w:hideMark/>
          </w:tcPr>
          <w:p w14:paraId="361CC1A6" w14:textId="77777777" w:rsidR="00E5338E" w:rsidRDefault="00E5338E">
            <w:pPr>
              <w:pStyle w:val="TAL"/>
            </w:pPr>
            <w:r>
              <w:t>Carrier Aggregation (CA)</w:t>
            </w:r>
          </w:p>
        </w:tc>
      </w:tr>
      <w:tr w:rsidR="00E5338E" w14:paraId="703F58E8"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45C44B83" w14:textId="77777777" w:rsidR="00E5338E" w:rsidRDefault="00E5338E">
            <w:pPr>
              <w:pStyle w:val="TAC"/>
            </w:pPr>
            <w:r>
              <w:t>B</w:t>
            </w:r>
          </w:p>
        </w:tc>
        <w:tc>
          <w:tcPr>
            <w:tcW w:w="2551" w:type="dxa"/>
            <w:tcBorders>
              <w:top w:val="single" w:sz="4" w:space="0" w:color="auto"/>
              <w:left w:val="single" w:sz="4" w:space="0" w:color="auto"/>
              <w:bottom w:val="single" w:sz="4" w:space="0" w:color="auto"/>
              <w:right w:val="single" w:sz="4" w:space="0" w:color="auto"/>
            </w:tcBorders>
            <w:hideMark/>
          </w:tcPr>
          <w:p w14:paraId="1691BE54" w14:textId="77777777" w:rsidR="00E5338E" w:rsidRDefault="00E5338E">
            <w:pPr>
              <w:pStyle w:val="TAL"/>
            </w:pPr>
            <w:r>
              <w:t>Dual-Connectivity (DC)</w:t>
            </w:r>
          </w:p>
        </w:tc>
      </w:tr>
      <w:tr w:rsidR="00E5338E" w14:paraId="5CBE638F"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4942A58E" w14:textId="77777777" w:rsidR="00E5338E" w:rsidRDefault="00E5338E">
            <w:pPr>
              <w:pStyle w:val="TAC"/>
            </w:pPr>
            <w:r>
              <w:t>C</w:t>
            </w:r>
          </w:p>
        </w:tc>
        <w:tc>
          <w:tcPr>
            <w:tcW w:w="2551" w:type="dxa"/>
            <w:tcBorders>
              <w:top w:val="single" w:sz="4" w:space="0" w:color="auto"/>
              <w:left w:val="single" w:sz="4" w:space="0" w:color="auto"/>
              <w:bottom w:val="single" w:sz="4" w:space="0" w:color="auto"/>
              <w:right w:val="single" w:sz="4" w:space="0" w:color="auto"/>
            </w:tcBorders>
            <w:hideMark/>
          </w:tcPr>
          <w:p w14:paraId="1CD61A5F" w14:textId="77777777" w:rsidR="00E5338E" w:rsidRDefault="00E5338E">
            <w:pPr>
              <w:pStyle w:val="TAL"/>
            </w:pPr>
            <w:r>
              <w:t>Supplementary Uplink (SUL)</w:t>
            </w:r>
          </w:p>
        </w:tc>
      </w:tr>
      <w:tr w:rsidR="00E5338E" w14:paraId="473C61CD"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0EFE55DF" w14:textId="77777777" w:rsidR="00E5338E" w:rsidRDefault="00E5338E">
            <w:pPr>
              <w:pStyle w:val="TAC"/>
            </w:pPr>
            <w:r>
              <w:t>D</w:t>
            </w:r>
          </w:p>
        </w:tc>
        <w:tc>
          <w:tcPr>
            <w:tcW w:w="2551" w:type="dxa"/>
            <w:tcBorders>
              <w:top w:val="single" w:sz="4" w:space="0" w:color="auto"/>
              <w:left w:val="single" w:sz="4" w:space="0" w:color="auto"/>
              <w:bottom w:val="single" w:sz="4" w:space="0" w:color="auto"/>
              <w:right w:val="single" w:sz="4" w:space="0" w:color="auto"/>
            </w:tcBorders>
            <w:hideMark/>
          </w:tcPr>
          <w:p w14:paraId="4E30F539" w14:textId="77777777" w:rsidR="00E5338E" w:rsidRDefault="00E5338E">
            <w:pPr>
              <w:pStyle w:val="TAL"/>
            </w:pPr>
            <w:r>
              <w:t>UL MIMO</w:t>
            </w:r>
          </w:p>
        </w:tc>
      </w:tr>
      <w:tr w:rsidR="00E5338E" w14:paraId="072CED46"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7280C3FF" w14:textId="77777777" w:rsidR="00E5338E" w:rsidRDefault="00E5338E">
            <w:pPr>
              <w:pStyle w:val="TAC"/>
              <w:rPr>
                <w:rFonts w:eastAsia="Malgun Gothic"/>
                <w:lang w:eastAsia="ko-KR"/>
              </w:rPr>
            </w:pPr>
            <w:r>
              <w:rPr>
                <w:rFonts w:eastAsia="Malgun Gothic"/>
                <w:lang w:eastAsia="ko-KR"/>
              </w:rPr>
              <w:t>E</w:t>
            </w:r>
          </w:p>
        </w:tc>
        <w:tc>
          <w:tcPr>
            <w:tcW w:w="2551" w:type="dxa"/>
            <w:tcBorders>
              <w:top w:val="single" w:sz="4" w:space="0" w:color="auto"/>
              <w:left w:val="single" w:sz="4" w:space="0" w:color="auto"/>
              <w:bottom w:val="single" w:sz="4" w:space="0" w:color="auto"/>
              <w:right w:val="single" w:sz="4" w:space="0" w:color="auto"/>
            </w:tcBorders>
            <w:hideMark/>
          </w:tcPr>
          <w:p w14:paraId="50EBF543" w14:textId="77777777" w:rsidR="00E5338E" w:rsidRDefault="00E5338E">
            <w:pPr>
              <w:pStyle w:val="TAL"/>
              <w:rPr>
                <w:rFonts w:eastAsia="Malgun Gothic"/>
                <w:lang w:eastAsia="ko-KR"/>
              </w:rPr>
            </w:pPr>
            <w:r>
              <w:rPr>
                <w:rFonts w:eastAsia="Malgun Gothic"/>
                <w:lang w:eastAsia="ko-KR"/>
              </w:rPr>
              <w:t>V2X</w:t>
            </w:r>
          </w:p>
        </w:tc>
      </w:tr>
      <w:tr w:rsidR="00E5338E" w14:paraId="7E357B65"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6197596A" w14:textId="77777777" w:rsidR="00E5338E" w:rsidRDefault="00E5338E">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hideMark/>
          </w:tcPr>
          <w:p w14:paraId="064E2030" w14:textId="77777777" w:rsidR="00E5338E" w:rsidRDefault="00E5338E">
            <w:pPr>
              <w:pStyle w:val="TAL"/>
              <w:rPr>
                <w:rFonts w:eastAsia="Malgun Gothic"/>
                <w:lang w:eastAsia="ko-KR"/>
              </w:rPr>
            </w:pPr>
            <w:r>
              <w:t>Shared spectrum channel access</w:t>
            </w:r>
          </w:p>
        </w:tc>
      </w:tr>
      <w:tr w:rsidR="00E5338E" w14:paraId="7F14BA49"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64CBC71A" w14:textId="77777777" w:rsidR="00E5338E" w:rsidRDefault="00E5338E">
            <w:pPr>
              <w:pStyle w:val="TAC"/>
            </w:pPr>
            <w:r>
              <w:t>G</w:t>
            </w:r>
          </w:p>
        </w:tc>
        <w:tc>
          <w:tcPr>
            <w:tcW w:w="2551" w:type="dxa"/>
            <w:tcBorders>
              <w:top w:val="single" w:sz="4" w:space="0" w:color="auto"/>
              <w:left w:val="single" w:sz="4" w:space="0" w:color="auto"/>
              <w:bottom w:val="single" w:sz="4" w:space="0" w:color="auto"/>
              <w:right w:val="single" w:sz="4" w:space="0" w:color="auto"/>
            </w:tcBorders>
            <w:hideMark/>
          </w:tcPr>
          <w:p w14:paraId="78A2228F" w14:textId="77777777" w:rsidR="00E5338E" w:rsidRDefault="00E5338E">
            <w:pPr>
              <w:pStyle w:val="TAL"/>
            </w:pPr>
            <w:r>
              <w:t>Tx Diversity (TxD)</w:t>
            </w:r>
          </w:p>
        </w:tc>
      </w:tr>
      <w:tr w:rsidR="00E5338E" w14:paraId="54825A80"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593B89EA" w14:textId="77777777" w:rsidR="00E5338E" w:rsidRDefault="00E5338E">
            <w:pPr>
              <w:pStyle w:val="TAC"/>
            </w:pPr>
            <w:r>
              <w:rPr>
                <w:lang w:eastAsia="zh-CN"/>
              </w:rPr>
              <w:t>H</w:t>
            </w:r>
          </w:p>
        </w:tc>
        <w:tc>
          <w:tcPr>
            <w:tcW w:w="2551" w:type="dxa"/>
            <w:tcBorders>
              <w:top w:val="single" w:sz="4" w:space="0" w:color="auto"/>
              <w:left w:val="single" w:sz="4" w:space="0" w:color="auto"/>
              <w:bottom w:val="single" w:sz="4" w:space="0" w:color="auto"/>
              <w:right w:val="single" w:sz="4" w:space="0" w:color="auto"/>
            </w:tcBorders>
            <w:hideMark/>
          </w:tcPr>
          <w:p w14:paraId="5C26B88A" w14:textId="77777777" w:rsidR="00E5338E" w:rsidRDefault="00E5338E">
            <w:pPr>
              <w:pStyle w:val="TAL"/>
            </w:pPr>
            <w:r>
              <w:t xml:space="preserve">Carrier Aggregation (CA) </w:t>
            </w:r>
            <w:r>
              <w:rPr>
                <w:lang w:eastAsia="zh-CN"/>
              </w:rPr>
              <w:t>with</w:t>
            </w:r>
            <w:r>
              <w:t xml:space="preserve"> UL MIMO</w:t>
            </w:r>
          </w:p>
        </w:tc>
      </w:tr>
      <w:tr w:rsidR="00E5338E" w14:paraId="2D2BC4AA" w14:textId="77777777" w:rsidTr="00E5338E">
        <w:trPr>
          <w:jc w:val="center"/>
        </w:trPr>
        <w:tc>
          <w:tcPr>
            <w:tcW w:w="1668" w:type="dxa"/>
            <w:tcBorders>
              <w:top w:val="single" w:sz="4" w:space="0" w:color="auto"/>
              <w:left w:val="single" w:sz="4" w:space="0" w:color="auto"/>
              <w:bottom w:val="single" w:sz="4" w:space="0" w:color="auto"/>
              <w:right w:val="single" w:sz="4" w:space="0" w:color="auto"/>
            </w:tcBorders>
            <w:hideMark/>
          </w:tcPr>
          <w:p w14:paraId="27D6CE92" w14:textId="77777777" w:rsidR="00E5338E" w:rsidRDefault="00E5338E">
            <w:pPr>
              <w:pStyle w:val="TAC"/>
              <w:rPr>
                <w:lang w:eastAsia="zh-CN"/>
              </w:rPr>
            </w:pPr>
            <w:r>
              <w:rPr>
                <w:lang w:eastAsia="zh-CN"/>
              </w:rPr>
              <w:t>I</w:t>
            </w:r>
          </w:p>
        </w:tc>
        <w:tc>
          <w:tcPr>
            <w:tcW w:w="2551" w:type="dxa"/>
            <w:tcBorders>
              <w:top w:val="single" w:sz="4" w:space="0" w:color="auto"/>
              <w:left w:val="single" w:sz="4" w:space="0" w:color="auto"/>
              <w:bottom w:val="single" w:sz="4" w:space="0" w:color="auto"/>
              <w:right w:val="single" w:sz="4" w:space="0" w:color="auto"/>
            </w:tcBorders>
            <w:hideMark/>
          </w:tcPr>
          <w:p w14:paraId="76BF8A5B" w14:textId="77777777" w:rsidR="00E5338E" w:rsidRDefault="00E5338E">
            <w:pPr>
              <w:pStyle w:val="TAL"/>
            </w:pPr>
            <w:proofErr w:type="spellStart"/>
            <w:r>
              <w:rPr>
                <w:lang w:eastAsia="zh-CN"/>
              </w:rPr>
              <w:t>RedCap</w:t>
            </w:r>
            <w:proofErr w:type="spellEnd"/>
          </w:p>
        </w:tc>
      </w:tr>
    </w:tbl>
    <w:p w14:paraId="03246E20" w14:textId="77777777" w:rsidR="00E5338E" w:rsidRDefault="00E5338E" w:rsidP="00E5338E"/>
    <w:p w14:paraId="27A1763A" w14:textId="77777777" w:rsidR="00E5338E" w:rsidRDefault="00E5338E" w:rsidP="00E5338E">
      <w:r>
        <w:t xml:space="preserve">A terminal which supports the above features needs to meet both the general requirements and the additional requirement applicable to the additional clause (suffixes A to </w:t>
      </w:r>
      <w:r>
        <w:rPr>
          <w:lang w:val="en-US" w:eastAsia="zh-CN"/>
        </w:rPr>
        <w:t>I</w:t>
      </w:r>
      <w:r>
        <w:t xml:space="preserve">) in clauses 5, 6 and 7. Where there is a difference in requirement between the general requirements and the additional clause requirements (suffixes A to </w:t>
      </w:r>
      <w:r>
        <w:rPr>
          <w:lang w:val="en-US" w:eastAsia="zh-CN"/>
        </w:rPr>
        <w:t>I</w:t>
      </w:r>
      <w:r>
        <w:t>) in clauses 5, 6 and 7, the tighter requirements are applicable unless stated otherwise in the additional clause.</w:t>
      </w:r>
    </w:p>
    <w:p w14:paraId="7841562D" w14:textId="77777777" w:rsidR="00E5338E" w:rsidRDefault="00E5338E" w:rsidP="00E5338E">
      <w:r>
        <w:t>A terminal</w:t>
      </w:r>
      <w:r>
        <w:rPr>
          <w:lang w:eastAsia="ko-KR"/>
        </w:rPr>
        <w:t xml:space="preserve"> which supports advanced V2X services, public safety services and </w:t>
      </w:r>
      <w:r>
        <w:t xml:space="preserve">other commercial use cases related to NR </w:t>
      </w:r>
      <w:proofErr w:type="spellStart"/>
      <w:r>
        <w:t>sidelink</w:t>
      </w:r>
      <w:proofErr w:type="spellEnd"/>
      <w:r>
        <w:t xml:space="preserve"> operation shall meet </w:t>
      </w:r>
      <w:proofErr w:type="gramStart"/>
      <w:r>
        <w:t>all of</w:t>
      </w:r>
      <w:proofErr w:type="gramEnd"/>
      <w:r>
        <w:t xml:space="preserve"> the separate corresponding requirements in suffix E.</w:t>
      </w:r>
    </w:p>
    <w:p w14:paraId="7D93FBA6" w14:textId="77777777" w:rsidR="00E5338E" w:rsidRDefault="00E5338E" w:rsidP="00E5338E"/>
    <w:p w14:paraId="312A0086" w14:textId="77777777" w:rsidR="00E5338E" w:rsidRDefault="00E5338E" w:rsidP="00E5338E">
      <w:r>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3362D9D7" w14:textId="77777777" w:rsidR="00E5338E" w:rsidRDefault="00E5338E" w:rsidP="00E5338E">
      <w:r>
        <w:t xml:space="preserve">For a terminal that supports public safety service using </w:t>
      </w:r>
      <w:proofErr w:type="spellStart"/>
      <w:r>
        <w:t>sidelink</w:t>
      </w:r>
      <w:proofErr w:type="spellEnd"/>
      <w:r>
        <w:t>, the minimum requirements are applicable when</w:t>
      </w:r>
    </w:p>
    <w:p w14:paraId="724BD9AE" w14:textId="77777777" w:rsidR="00E5338E" w:rsidRDefault="00E5338E" w:rsidP="00E5338E">
      <w:pPr>
        <w:pStyle w:val="B1"/>
        <w:rPr>
          <w:lang w:val="en-US"/>
        </w:rPr>
      </w:pPr>
      <w:r>
        <w:rPr>
          <w:lang w:val="en-US"/>
        </w:rPr>
        <w:t>-</w:t>
      </w:r>
      <w:r>
        <w:rPr>
          <w:lang w:val="en-US"/>
        </w:rPr>
        <w:tab/>
        <w:t>The UE is associated with a serving cell on PS carrier, or</w:t>
      </w:r>
    </w:p>
    <w:p w14:paraId="62EADA7A" w14:textId="77777777" w:rsidR="00E5338E" w:rsidRDefault="00E5338E" w:rsidP="00E5338E">
      <w:pPr>
        <w:pStyle w:val="B1"/>
        <w:rPr>
          <w:lang w:val="en-US"/>
        </w:rPr>
      </w:pPr>
      <w:r>
        <w:rPr>
          <w:lang w:val="en-US"/>
        </w:rPr>
        <w:t>-</w:t>
      </w:r>
      <w:r>
        <w:rPr>
          <w:lang w:val="en-US"/>
        </w:rPr>
        <w:tab/>
        <w:t xml:space="preserve">The UE is not associated with a serving cell on the PS carrier and is provisioned with the preconfigured radio parameters for PS that are associated with known Geographical Area, or </w:t>
      </w:r>
    </w:p>
    <w:p w14:paraId="66CC544F" w14:textId="77777777" w:rsidR="00E5338E" w:rsidRDefault="00E5338E" w:rsidP="00E5338E">
      <w:pPr>
        <w:pStyle w:val="B1"/>
        <w:rPr>
          <w:lang w:val="en-US"/>
        </w:rPr>
      </w:pPr>
      <w:r>
        <w:rPr>
          <w:lang w:val="en-US"/>
        </w:rPr>
        <w:t>-</w:t>
      </w:r>
      <w:r>
        <w:rPr>
          <w:lang w:val="en-US"/>
        </w:rPr>
        <w:tab/>
        <w:t>The UE is associated with a serving cell on a carrier different than the PS carrier, and the radio parameters for PS that are provided by the serving cell, or</w:t>
      </w:r>
    </w:p>
    <w:p w14:paraId="47CB3A4F" w14:textId="77777777" w:rsidR="00E5338E" w:rsidRDefault="00E5338E" w:rsidP="00E5338E">
      <w:pPr>
        <w:pStyle w:val="B1"/>
        <w:rPr>
          <w:lang w:val="en-US"/>
        </w:rPr>
      </w:pPr>
      <w:r>
        <w:rPr>
          <w:lang w:val="en-US"/>
        </w:rPr>
        <w:t>-</w:t>
      </w:r>
      <w:r>
        <w:rPr>
          <w:lang w:val="en-US"/>
        </w:rPr>
        <w:tab/>
        <w:t>The UE is associated with a serving cell on a carrier different than the PS carrier, and has a non-serving cell selected on the PS carrier with the preconfigured radio parameters.</w:t>
      </w:r>
    </w:p>
    <w:p w14:paraId="5A88B9D8" w14:textId="77777777" w:rsidR="00E5338E" w:rsidRDefault="00E5338E" w:rsidP="00E5338E">
      <w:r>
        <w:t xml:space="preserve">When the advanced-V2X or PS UE is </w:t>
      </w:r>
      <w:r>
        <w:rPr>
          <w:lang w:val="en-US"/>
        </w:rPr>
        <w:t xml:space="preserve">not associated with a serving cell on the V2X or PS carrier, and the UE does not have knowledge of its geographical </w:t>
      </w:r>
      <w:proofErr w:type="gramStart"/>
      <w:r>
        <w:rPr>
          <w:lang w:val="en-US"/>
        </w:rPr>
        <w:t>area, or</w:t>
      </w:r>
      <w:proofErr w:type="gramEnd"/>
      <w:r>
        <w:rPr>
          <w:lang w:val="en-US"/>
        </w:rPr>
        <w:t xml:space="preserve"> is provisioned with preconfigured radio parameters that are not associated with any Geographical Area, V2X or </w:t>
      </w:r>
      <w:r>
        <w:t>PS UE’ transmissions are not allowed, and the requirements in Section 6.3E.2 apply.</w:t>
      </w:r>
    </w:p>
    <w:p w14:paraId="4A4E88CE" w14:textId="77777777" w:rsidR="00E5338E" w:rsidRDefault="00E5338E" w:rsidP="00E5338E">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41E331E9" w14:textId="77777777" w:rsidR="00E5338E" w:rsidRDefault="00E5338E" w:rsidP="00E5338E">
      <w:r>
        <w:lastRenderedPageBreak/>
        <w:t>Terminal that supports inter-band NR-DC configuration shall meet the minimum requirements for corresponding CA configuration (suffix A), unless otherwise specified.</w:t>
      </w:r>
    </w:p>
    <w:p w14:paraId="43FE80C6" w14:textId="77777777" w:rsidR="00E5338E" w:rsidRDefault="00E5338E" w:rsidP="00E5338E">
      <w:r>
        <w:t>A terminal which supports intra-band contiguous UL CA with UL MIMO shall meet the separate corresponding requirements in suffix H with all UL CCs with UL MIMO.</w:t>
      </w:r>
    </w:p>
    <w:p w14:paraId="68C9CD36" w14:textId="5858D9DE" w:rsidR="001E41F3" w:rsidRDefault="001E41F3">
      <w:pPr>
        <w:rPr>
          <w:noProof/>
        </w:rPr>
      </w:pPr>
    </w:p>
    <w:p w14:paraId="37BB7CE0" w14:textId="77777777" w:rsidR="00825D0A" w:rsidRDefault="00825D0A" w:rsidP="00825D0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2EB2715F" w14:textId="77777777" w:rsidR="00825D0A" w:rsidRPr="004E2A3B" w:rsidRDefault="00825D0A" w:rsidP="00825D0A">
      <w:pPr>
        <w:rPr>
          <w:rFonts w:ascii="Arial" w:hAnsi="Arial"/>
          <w:noProof/>
          <w:color w:val="FF0000"/>
          <w:sz w:val="32"/>
          <w:lang w:eastAsia="ja-JP"/>
        </w:rPr>
      </w:pPr>
      <w:r w:rsidRPr="004E2A3B">
        <w:rPr>
          <w:rFonts w:ascii="Arial" w:hAnsi="Arial" w:hint="eastAsia"/>
          <w:noProof/>
          <w:color w:val="FF0000"/>
          <w:sz w:val="32"/>
          <w:lang w:eastAsia="ja-JP"/>
        </w:rPr>
        <w:t>&lt;&lt;End of change&gt;&gt;</w:t>
      </w:r>
    </w:p>
    <w:bookmarkEnd w:id="1"/>
    <w:p w14:paraId="63AAFC2D" w14:textId="77777777" w:rsidR="00825D0A" w:rsidRDefault="00825D0A">
      <w:pPr>
        <w:rPr>
          <w:noProof/>
        </w:rPr>
      </w:pPr>
    </w:p>
    <w:sectPr w:rsidR="00825D0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1AF9" w14:textId="77777777" w:rsidR="00EA54EE" w:rsidRDefault="00EA54EE">
      <w:r>
        <w:separator/>
      </w:r>
    </w:p>
  </w:endnote>
  <w:endnote w:type="continuationSeparator" w:id="0">
    <w:p w14:paraId="1B7458B2" w14:textId="77777777" w:rsidR="00EA54EE" w:rsidRDefault="00EA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7CB1" w14:textId="77777777" w:rsidR="00EA54EE" w:rsidRDefault="00EA54EE">
      <w:r>
        <w:separator/>
      </w:r>
    </w:p>
  </w:footnote>
  <w:footnote w:type="continuationSeparator" w:id="0">
    <w:p w14:paraId="354BECE4" w14:textId="77777777" w:rsidR="00EA54EE" w:rsidRDefault="00EA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6B25"/>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26C41"/>
    <w:rsid w:val="00653DE4"/>
    <w:rsid w:val="00665C47"/>
    <w:rsid w:val="00695808"/>
    <w:rsid w:val="006B46FB"/>
    <w:rsid w:val="006E21FB"/>
    <w:rsid w:val="00792342"/>
    <w:rsid w:val="007977A8"/>
    <w:rsid w:val="007B512A"/>
    <w:rsid w:val="007C2097"/>
    <w:rsid w:val="007D6A07"/>
    <w:rsid w:val="007F7259"/>
    <w:rsid w:val="008040A8"/>
    <w:rsid w:val="00825D0A"/>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5338E"/>
    <w:rsid w:val="00EA54EE"/>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locked/>
    <w:rsid w:val="00E5338E"/>
    <w:rPr>
      <w:rFonts w:ascii="Arial" w:hAnsi="Arial"/>
      <w:sz w:val="18"/>
      <w:lang w:val="en-GB" w:eastAsia="en-US"/>
    </w:rPr>
  </w:style>
  <w:style w:type="character" w:customStyle="1" w:styleId="TACChar">
    <w:name w:val="TAC Char"/>
    <w:link w:val="TAC"/>
    <w:qFormat/>
    <w:locked/>
    <w:rsid w:val="00E5338E"/>
    <w:rPr>
      <w:rFonts w:ascii="Arial" w:hAnsi="Arial"/>
      <w:sz w:val="18"/>
      <w:lang w:val="en-GB" w:eastAsia="en-US"/>
    </w:rPr>
  </w:style>
  <w:style w:type="character" w:customStyle="1" w:styleId="B1Char">
    <w:name w:val="B1 Char"/>
    <w:link w:val="B1"/>
    <w:qFormat/>
    <w:locked/>
    <w:rsid w:val="00E5338E"/>
    <w:rPr>
      <w:rFonts w:ascii="Times New Roman" w:hAnsi="Times New Roman"/>
      <w:lang w:val="en-GB" w:eastAsia="en-US"/>
    </w:rPr>
  </w:style>
  <w:style w:type="character" w:customStyle="1" w:styleId="THChar">
    <w:name w:val="TH Char"/>
    <w:link w:val="TH"/>
    <w:qFormat/>
    <w:locked/>
    <w:rsid w:val="00E5338E"/>
    <w:rPr>
      <w:rFonts w:ascii="Arial" w:hAnsi="Arial"/>
      <w:b/>
      <w:lang w:val="en-GB" w:eastAsia="en-US"/>
    </w:rPr>
  </w:style>
  <w:style w:type="character" w:customStyle="1" w:styleId="TAHCar">
    <w:name w:val="TAH Car"/>
    <w:link w:val="TAH"/>
    <w:qFormat/>
    <w:locked/>
    <w:rsid w:val="00E53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2BD6-A212-4166-B6BE-C260EF56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16</cp:revision>
  <cp:lastPrinted>1899-12-31T23:00:00Z</cp:lastPrinted>
  <dcterms:created xsi:type="dcterms:W3CDTF">2020-02-03T08:32:00Z</dcterms:created>
  <dcterms:modified xsi:type="dcterms:W3CDTF">2024-08-20T13:54:00Z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R4-2414291</vt:lpwstr>
  </property>
  <property fmtid="{D5CDD505-2E9C-101B-9397-08002B2CF9AE}" pid="10" name="Spec#">
    <vt:lpwstr>38.101-1</vt:lpwstr>
  </property>
  <property fmtid="{D5CDD505-2E9C-101B-9397-08002B2CF9AE}" pid="11" name="Cr#">
    <vt:lpwstr>2506</vt:lpwstr>
  </property>
  <property fmtid="{D5CDD505-2E9C-101B-9397-08002B2CF9AE}" pid="12" name="Revision">
    <vt:lpwstr>-</vt:lpwstr>
  </property>
  <property fmtid="{D5CDD505-2E9C-101B-9397-08002B2CF9AE}" pid="13" name="Version">
    <vt:lpwstr>17.14.0</vt:lpwstr>
  </property>
  <property fmtid="{D5CDD505-2E9C-101B-9397-08002B2CF9AE}" pid="14" name="CrTitle">
    <vt:lpwstr>(NR_SL_enh-Core) CR to add third level clause suffixes for V2X - TS38.101-1</vt:lpwstr>
  </property>
  <property fmtid="{D5CDD505-2E9C-101B-9397-08002B2CF9AE}" pid="15" name="SourceIfWg">
    <vt:lpwstr>Anritsu Limited</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2024-08-20</vt:lpwstr>
  </property>
  <property fmtid="{D5CDD505-2E9C-101B-9397-08002B2CF9AE}" pid="20" name="Release">
    <vt:lpwstr>Rel-17</vt:lpwstr>
  </property>
</Properties>
</file>