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4CC65EF6"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42359">
        <w:rPr>
          <w:rFonts w:ascii="Arial" w:hAnsi="Arial"/>
          <w:sz w:val="24"/>
          <w:lang w:val="en-US"/>
        </w:rPr>
        <w:t>other spectrum topics – Part 1</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9C0ADA5" w14:textId="198793DB" w:rsidR="00F42359" w:rsidRDefault="007F45D6" w:rsidP="00F42359">
      <w:r>
        <w:t xml:space="preserve">This document provides a summary of </w:t>
      </w:r>
      <w:r w:rsidR="00276132">
        <w:t xml:space="preserve">discussion for </w:t>
      </w:r>
      <w:r w:rsidR="00F42359">
        <w:t xml:space="preserve">other spectrum topics </w:t>
      </w:r>
      <w:proofErr w:type="gramStart"/>
      <w:r w:rsidR="00F42359">
        <w:t>including</w:t>
      </w:r>
      <w:proofErr w:type="gramEnd"/>
    </w:p>
    <w:p w14:paraId="1014BB7E" w14:textId="5AAEAA3E" w:rsidR="00F42359" w:rsidRDefault="00F42359" w:rsidP="00F42359">
      <w:pPr>
        <w:pStyle w:val="ListParagraph"/>
        <w:numPr>
          <w:ilvl w:val="0"/>
          <w:numId w:val="16"/>
        </w:numPr>
      </w:pPr>
      <w:r>
        <w:t>700 MHz Band n28</w:t>
      </w:r>
    </w:p>
    <w:p w14:paraId="37DE5290" w14:textId="04BF6792" w:rsidR="00F42359" w:rsidRDefault="00F42359" w:rsidP="00F42359">
      <w:pPr>
        <w:pStyle w:val="ListParagraph"/>
        <w:numPr>
          <w:ilvl w:val="0"/>
          <w:numId w:val="16"/>
        </w:numPr>
      </w:pPr>
      <w:r>
        <w:t>NTN S-band (NR and NB IoT)</w:t>
      </w:r>
    </w:p>
    <w:p w14:paraId="7CA1C99C" w14:textId="78FF8D9C" w:rsidR="00F42359" w:rsidRDefault="00F42359" w:rsidP="00F42359">
      <w:pPr>
        <w:pStyle w:val="ListParagraph"/>
        <w:numPr>
          <w:ilvl w:val="0"/>
          <w:numId w:val="16"/>
        </w:numPr>
      </w:pPr>
      <w:r>
        <w:t>NTN L band + extended L band</w:t>
      </w:r>
    </w:p>
    <w:p w14:paraId="4C94B492" w14:textId="77777777" w:rsidR="00F42359" w:rsidRDefault="00F42359" w:rsidP="0099327E">
      <w:pPr>
        <w:pStyle w:val="Heading1"/>
        <w:tabs>
          <w:tab w:val="clear" w:pos="432"/>
          <w:tab w:val="num" w:pos="522"/>
        </w:tabs>
        <w:ind w:left="522" w:hanging="522"/>
        <w:rPr>
          <w:lang w:val="en-US"/>
        </w:rPr>
      </w:pPr>
      <w:r>
        <w:rPr>
          <w:lang w:val="en-US"/>
        </w:rPr>
        <w:t>Topics</w:t>
      </w:r>
    </w:p>
    <w:p w14:paraId="10F6602E" w14:textId="4683E27D" w:rsidR="007E1E78" w:rsidRDefault="00F42359" w:rsidP="00F42359">
      <w:pPr>
        <w:pStyle w:val="Heading2"/>
        <w:rPr>
          <w:lang w:val="en-US"/>
        </w:rPr>
      </w:pPr>
      <w:r>
        <w:rPr>
          <w:lang w:val="en-US"/>
        </w:rPr>
        <w:t>700 MHz Band n28</w:t>
      </w:r>
    </w:p>
    <w:p w14:paraId="40882237" w14:textId="6D7240EC" w:rsidR="008A6B08" w:rsidRDefault="00F42359" w:rsidP="008A6B08">
      <w:pPr>
        <w:rPr>
          <w:lang w:val="en-US"/>
        </w:rPr>
      </w:pPr>
      <w:r>
        <w:rPr>
          <w:lang w:val="en-US"/>
        </w:rPr>
        <w:t>Check the status of RP-241629</w:t>
      </w:r>
    </w:p>
    <w:p w14:paraId="645DCE8E" w14:textId="1BE89173" w:rsidR="0091025A" w:rsidRDefault="0091025A" w:rsidP="008A6B08">
      <w:pPr>
        <w:rPr>
          <w:lang w:val="en-US"/>
        </w:rPr>
      </w:pPr>
      <w:r>
        <w:rPr>
          <w:lang w:val="en-US"/>
        </w:rPr>
        <w:t xml:space="preserve">Qualcomm:  We support keeping the existing requirements, but we don’t want to restrict future </w:t>
      </w:r>
      <w:proofErr w:type="gramStart"/>
      <w:r>
        <w:rPr>
          <w:lang w:val="en-US"/>
        </w:rPr>
        <w:t>bandwidths</w:t>
      </w:r>
      <w:proofErr w:type="gramEnd"/>
    </w:p>
    <w:p w14:paraId="35C330FF" w14:textId="2F46BFEF" w:rsidR="0091025A" w:rsidRDefault="0091025A" w:rsidP="008A6B08">
      <w:pPr>
        <w:rPr>
          <w:lang w:val="en-US"/>
        </w:rPr>
      </w:pPr>
      <w:r>
        <w:rPr>
          <w:lang w:val="en-US"/>
        </w:rPr>
        <w:t>VDF:  We are concerned that new NS might be added in this work if we only restrict NS_17 and NS_18</w:t>
      </w:r>
    </w:p>
    <w:p w14:paraId="58E35DEE" w14:textId="23EA3764" w:rsidR="00D6587E" w:rsidRDefault="00D6587E" w:rsidP="008A6B08">
      <w:pPr>
        <w:rPr>
          <w:lang w:val="en-US"/>
        </w:rPr>
      </w:pPr>
      <w:r>
        <w:rPr>
          <w:lang w:val="en-US"/>
        </w:rPr>
        <w:t xml:space="preserve">The following is the outcome of the offline </w:t>
      </w:r>
      <w:proofErr w:type="gramStart"/>
      <w:r>
        <w:rPr>
          <w:lang w:val="en-US"/>
        </w:rPr>
        <w:t>discussion</w:t>
      </w:r>
      <w:proofErr w:type="gramEnd"/>
    </w:p>
    <w:p w14:paraId="3CECDE4A" w14:textId="77777777" w:rsidR="00D6587E" w:rsidRDefault="00D6587E" w:rsidP="00D6587E">
      <w:pPr>
        <w:spacing w:after="120"/>
        <w:ind w:right="-96"/>
        <w:jc w:val="both"/>
        <w:rPr>
          <w:lang w:eastAsia="zh-CN"/>
        </w:rPr>
      </w:pPr>
      <w:r w:rsidRPr="00E22036">
        <w:rPr>
          <w:lang w:eastAsia="zh-CN"/>
        </w:rPr>
        <w:t>The objective</w:t>
      </w:r>
      <w:r>
        <w:rPr>
          <w:lang w:eastAsia="zh-CN"/>
        </w:rPr>
        <w:t>s</w:t>
      </w:r>
      <w:r w:rsidRPr="00E22036">
        <w:rPr>
          <w:lang w:eastAsia="zh-CN"/>
        </w:rPr>
        <w:t xml:space="preserve"> of this WI </w:t>
      </w:r>
      <w:r>
        <w:rPr>
          <w:lang w:eastAsia="zh-CN"/>
        </w:rPr>
        <w:t>are</w:t>
      </w:r>
      <w:r w:rsidRPr="00E22036">
        <w:rPr>
          <w:lang w:eastAsia="zh-CN"/>
        </w:rPr>
        <w:t xml:space="preserve"> to </w:t>
      </w:r>
      <w:r>
        <w:rPr>
          <w:lang w:eastAsia="zh-CN"/>
        </w:rPr>
        <w:t xml:space="preserve">introduce requirements for </w:t>
      </w:r>
      <w:r w:rsidRPr="009712EB">
        <w:rPr>
          <w:lang w:eastAsia="zh-CN"/>
        </w:rPr>
        <w:t>UE Power Class 2</w:t>
      </w:r>
      <w:r>
        <w:rPr>
          <w:rFonts w:hint="eastAsia"/>
          <w:lang w:eastAsia="zh-CN"/>
        </w:rPr>
        <w:t xml:space="preserve"> and </w:t>
      </w:r>
      <w:r w:rsidRPr="009712EB">
        <w:rPr>
          <w:lang w:eastAsia="zh-CN"/>
        </w:rPr>
        <w:t>40MHz Channel Bandwidth</w:t>
      </w:r>
      <w:r>
        <w:rPr>
          <w:rFonts w:hint="eastAsia"/>
          <w:lang w:eastAsia="zh-CN"/>
        </w:rPr>
        <w:t xml:space="preserve"> for NR band n28</w:t>
      </w:r>
      <w:r>
        <w:rPr>
          <w:lang w:eastAsia="zh-CN"/>
        </w:rPr>
        <w:t xml:space="preserve"> as optional features</w:t>
      </w:r>
      <w:r>
        <w:rPr>
          <w:rFonts w:hint="eastAsia"/>
          <w:lang w:eastAsia="zh-CN"/>
        </w:rPr>
        <w:t>, including the following aspects:</w:t>
      </w:r>
    </w:p>
    <w:p w14:paraId="66188A95" w14:textId="77777777" w:rsidR="00D6587E" w:rsidRDefault="00D6587E" w:rsidP="00D6587E">
      <w:pPr>
        <w:numPr>
          <w:ilvl w:val="0"/>
          <w:numId w:val="17"/>
        </w:numPr>
        <w:overflowPunct w:val="0"/>
        <w:autoSpaceDE w:val="0"/>
        <w:autoSpaceDN w:val="0"/>
        <w:adjustRightInd w:val="0"/>
        <w:spacing w:after="120"/>
        <w:ind w:right="-96"/>
        <w:jc w:val="both"/>
        <w:textAlignment w:val="baseline"/>
        <w:rPr>
          <w:lang w:eastAsia="zh-CN"/>
        </w:rPr>
      </w:pPr>
      <w:r>
        <w:rPr>
          <w:rFonts w:hint="eastAsia"/>
          <w:lang w:eastAsia="zh-CN"/>
        </w:rPr>
        <w:t>Introduce</w:t>
      </w:r>
      <w:r>
        <w:rPr>
          <w:lang w:eastAsia="zh-CN"/>
        </w:rPr>
        <w:t xml:space="preserve"> requirements for PC2 and those associated with following </w:t>
      </w:r>
      <w:proofErr w:type="gramStart"/>
      <w:r>
        <w:rPr>
          <w:lang w:eastAsia="zh-CN"/>
        </w:rPr>
        <w:t>bullets</w:t>
      </w:r>
      <w:proofErr w:type="gramEnd"/>
    </w:p>
    <w:p w14:paraId="56895DD4" w14:textId="77777777" w:rsidR="00D6587E" w:rsidRDefault="00D6587E" w:rsidP="00D6587E">
      <w:pPr>
        <w:numPr>
          <w:ilvl w:val="1"/>
          <w:numId w:val="17"/>
        </w:numPr>
        <w:overflowPunct w:val="0"/>
        <w:autoSpaceDE w:val="0"/>
        <w:autoSpaceDN w:val="0"/>
        <w:adjustRightInd w:val="0"/>
        <w:spacing w:after="120"/>
        <w:ind w:right="-96"/>
        <w:jc w:val="both"/>
        <w:textAlignment w:val="baseline"/>
        <w:rPr>
          <w:lang w:val="en-US" w:eastAsia="zh-CN"/>
        </w:rPr>
      </w:pPr>
      <w:r>
        <w:rPr>
          <w:lang w:val="en-US" w:eastAsia="zh-CN"/>
        </w:rPr>
        <w:t>Both 1Tx and 2Tx PC2 are supported</w:t>
      </w:r>
    </w:p>
    <w:p w14:paraId="6EE176D6" w14:textId="77777777" w:rsidR="00D6587E" w:rsidRDefault="00D6587E" w:rsidP="00D6587E">
      <w:pPr>
        <w:numPr>
          <w:ilvl w:val="1"/>
          <w:numId w:val="17"/>
        </w:numPr>
        <w:overflowPunct w:val="0"/>
        <w:autoSpaceDE w:val="0"/>
        <w:autoSpaceDN w:val="0"/>
        <w:adjustRightInd w:val="0"/>
        <w:spacing w:after="120"/>
        <w:ind w:right="-96"/>
        <w:jc w:val="both"/>
        <w:textAlignment w:val="baseline"/>
        <w:rPr>
          <w:lang w:val="en-US" w:eastAsia="zh-CN"/>
        </w:rPr>
      </w:pPr>
      <w:r>
        <w:rPr>
          <w:rFonts w:hint="eastAsia"/>
          <w:lang w:val="en-US" w:eastAsia="zh-CN"/>
        </w:rPr>
        <w:t>UL-MIMO is supported.</w:t>
      </w:r>
    </w:p>
    <w:p w14:paraId="5A98F45D" w14:textId="77777777" w:rsidR="00D6587E" w:rsidRPr="007A568C" w:rsidRDefault="00D6587E" w:rsidP="00D6587E">
      <w:pPr>
        <w:numPr>
          <w:ilvl w:val="1"/>
          <w:numId w:val="17"/>
        </w:numPr>
        <w:overflowPunct w:val="0"/>
        <w:autoSpaceDE w:val="0"/>
        <w:autoSpaceDN w:val="0"/>
        <w:adjustRightInd w:val="0"/>
        <w:spacing w:after="120"/>
        <w:ind w:right="-96"/>
        <w:jc w:val="both"/>
        <w:textAlignment w:val="baseline"/>
        <w:rPr>
          <w:lang w:val="en-US" w:eastAsia="zh-CN"/>
        </w:rPr>
      </w:pPr>
      <w:r>
        <w:rPr>
          <w:rFonts w:eastAsia="Yu Mincho"/>
          <w:lang w:val="en-US" w:eastAsia="ja-JP"/>
        </w:rPr>
        <w:t xml:space="preserve">Specify </w:t>
      </w:r>
      <w:r>
        <w:rPr>
          <w:rFonts w:eastAsia="Yu Mincho" w:hint="eastAsia"/>
          <w:lang w:val="en-US" w:eastAsia="ja-JP"/>
        </w:rPr>
        <w:t>A</w:t>
      </w:r>
      <w:r>
        <w:rPr>
          <w:rFonts w:eastAsia="Yu Mincho"/>
          <w:lang w:val="en-US" w:eastAsia="ja-JP"/>
        </w:rPr>
        <w:t xml:space="preserve">-MPR requirements for </w:t>
      </w:r>
      <w:proofErr w:type="gramStart"/>
      <w:r>
        <w:rPr>
          <w:rFonts w:eastAsia="Yu Mincho"/>
          <w:lang w:val="en-US" w:eastAsia="ja-JP"/>
        </w:rPr>
        <w:t>PC2</w:t>
      </w:r>
      <w:proofErr w:type="gramEnd"/>
    </w:p>
    <w:p w14:paraId="38E3811B" w14:textId="77777777" w:rsidR="00D6587E" w:rsidRDefault="00D6587E" w:rsidP="00D6587E">
      <w:pPr>
        <w:numPr>
          <w:ilvl w:val="0"/>
          <w:numId w:val="17"/>
        </w:numPr>
        <w:overflowPunct w:val="0"/>
        <w:autoSpaceDE w:val="0"/>
        <w:autoSpaceDN w:val="0"/>
        <w:adjustRightInd w:val="0"/>
        <w:spacing w:after="120"/>
        <w:ind w:right="-96"/>
        <w:jc w:val="both"/>
        <w:textAlignment w:val="baseline"/>
        <w:rPr>
          <w:lang w:eastAsia="zh-CN"/>
        </w:rPr>
      </w:pPr>
      <w:r>
        <w:rPr>
          <w:lang w:eastAsia="zh-CN"/>
        </w:rPr>
        <w:t>Introduce</w:t>
      </w:r>
      <w:r>
        <w:rPr>
          <w:rFonts w:hint="eastAsia"/>
          <w:lang w:eastAsia="zh-CN"/>
        </w:rPr>
        <w:t xml:space="preserve"> </w:t>
      </w:r>
      <w:r>
        <w:rPr>
          <w:lang w:eastAsia="zh-CN"/>
        </w:rPr>
        <w:t>40MHz Channel bandwidth</w:t>
      </w:r>
      <w:r>
        <w:rPr>
          <w:rFonts w:hint="eastAsia"/>
          <w:lang w:eastAsia="zh-CN"/>
        </w:rPr>
        <w:t xml:space="preserve"> </w:t>
      </w:r>
      <w:r w:rsidRPr="00FA028B">
        <w:rPr>
          <w:lang w:eastAsia="zh-CN"/>
        </w:rPr>
        <w:t xml:space="preserve">located in </w:t>
      </w:r>
      <w:bookmarkStart w:id="0" w:name="_Hlk168426157"/>
      <w:r w:rsidRPr="00FA028B">
        <w:rPr>
          <w:lang w:eastAsia="zh-CN"/>
        </w:rPr>
        <w:t>UL: 703 - 743MHz and DL: 758 - 798MHz</w:t>
      </w:r>
      <w:bookmarkEnd w:id="0"/>
      <w:r>
        <w:rPr>
          <w:lang w:eastAsia="zh-CN"/>
        </w:rPr>
        <w:t xml:space="preserve"> for band n28 supporting PC3 and PC2</w:t>
      </w:r>
      <w:r>
        <w:rPr>
          <w:rFonts w:hint="eastAsia"/>
          <w:lang w:eastAsia="zh-CN"/>
        </w:rPr>
        <w:t>.</w:t>
      </w:r>
    </w:p>
    <w:p w14:paraId="0ADCC32D" w14:textId="77777777" w:rsidR="00D6587E" w:rsidRPr="009C5DD8" w:rsidRDefault="00D6587E" w:rsidP="00D6587E">
      <w:pPr>
        <w:numPr>
          <w:ilvl w:val="1"/>
          <w:numId w:val="17"/>
        </w:numPr>
        <w:overflowPunct w:val="0"/>
        <w:autoSpaceDE w:val="0"/>
        <w:autoSpaceDN w:val="0"/>
        <w:adjustRightInd w:val="0"/>
        <w:spacing w:after="120"/>
        <w:ind w:right="-96"/>
        <w:jc w:val="both"/>
        <w:textAlignment w:val="baseline"/>
        <w:rPr>
          <w:lang w:eastAsia="zh-CN"/>
        </w:rPr>
      </w:pPr>
      <w:r>
        <w:rPr>
          <w:lang w:eastAsia="zh-CN"/>
        </w:rPr>
        <w:t>Allow flexible channel allocations within the frequency range (</w:t>
      </w:r>
      <w:r w:rsidRPr="00A60308">
        <w:rPr>
          <w:lang w:eastAsia="zh-CN"/>
        </w:rPr>
        <w:t>UL: 703</w:t>
      </w:r>
      <w:r>
        <w:rPr>
          <w:lang w:eastAsia="zh-CN"/>
        </w:rPr>
        <w:t xml:space="preserve"> - </w:t>
      </w:r>
      <w:r w:rsidRPr="00A60308">
        <w:rPr>
          <w:lang w:eastAsia="zh-CN"/>
        </w:rPr>
        <w:t>743MHz and DL: 758</w:t>
      </w:r>
      <w:r>
        <w:rPr>
          <w:lang w:eastAsia="zh-CN"/>
        </w:rPr>
        <w:t xml:space="preserve"> - </w:t>
      </w:r>
      <w:r w:rsidRPr="00A60308">
        <w:rPr>
          <w:lang w:eastAsia="zh-CN"/>
        </w:rPr>
        <w:t>798MHz</w:t>
      </w:r>
      <w:r>
        <w:rPr>
          <w:lang w:eastAsia="zh-CN"/>
        </w:rPr>
        <w:t>) for BW&lt;40MHz.</w:t>
      </w:r>
    </w:p>
    <w:p w14:paraId="52384B12" w14:textId="77777777" w:rsidR="00D6587E" w:rsidRDefault="00D6587E" w:rsidP="00D6587E">
      <w:pPr>
        <w:numPr>
          <w:ilvl w:val="0"/>
          <w:numId w:val="17"/>
        </w:numPr>
        <w:overflowPunct w:val="0"/>
        <w:autoSpaceDE w:val="0"/>
        <w:autoSpaceDN w:val="0"/>
        <w:adjustRightInd w:val="0"/>
        <w:spacing w:after="120"/>
        <w:ind w:right="-96"/>
        <w:jc w:val="both"/>
        <w:textAlignment w:val="baseline"/>
        <w:rPr>
          <w:lang w:val="en-US" w:eastAsia="zh-CN"/>
        </w:rPr>
      </w:pPr>
      <w:r w:rsidRPr="00BF0EE8">
        <w:rPr>
          <w:rFonts w:hint="eastAsia"/>
          <w:lang w:val="en-US" w:eastAsia="zh-CN"/>
        </w:rPr>
        <w:t xml:space="preserve">Release independence of </w:t>
      </w:r>
      <w:r w:rsidRPr="00A60308">
        <w:rPr>
          <w:lang w:val="en-US" w:eastAsia="zh-CN"/>
        </w:rPr>
        <w:t>UE 40MHz Channel bandwidth</w:t>
      </w:r>
      <w:r w:rsidRPr="00BF0EE8">
        <w:rPr>
          <w:rFonts w:hint="eastAsia"/>
          <w:lang w:val="en-US" w:eastAsia="zh-CN"/>
        </w:rPr>
        <w:t xml:space="preserve"> to Rel-15 is </w:t>
      </w:r>
      <w:proofErr w:type="gramStart"/>
      <w:r w:rsidRPr="00BF0EE8">
        <w:rPr>
          <w:lang w:val="en-US" w:eastAsia="zh-CN"/>
        </w:rPr>
        <w:t>anticipated</w:t>
      </w:r>
      <w:proofErr w:type="gramEnd"/>
      <w:r>
        <w:rPr>
          <w:lang w:val="en-US" w:eastAsia="zh-CN"/>
        </w:rPr>
        <w:t xml:space="preserve"> </w:t>
      </w:r>
    </w:p>
    <w:p w14:paraId="3705E5CE" w14:textId="77777777" w:rsidR="00D6587E" w:rsidRPr="00D6587E" w:rsidRDefault="00D6587E" w:rsidP="00D6587E">
      <w:pPr>
        <w:numPr>
          <w:ilvl w:val="0"/>
          <w:numId w:val="17"/>
        </w:numPr>
        <w:overflowPunct w:val="0"/>
        <w:autoSpaceDE w:val="0"/>
        <w:autoSpaceDN w:val="0"/>
        <w:adjustRightInd w:val="0"/>
        <w:spacing w:after="120"/>
        <w:ind w:right="-96"/>
        <w:jc w:val="both"/>
        <w:textAlignment w:val="baseline"/>
        <w:rPr>
          <w:lang w:val="en-US" w:eastAsia="zh-CN"/>
        </w:rPr>
      </w:pPr>
      <w:r w:rsidRPr="00D6587E">
        <w:rPr>
          <w:lang w:val="en-US" w:eastAsia="zh-CN"/>
        </w:rPr>
        <w:t>No changes to the existing requirements (38.101-1 v18.5.0) (including A-MPR values and RB allocation regions) for power class 3 with existing channel bandwidths up to and including 30 MHz to avoid impacts on existing power class 3 networks.  In the event of new regulatory requirements, this assumption can be revisited.</w:t>
      </w:r>
    </w:p>
    <w:p w14:paraId="399FA795" w14:textId="77777777" w:rsidR="00D6587E" w:rsidRDefault="00D6587E" w:rsidP="008A6B08">
      <w:pPr>
        <w:rPr>
          <w:lang w:val="en-US"/>
        </w:rPr>
      </w:pPr>
    </w:p>
    <w:p w14:paraId="3CE9E713" w14:textId="14CC010A" w:rsidR="00F42359" w:rsidRDefault="00F42359" w:rsidP="00F42359">
      <w:pPr>
        <w:pStyle w:val="Heading2"/>
        <w:rPr>
          <w:lang w:val="en-US"/>
        </w:rPr>
      </w:pPr>
      <w:r>
        <w:rPr>
          <w:lang w:val="en-US"/>
        </w:rPr>
        <w:t>NTN S-band</w:t>
      </w:r>
    </w:p>
    <w:p w14:paraId="668F4674" w14:textId="3D86982D" w:rsidR="00D6587E" w:rsidRDefault="00D6587E" w:rsidP="00D6587E">
      <w:pPr>
        <w:rPr>
          <w:lang w:val="en-US"/>
        </w:rPr>
      </w:pPr>
      <w:r>
        <w:rPr>
          <w:lang w:val="en-US"/>
        </w:rPr>
        <w:t>The following is the outcome of the offline discussion.  Some details still need further checking by companies and possible further revision.  The NB-IoT NTN WID was not discussed in the offline.</w:t>
      </w:r>
    </w:p>
    <w:p w14:paraId="66ECA6AB" w14:textId="77777777" w:rsidR="00D6587E" w:rsidRDefault="00D6587E" w:rsidP="00D6587E">
      <w:pPr>
        <w:pBdr>
          <w:top w:val="nil"/>
          <w:left w:val="nil"/>
          <w:bottom w:val="nil"/>
          <w:right w:val="nil"/>
          <w:between w:val="nil"/>
        </w:pBdr>
        <w:rPr>
          <w:color w:val="000000"/>
        </w:rPr>
      </w:pPr>
      <w:r>
        <w:rPr>
          <w:color w:val="000000"/>
        </w:rPr>
        <w:t>The objective of the core part is to:</w:t>
      </w:r>
    </w:p>
    <w:p w14:paraId="1FC2EC27" w14:textId="77777777" w:rsidR="00D6587E" w:rsidRDefault="00D6587E" w:rsidP="00D6587E">
      <w:pPr>
        <w:pBdr>
          <w:top w:val="nil"/>
          <w:left w:val="nil"/>
          <w:bottom w:val="nil"/>
          <w:right w:val="nil"/>
          <w:between w:val="nil"/>
        </w:pBdr>
        <w:ind w:left="568" w:hanging="284"/>
        <w:rPr>
          <w:color w:val="000000"/>
        </w:rPr>
      </w:pPr>
      <w:r>
        <w:rPr>
          <w:color w:val="000000"/>
        </w:rPr>
        <w:lastRenderedPageBreak/>
        <w:t>-</w:t>
      </w:r>
      <w:r>
        <w:rPr>
          <w:color w:val="000000"/>
        </w:rPr>
        <w:tab/>
        <w:t xml:space="preserve"> </w:t>
      </w:r>
    </w:p>
    <w:p w14:paraId="13EA5B94" w14:textId="77777777" w:rsidR="00D6587E" w:rsidRDefault="00D6587E" w:rsidP="00D6587E">
      <w:pPr>
        <w:pBdr>
          <w:top w:val="nil"/>
          <w:left w:val="nil"/>
          <w:bottom w:val="nil"/>
          <w:right w:val="nil"/>
          <w:between w:val="nil"/>
        </w:pBdr>
        <w:ind w:left="568" w:hanging="284"/>
        <w:rPr>
          <w:color w:val="000000"/>
        </w:rPr>
      </w:pPr>
      <w:r>
        <w:rPr>
          <w:color w:val="000000"/>
        </w:rPr>
        <w:t xml:space="preserve">- </w:t>
      </w:r>
      <w:r>
        <w:rPr>
          <w:color w:val="000000"/>
        </w:rPr>
        <w:tab/>
        <w:t xml:space="preserve">Specify a new NR-NTN FDD band with a UE transmitting at 2000 – 2020 MHz and SAN transmitting at 2180-2200 </w:t>
      </w:r>
      <w:proofErr w:type="gramStart"/>
      <w:r>
        <w:rPr>
          <w:color w:val="000000"/>
        </w:rPr>
        <w:t>MHz;</w:t>
      </w:r>
      <w:proofErr w:type="gramEnd"/>
    </w:p>
    <w:p w14:paraId="20C7F437" w14:textId="77777777" w:rsidR="00D6587E" w:rsidRDefault="00D6587E" w:rsidP="00D6587E">
      <w:pPr>
        <w:pBdr>
          <w:top w:val="nil"/>
          <w:left w:val="nil"/>
          <w:bottom w:val="nil"/>
          <w:right w:val="nil"/>
          <w:between w:val="nil"/>
        </w:pBdr>
        <w:ind w:left="568" w:hanging="284"/>
        <w:rPr>
          <w:color w:val="000000"/>
        </w:rPr>
      </w:pPr>
      <w:r>
        <w:rPr>
          <w:color w:val="000000"/>
        </w:rPr>
        <w:tab/>
      </w:r>
      <w:r>
        <w:rPr>
          <w:color w:val="000000"/>
        </w:rPr>
        <w:tab/>
      </w:r>
      <w:r>
        <w:rPr>
          <w:color w:val="000000"/>
        </w:rPr>
        <w:tab/>
        <w:t xml:space="preserve">Perform necessary co-existence analysis, for example UE-UE coexistence, for adjacent band per RAN4 </w:t>
      </w:r>
      <w:proofErr w:type="gramStart"/>
      <w:r>
        <w:rPr>
          <w:color w:val="000000"/>
        </w:rPr>
        <w:t>scope;</w:t>
      </w:r>
      <w:proofErr w:type="gramEnd"/>
    </w:p>
    <w:p w14:paraId="31F0A558" w14:textId="77777777" w:rsidR="00D6587E" w:rsidRDefault="00D6587E" w:rsidP="00D6587E">
      <w:pPr>
        <w:pBdr>
          <w:top w:val="nil"/>
          <w:left w:val="nil"/>
          <w:bottom w:val="nil"/>
          <w:right w:val="nil"/>
          <w:between w:val="nil"/>
        </w:pBdr>
        <w:ind w:left="568" w:hanging="284"/>
        <w:rPr>
          <w:color w:val="000000"/>
        </w:rPr>
      </w:pPr>
      <w:r>
        <w:rPr>
          <w:color w:val="000000"/>
        </w:rPr>
        <w:tab/>
      </w:r>
      <w:r>
        <w:rPr>
          <w:color w:val="000000"/>
        </w:rPr>
        <w:tab/>
      </w:r>
      <w:r>
        <w:rPr>
          <w:color w:val="000000"/>
        </w:rPr>
        <w:tab/>
        <w:t xml:space="preserve">Consider whether assumptions for coexistence should be re-evaluated for the NTN </w:t>
      </w:r>
      <w:proofErr w:type="gramStart"/>
      <w:r>
        <w:rPr>
          <w:color w:val="000000"/>
        </w:rPr>
        <w:t>scenario</w:t>
      </w:r>
      <w:proofErr w:type="gramEnd"/>
    </w:p>
    <w:p w14:paraId="7803DFC1" w14:textId="77777777" w:rsidR="00D6587E" w:rsidRDefault="00D6587E" w:rsidP="00D6587E">
      <w:pPr>
        <w:pBdr>
          <w:top w:val="nil"/>
          <w:left w:val="nil"/>
          <w:bottom w:val="nil"/>
          <w:right w:val="nil"/>
          <w:between w:val="nil"/>
        </w:pBdr>
        <w:ind w:left="568" w:hanging="284"/>
        <w:rPr>
          <w:color w:val="000000"/>
        </w:rPr>
      </w:pPr>
      <w:r>
        <w:rPr>
          <w:color w:val="000000"/>
        </w:rPr>
        <w:t>-</w:t>
      </w:r>
      <w:r>
        <w:rPr>
          <w:color w:val="000000"/>
        </w:rPr>
        <w:tab/>
        <w:t xml:space="preserve">Support channel bandwidths and SCS as presented in Table 4.1-1 </w:t>
      </w:r>
      <w:proofErr w:type="gramStart"/>
      <w:r>
        <w:rPr>
          <w:color w:val="000000"/>
        </w:rPr>
        <w:t>below;</w:t>
      </w:r>
      <w:proofErr w:type="gramEnd"/>
    </w:p>
    <w:p w14:paraId="47ABF78F" w14:textId="77777777" w:rsidR="00D6587E" w:rsidRDefault="00D6587E" w:rsidP="00D6587E">
      <w:pPr>
        <w:pBdr>
          <w:top w:val="nil"/>
          <w:left w:val="nil"/>
          <w:bottom w:val="nil"/>
          <w:right w:val="nil"/>
          <w:between w:val="nil"/>
        </w:pBdr>
        <w:ind w:left="568" w:hanging="284"/>
        <w:rPr>
          <w:color w:val="000000"/>
        </w:rPr>
      </w:pPr>
      <w:r>
        <w:rPr>
          <w:color w:val="000000"/>
        </w:rPr>
        <w:t>-</w:t>
      </w:r>
      <w:r>
        <w:rPr>
          <w:color w:val="000000"/>
        </w:rPr>
        <w:tab/>
        <w:t xml:space="preserve">Mandatory upport channel raster points at step of 10 kHz as agreed in RAN WG4 channel raster enhancements </w:t>
      </w:r>
      <w:proofErr w:type="gramStart"/>
      <w:r>
        <w:rPr>
          <w:color w:val="000000"/>
        </w:rPr>
        <w:t>work;</w:t>
      </w:r>
      <w:proofErr w:type="gramEnd"/>
    </w:p>
    <w:p w14:paraId="2B44F9F3" w14:textId="77777777" w:rsidR="00D6587E" w:rsidRDefault="00D6587E" w:rsidP="00D6587E">
      <w:pPr>
        <w:pBdr>
          <w:top w:val="nil"/>
          <w:left w:val="nil"/>
          <w:bottom w:val="nil"/>
          <w:right w:val="nil"/>
          <w:between w:val="nil"/>
        </w:pBdr>
        <w:ind w:left="568" w:hanging="284"/>
        <w:rPr>
          <w:color w:val="000000"/>
        </w:rPr>
      </w:pPr>
      <w:r>
        <w:rPr>
          <w:color w:val="000000"/>
        </w:rPr>
        <w:t>-</w:t>
      </w:r>
      <w:r>
        <w:rPr>
          <w:color w:val="000000"/>
        </w:rPr>
        <w:tab/>
        <w:t xml:space="preserve">Support UE Power class 3 (+23dBm); </w:t>
      </w:r>
      <w:r>
        <w:rPr>
          <w:color w:val="000000"/>
        </w:rPr>
        <w:br/>
      </w:r>
    </w:p>
    <w:p w14:paraId="1035A051" w14:textId="77777777" w:rsidR="00D6587E" w:rsidRDefault="00D6587E" w:rsidP="00D6587E">
      <w:pPr>
        <w:pBdr>
          <w:top w:val="nil"/>
          <w:left w:val="nil"/>
          <w:bottom w:val="nil"/>
          <w:right w:val="nil"/>
          <w:between w:val="nil"/>
        </w:pBdr>
        <w:ind w:left="568" w:hanging="284"/>
        <w:rPr>
          <w:color w:val="000000"/>
        </w:rPr>
      </w:pPr>
      <w:r>
        <w:rPr>
          <w:color w:val="000000"/>
        </w:rPr>
        <w:t>-</w:t>
      </w:r>
      <w:r>
        <w:rPr>
          <w:color w:val="000000"/>
        </w:rPr>
        <w:tab/>
        <w:t xml:space="preserve">Introduce the corresponding SAN and UE RF core </w:t>
      </w:r>
      <w:proofErr w:type="gramStart"/>
      <w:r>
        <w:rPr>
          <w:color w:val="000000"/>
        </w:rPr>
        <w:t>requirements;</w:t>
      </w:r>
      <w:proofErr w:type="gramEnd"/>
    </w:p>
    <w:p w14:paraId="74541060" w14:textId="77777777" w:rsidR="00D6587E" w:rsidRDefault="00D6587E" w:rsidP="00D6587E">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5805219E" w14:textId="77777777" w:rsidR="00D6587E" w:rsidRDefault="00D6587E" w:rsidP="00D6587E">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 xml:space="preserve">Table 4.1-1: Channel bandwidth and SCS system parameters. </w:t>
      </w:r>
    </w:p>
    <w:tbl>
      <w:tblPr>
        <w:tblW w:w="3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712"/>
        <w:gridCol w:w="705"/>
        <w:gridCol w:w="713"/>
        <w:gridCol w:w="709"/>
      </w:tblGrid>
      <w:tr w:rsidR="00D6587E" w14:paraId="5ED4A974" w14:textId="77777777" w:rsidTr="00F05555">
        <w:trPr>
          <w:cantSplit/>
          <w:tblHeader/>
          <w:jc w:val="center"/>
        </w:trPr>
        <w:tc>
          <w:tcPr>
            <w:tcW w:w="849" w:type="dxa"/>
            <w:shd w:val="clear" w:color="auto" w:fill="auto"/>
            <w:vAlign w:val="center"/>
          </w:tcPr>
          <w:p w14:paraId="57E79638" w14:textId="77777777" w:rsidR="00D6587E" w:rsidRDefault="00D6587E" w:rsidP="00F0555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2839" w:type="dxa"/>
            <w:gridSpan w:val="4"/>
            <w:shd w:val="clear" w:color="auto" w:fill="auto"/>
          </w:tcPr>
          <w:p w14:paraId="6A7ACACB" w14:textId="77777777" w:rsidR="00D6587E" w:rsidRDefault="00D6587E" w:rsidP="00F0555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Channel </w:t>
            </w:r>
            <w:proofErr w:type="gramStart"/>
            <w:r>
              <w:rPr>
                <w:rFonts w:ascii="Arial" w:eastAsia="Arial" w:hAnsi="Arial" w:cs="Arial"/>
                <w:b/>
                <w:color w:val="000000"/>
                <w:sz w:val="18"/>
                <w:szCs w:val="18"/>
              </w:rPr>
              <w:t>bandwidth</w:t>
            </w:r>
            <w:proofErr w:type="gramEnd"/>
            <w:r>
              <w:rPr>
                <w:rFonts w:ascii="Arial" w:eastAsia="Arial" w:hAnsi="Arial" w:cs="Arial"/>
                <w:b/>
                <w:color w:val="000000"/>
                <w:sz w:val="18"/>
                <w:szCs w:val="18"/>
              </w:rPr>
              <w:t xml:space="preserve"> </w:t>
            </w:r>
          </w:p>
          <w:p w14:paraId="03C2AF88" w14:textId="77777777" w:rsidR="00D6587E" w:rsidRDefault="00D6587E" w:rsidP="00F05555">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(MHz)</w:t>
            </w:r>
          </w:p>
        </w:tc>
      </w:tr>
      <w:tr w:rsidR="00D6587E" w14:paraId="238F48DC" w14:textId="77777777" w:rsidTr="00F05555">
        <w:trPr>
          <w:cantSplit/>
          <w:jc w:val="center"/>
        </w:trPr>
        <w:tc>
          <w:tcPr>
            <w:tcW w:w="849" w:type="dxa"/>
            <w:shd w:val="clear" w:color="auto" w:fill="auto"/>
            <w:vAlign w:val="center"/>
          </w:tcPr>
          <w:p w14:paraId="1F75B80F"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12" w:type="dxa"/>
            <w:shd w:val="clear" w:color="auto" w:fill="auto"/>
          </w:tcPr>
          <w:p w14:paraId="0222E707"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5</w:t>
            </w:r>
          </w:p>
        </w:tc>
        <w:tc>
          <w:tcPr>
            <w:tcW w:w="705" w:type="dxa"/>
            <w:shd w:val="clear" w:color="auto" w:fill="auto"/>
            <w:vAlign w:val="center"/>
          </w:tcPr>
          <w:p w14:paraId="1005A747"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3EEF6F5"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4184ED45"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D6587E" w14:paraId="1B433DBE" w14:textId="77777777" w:rsidTr="00F05555">
        <w:trPr>
          <w:cantSplit/>
          <w:jc w:val="center"/>
        </w:trPr>
        <w:tc>
          <w:tcPr>
            <w:tcW w:w="849" w:type="dxa"/>
            <w:shd w:val="clear" w:color="auto" w:fill="auto"/>
            <w:vAlign w:val="center"/>
          </w:tcPr>
          <w:p w14:paraId="4AEADCC3"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30</w:t>
            </w:r>
          </w:p>
        </w:tc>
        <w:tc>
          <w:tcPr>
            <w:tcW w:w="712" w:type="dxa"/>
            <w:shd w:val="clear" w:color="auto" w:fill="auto"/>
          </w:tcPr>
          <w:p w14:paraId="2F241190"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15C28A4C"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634035F0"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1621819"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D6587E" w14:paraId="104DD7F5" w14:textId="77777777" w:rsidTr="00F05555">
        <w:trPr>
          <w:cantSplit/>
          <w:jc w:val="center"/>
        </w:trPr>
        <w:tc>
          <w:tcPr>
            <w:tcW w:w="849" w:type="dxa"/>
            <w:shd w:val="clear" w:color="auto" w:fill="auto"/>
            <w:vAlign w:val="center"/>
          </w:tcPr>
          <w:p w14:paraId="7DA46083"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60</w:t>
            </w:r>
          </w:p>
        </w:tc>
        <w:tc>
          <w:tcPr>
            <w:tcW w:w="712" w:type="dxa"/>
            <w:shd w:val="clear" w:color="auto" w:fill="auto"/>
          </w:tcPr>
          <w:p w14:paraId="26176E2A"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6BE9FC60"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0A83D4C8"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7E86B154" w14:textId="77777777" w:rsidR="00D6587E" w:rsidRDefault="00D6587E" w:rsidP="00F05555">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bl>
    <w:p w14:paraId="15628FF9" w14:textId="77777777" w:rsidR="00D6587E" w:rsidRDefault="00D6587E" w:rsidP="00D6587E">
      <w:pPr>
        <w:pBdr>
          <w:top w:val="nil"/>
          <w:left w:val="nil"/>
          <w:bottom w:val="nil"/>
          <w:right w:val="nil"/>
          <w:between w:val="nil"/>
        </w:pBdr>
        <w:ind w:left="568" w:hanging="284"/>
        <w:rPr>
          <w:color w:val="000000"/>
        </w:rPr>
      </w:pPr>
    </w:p>
    <w:p w14:paraId="0139FF41" w14:textId="77777777" w:rsidR="00D6587E" w:rsidRDefault="00D6587E" w:rsidP="00D6587E">
      <w:pPr>
        <w:pBdr>
          <w:top w:val="nil"/>
          <w:left w:val="nil"/>
          <w:bottom w:val="nil"/>
          <w:right w:val="nil"/>
          <w:between w:val="nil"/>
        </w:pBdr>
        <w:ind w:left="270" w:firstLine="13"/>
        <w:rPr>
          <w:color w:val="000000"/>
        </w:rPr>
      </w:pPr>
      <w:r>
        <w:rPr>
          <w:color w:val="000000"/>
        </w:rPr>
        <w:t>The specification work of this WI shall leverage the studies and requirements for NR NTN n256, n255, n254, where applicable.</w:t>
      </w:r>
    </w:p>
    <w:p w14:paraId="29021225" w14:textId="77777777" w:rsidR="00D6587E" w:rsidRDefault="00D6587E" w:rsidP="00D6587E">
      <w:pPr>
        <w:pBdr>
          <w:top w:val="nil"/>
          <w:left w:val="nil"/>
          <w:bottom w:val="nil"/>
          <w:right w:val="nil"/>
          <w:between w:val="nil"/>
        </w:pBdr>
        <w:ind w:left="270" w:firstLine="13"/>
        <w:rPr>
          <w:color w:val="000000"/>
        </w:rPr>
      </w:pPr>
      <w:r>
        <w:rPr>
          <w:color w:val="000000"/>
        </w:rPr>
        <w:t>All requirements specified as part of this WI shall be Release-independent from Rel-17 for the UE.</w:t>
      </w:r>
    </w:p>
    <w:p w14:paraId="64533387" w14:textId="77777777" w:rsidR="00D6587E" w:rsidRPr="00D6587E" w:rsidRDefault="00D6587E" w:rsidP="00D6587E">
      <w:pPr>
        <w:rPr>
          <w:lang w:val="en-US"/>
        </w:rPr>
      </w:pPr>
    </w:p>
    <w:p w14:paraId="2428F120" w14:textId="7EE9103F" w:rsidR="001B13C0" w:rsidRDefault="00F42359" w:rsidP="001B13C0">
      <w:pPr>
        <w:pStyle w:val="Heading2"/>
        <w:rPr>
          <w:lang w:val="en-US"/>
        </w:rPr>
      </w:pPr>
      <w:r>
        <w:rPr>
          <w:lang w:val="en-US"/>
        </w:rPr>
        <w:t>NR NTN L band + extended L band</w:t>
      </w:r>
    </w:p>
    <w:p w14:paraId="61C403AB" w14:textId="37CD911C" w:rsidR="00D6587E" w:rsidRPr="00D6587E" w:rsidRDefault="00D6587E" w:rsidP="00D6587E">
      <w:pPr>
        <w:rPr>
          <w:lang w:val="en-US"/>
        </w:rPr>
      </w:pPr>
      <w:r>
        <w:rPr>
          <w:lang w:val="en-US"/>
        </w:rPr>
        <w:t>The following objectives were discussed during the offline session.  The need for wider channel bandwidths 25, 30, 35, 40 MHz was discussed as was the split uplink.  Further checking and possible further revision may be needed.</w:t>
      </w:r>
    </w:p>
    <w:p w14:paraId="6C81CE45" w14:textId="77777777" w:rsidR="00D6587E" w:rsidRPr="00CC385F" w:rsidRDefault="00D6587E" w:rsidP="00D6587E">
      <w:pPr>
        <w:rPr>
          <w:iCs/>
        </w:rPr>
      </w:pPr>
      <w:r w:rsidRPr="00CC385F">
        <w:rPr>
          <w:iCs/>
        </w:rPr>
        <w:t xml:space="preserve">The objective of the core part is </w:t>
      </w:r>
      <w:r>
        <w:rPr>
          <w:iCs/>
        </w:rPr>
        <w:t>as follows</w:t>
      </w:r>
      <w:r w:rsidRPr="00CC385F">
        <w:rPr>
          <w:iCs/>
        </w:rPr>
        <w:t>:</w:t>
      </w:r>
    </w:p>
    <w:p w14:paraId="4AD316A4" w14:textId="77777777" w:rsidR="00D6587E" w:rsidRDefault="00D6587E" w:rsidP="00D6587E">
      <w:pPr>
        <w:pStyle w:val="B10"/>
        <w:numPr>
          <w:ilvl w:val="0"/>
          <w:numId w:val="18"/>
        </w:numPr>
        <w:overflowPunct w:val="0"/>
        <w:autoSpaceDE w:val="0"/>
        <w:autoSpaceDN w:val="0"/>
        <w:adjustRightInd w:val="0"/>
        <w:textAlignment w:val="baseline"/>
      </w:pPr>
      <w:r w:rsidRPr="00CC385F">
        <w:t xml:space="preserve">Specify a new </w:t>
      </w:r>
      <w:r>
        <w:t>NR NTN</w:t>
      </w:r>
      <w:r w:rsidRPr="00CC385F">
        <w:t xml:space="preserve"> FDD band</w:t>
      </w:r>
      <w:r>
        <w:t xml:space="preserve"> with a UE transmitting at </w:t>
      </w:r>
      <w:r w:rsidRPr="00E612AE">
        <w:rPr>
          <w:iCs/>
        </w:rPr>
        <w:t xml:space="preserve">1668 – 1675 MHz </w:t>
      </w:r>
      <w:r w:rsidRPr="0094580D">
        <w:t>and</w:t>
      </w:r>
      <w:r>
        <w:t xml:space="preserve"> SAN transmitting at </w:t>
      </w:r>
      <w:r w:rsidRPr="00E612AE">
        <w:rPr>
          <w:iCs/>
        </w:rPr>
        <w:t xml:space="preserve">1518 – 1525 </w:t>
      </w:r>
      <w:proofErr w:type="gramStart"/>
      <w:r w:rsidRPr="00E612AE">
        <w:rPr>
          <w:iCs/>
        </w:rPr>
        <w:t>MHz</w:t>
      </w:r>
      <w:r w:rsidRPr="000D251B">
        <w:t>;</w:t>
      </w:r>
      <w:proofErr w:type="gramEnd"/>
    </w:p>
    <w:p w14:paraId="1F1868DF" w14:textId="77777777" w:rsidR="00D6587E" w:rsidRDefault="00D6587E" w:rsidP="00D6587E">
      <w:pPr>
        <w:pStyle w:val="B10"/>
        <w:numPr>
          <w:ilvl w:val="1"/>
          <w:numId w:val="18"/>
        </w:numPr>
        <w:overflowPunct w:val="0"/>
        <w:autoSpaceDE w:val="0"/>
        <w:autoSpaceDN w:val="0"/>
        <w:adjustRightInd w:val="0"/>
        <w:textAlignment w:val="baseline"/>
      </w:pPr>
      <w:r>
        <w:t>S</w:t>
      </w:r>
      <w:r w:rsidRPr="00CC385F">
        <w:t xml:space="preserve">upport channel bandwidths and SCS as </w:t>
      </w:r>
      <w:r>
        <w:t xml:space="preserve">presented in </w:t>
      </w:r>
      <w:r w:rsidRPr="00CC385F">
        <w:t xml:space="preserve">Table </w:t>
      </w:r>
      <w:r>
        <w:t>4.1-1</w:t>
      </w:r>
      <w:r w:rsidRPr="00CC385F">
        <w:t xml:space="preserve"> below</w:t>
      </w:r>
      <w:r>
        <w:t xml:space="preserve"> as a starting point;</w:t>
      </w:r>
      <w:r>
        <w:br/>
      </w:r>
    </w:p>
    <w:p w14:paraId="067BFDF2" w14:textId="77777777" w:rsidR="00D6587E" w:rsidRDefault="00D6587E" w:rsidP="00D6587E">
      <w:pPr>
        <w:pStyle w:val="TH"/>
        <w:ind w:left="644"/>
      </w:pPr>
      <w:r>
        <w:t>Table 4.1-1: Channel bandwidth and SCS system parameters.</w:t>
      </w:r>
    </w:p>
    <w:tbl>
      <w:tblPr>
        <w:tblW w:w="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12"/>
        <w:gridCol w:w="712"/>
        <w:gridCol w:w="705"/>
        <w:gridCol w:w="713"/>
        <w:gridCol w:w="709"/>
      </w:tblGrid>
      <w:tr w:rsidR="00D6587E" w:rsidRPr="000248C6" w14:paraId="25FF183F" w14:textId="77777777" w:rsidTr="00F05555">
        <w:trPr>
          <w:cantSplit/>
          <w:tblHeader/>
          <w:jc w:val="center"/>
        </w:trPr>
        <w:tc>
          <w:tcPr>
            <w:tcW w:w="849" w:type="dxa"/>
            <w:shd w:val="clear" w:color="auto" w:fill="auto"/>
            <w:vAlign w:val="center"/>
          </w:tcPr>
          <w:p w14:paraId="5DC9D29A" w14:textId="77777777" w:rsidR="00D6587E" w:rsidRPr="00886288" w:rsidRDefault="00D6587E" w:rsidP="00F05555">
            <w:pPr>
              <w:pStyle w:val="TAH"/>
            </w:pPr>
            <w:r w:rsidRPr="00886288">
              <w:t>SCS</w:t>
            </w:r>
            <w:r w:rsidRPr="00886288">
              <w:rPr>
                <w:rFonts w:eastAsia="Yu Mincho" w:hint="eastAsia"/>
                <w:lang w:eastAsia="zh-CN"/>
              </w:rPr>
              <w:t xml:space="preserve"> </w:t>
            </w:r>
            <w:r w:rsidRPr="00886288">
              <w:rPr>
                <w:rFonts w:eastAsia="Yu Mincho"/>
                <w:lang w:eastAsia="zh-CN"/>
              </w:rPr>
              <w:t>(</w:t>
            </w:r>
            <w:r w:rsidRPr="00886288">
              <w:t>kHz)</w:t>
            </w:r>
          </w:p>
        </w:tc>
        <w:tc>
          <w:tcPr>
            <w:tcW w:w="3551" w:type="dxa"/>
            <w:gridSpan w:val="5"/>
          </w:tcPr>
          <w:p w14:paraId="22A145CC" w14:textId="77777777" w:rsidR="00D6587E" w:rsidRPr="00886288" w:rsidRDefault="00D6587E" w:rsidP="00F05555">
            <w:pPr>
              <w:pStyle w:val="TAH"/>
            </w:pPr>
            <w:r w:rsidRPr="00886288">
              <w:t xml:space="preserve">Channel </w:t>
            </w:r>
            <w:proofErr w:type="gramStart"/>
            <w:r w:rsidRPr="00886288">
              <w:t>bandwidth</w:t>
            </w:r>
            <w:proofErr w:type="gramEnd"/>
            <w:r w:rsidRPr="00886288">
              <w:t xml:space="preserve"> </w:t>
            </w:r>
          </w:p>
          <w:p w14:paraId="1FFF7382" w14:textId="77777777" w:rsidR="00D6587E" w:rsidRPr="00886288" w:rsidRDefault="00D6587E" w:rsidP="00F05555">
            <w:pPr>
              <w:pStyle w:val="TAH"/>
            </w:pPr>
            <w:r w:rsidRPr="00886288">
              <w:t>(MHz)</w:t>
            </w:r>
          </w:p>
        </w:tc>
      </w:tr>
      <w:tr w:rsidR="00D6587E" w:rsidRPr="000248C6" w14:paraId="7EE746B8" w14:textId="77777777" w:rsidTr="00F05555">
        <w:trPr>
          <w:cantSplit/>
          <w:trHeight w:val="289"/>
          <w:jc w:val="center"/>
        </w:trPr>
        <w:tc>
          <w:tcPr>
            <w:tcW w:w="849" w:type="dxa"/>
            <w:shd w:val="clear" w:color="auto" w:fill="auto"/>
            <w:vAlign w:val="center"/>
          </w:tcPr>
          <w:p w14:paraId="4651F071" w14:textId="77777777" w:rsidR="00D6587E" w:rsidRPr="000248C6" w:rsidRDefault="00D6587E" w:rsidP="00F05555">
            <w:pPr>
              <w:pStyle w:val="TAC"/>
              <w:rPr>
                <w:rFonts w:eastAsia="Yu Mincho"/>
              </w:rPr>
            </w:pPr>
            <w:r w:rsidRPr="000248C6">
              <w:t>15</w:t>
            </w:r>
          </w:p>
        </w:tc>
        <w:tc>
          <w:tcPr>
            <w:tcW w:w="712" w:type="dxa"/>
          </w:tcPr>
          <w:p w14:paraId="50820ACC" w14:textId="77777777" w:rsidR="00D6587E" w:rsidRPr="000248C6" w:rsidRDefault="00D6587E" w:rsidP="00F05555">
            <w:pPr>
              <w:pStyle w:val="TAC"/>
            </w:pPr>
          </w:p>
        </w:tc>
        <w:tc>
          <w:tcPr>
            <w:tcW w:w="712" w:type="dxa"/>
            <w:shd w:val="clear" w:color="auto" w:fill="auto"/>
          </w:tcPr>
          <w:p w14:paraId="27E51598" w14:textId="77777777" w:rsidR="00D6587E" w:rsidRPr="000248C6" w:rsidRDefault="00D6587E" w:rsidP="00F05555">
            <w:pPr>
              <w:pStyle w:val="TAC"/>
              <w:rPr>
                <w:rFonts w:eastAsia="Yu Mincho"/>
              </w:rPr>
            </w:pPr>
            <w:r w:rsidRPr="000248C6">
              <w:t>5</w:t>
            </w:r>
          </w:p>
        </w:tc>
        <w:tc>
          <w:tcPr>
            <w:tcW w:w="705" w:type="dxa"/>
            <w:shd w:val="clear" w:color="auto" w:fill="auto"/>
            <w:vAlign w:val="center"/>
          </w:tcPr>
          <w:p w14:paraId="1A7A27C3" w14:textId="77777777" w:rsidR="00D6587E" w:rsidRPr="000248C6" w:rsidRDefault="00D6587E" w:rsidP="00F05555">
            <w:pPr>
              <w:pStyle w:val="TAC"/>
              <w:jc w:val="left"/>
              <w:rPr>
                <w:rFonts w:eastAsia="Yu Mincho"/>
              </w:rPr>
            </w:pPr>
          </w:p>
        </w:tc>
        <w:tc>
          <w:tcPr>
            <w:tcW w:w="713" w:type="dxa"/>
            <w:shd w:val="clear" w:color="auto" w:fill="auto"/>
            <w:vAlign w:val="center"/>
          </w:tcPr>
          <w:p w14:paraId="5B541883" w14:textId="77777777" w:rsidR="00D6587E" w:rsidRPr="000248C6" w:rsidRDefault="00D6587E" w:rsidP="00F05555">
            <w:pPr>
              <w:pStyle w:val="TAC"/>
              <w:rPr>
                <w:rFonts w:eastAsia="Yu Mincho"/>
              </w:rPr>
            </w:pPr>
          </w:p>
        </w:tc>
        <w:tc>
          <w:tcPr>
            <w:tcW w:w="709" w:type="dxa"/>
            <w:shd w:val="clear" w:color="auto" w:fill="auto"/>
            <w:vAlign w:val="center"/>
          </w:tcPr>
          <w:p w14:paraId="443D4E07" w14:textId="77777777" w:rsidR="00D6587E" w:rsidRPr="000248C6" w:rsidRDefault="00D6587E" w:rsidP="00F05555">
            <w:pPr>
              <w:pStyle w:val="TAC"/>
              <w:rPr>
                <w:rFonts w:eastAsia="Yu Mincho"/>
              </w:rPr>
            </w:pPr>
          </w:p>
        </w:tc>
      </w:tr>
      <w:tr w:rsidR="00D6587E" w:rsidRPr="005B4DD5" w14:paraId="1A0A64BC" w14:textId="77777777" w:rsidTr="00F05555">
        <w:trPr>
          <w:cantSplit/>
          <w:jc w:val="center"/>
        </w:trPr>
        <w:tc>
          <w:tcPr>
            <w:tcW w:w="4400" w:type="dxa"/>
            <w:gridSpan w:val="6"/>
          </w:tcPr>
          <w:p w14:paraId="0990FB6E" w14:textId="77777777" w:rsidR="00D6587E" w:rsidRPr="005B4DD5" w:rsidRDefault="00D6587E" w:rsidP="00F05555">
            <w:pPr>
              <w:pStyle w:val="TAC"/>
              <w:jc w:val="left"/>
              <w:rPr>
                <w:rFonts w:eastAsia="Yu Mincho"/>
              </w:rPr>
            </w:pPr>
          </w:p>
        </w:tc>
      </w:tr>
    </w:tbl>
    <w:p w14:paraId="1BC73580" w14:textId="77777777" w:rsidR="00D6587E" w:rsidRDefault="00D6587E" w:rsidP="00D6587E">
      <w:pPr>
        <w:pStyle w:val="B10"/>
        <w:numPr>
          <w:ilvl w:val="0"/>
          <w:numId w:val="18"/>
        </w:numPr>
        <w:overflowPunct w:val="0"/>
        <w:autoSpaceDE w:val="0"/>
        <w:autoSpaceDN w:val="0"/>
        <w:adjustRightInd w:val="0"/>
        <w:textAlignment w:val="baseline"/>
      </w:pPr>
    </w:p>
    <w:p w14:paraId="445C21A1" w14:textId="77777777" w:rsidR="00D6587E" w:rsidRDefault="00D6587E" w:rsidP="00D6587E">
      <w:pPr>
        <w:pStyle w:val="B10"/>
        <w:numPr>
          <w:ilvl w:val="0"/>
          <w:numId w:val="18"/>
        </w:numPr>
        <w:overflowPunct w:val="0"/>
        <w:autoSpaceDE w:val="0"/>
        <w:autoSpaceDN w:val="0"/>
        <w:adjustRightInd w:val="0"/>
        <w:textAlignment w:val="baseline"/>
      </w:pPr>
      <w:r w:rsidRPr="00CC385F">
        <w:t xml:space="preserve">Specify a new </w:t>
      </w:r>
      <w:r>
        <w:t>NR NTN</w:t>
      </w:r>
      <w:r w:rsidRPr="00CC385F">
        <w:t xml:space="preserve"> FDD band</w:t>
      </w:r>
      <w:r>
        <w:t xml:space="preserve"> with SAN transmitting at </w:t>
      </w:r>
      <w:r w:rsidRPr="00E612AE">
        <w:rPr>
          <w:iCs/>
        </w:rPr>
        <w:t>1518 – 15</w:t>
      </w:r>
      <w:r>
        <w:rPr>
          <w:iCs/>
        </w:rPr>
        <w:t>59</w:t>
      </w:r>
      <w:r w:rsidRPr="00E612AE">
        <w:rPr>
          <w:iCs/>
        </w:rPr>
        <w:t xml:space="preserve"> MHz</w:t>
      </w:r>
      <w:r>
        <w:rPr>
          <w:iCs/>
        </w:rPr>
        <w:t xml:space="preserve"> and</w:t>
      </w:r>
      <w:r>
        <w:t xml:space="preserve"> UE transmitting at 1626.5 – 1660.5 MHz or </w:t>
      </w:r>
      <w:r w:rsidRPr="00E612AE">
        <w:rPr>
          <w:iCs/>
        </w:rPr>
        <w:t xml:space="preserve">1668 – 1675 </w:t>
      </w:r>
      <w:proofErr w:type="gramStart"/>
      <w:r w:rsidRPr="00E612AE">
        <w:rPr>
          <w:iCs/>
        </w:rPr>
        <w:t>MHz</w:t>
      </w:r>
      <w:r w:rsidRPr="000D251B">
        <w:t>;</w:t>
      </w:r>
      <w:proofErr w:type="gramEnd"/>
    </w:p>
    <w:p w14:paraId="1D82E4D3" w14:textId="77777777" w:rsidR="00D6587E" w:rsidRDefault="00D6587E" w:rsidP="00D6587E">
      <w:pPr>
        <w:pStyle w:val="B10"/>
        <w:numPr>
          <w:ilvl w:val="1"/>
          <w:numId w:val="18"/>
        </w:numPr>
        <w:overflowPunct w:val="0"/>
        <w:autoSpaceDE w:val="0"/>
        <w:autoSpaceDN w:val="0"/>
        <w:adjustRightInd w:val="0"/>
        <w:textAlignment w:val="baseline"/>
      </w:pPr>
      <w:r>
        <w:t>S</w:t>
      </w:r>
      <w:r w:rsidRPr="00CC385F">
        <w:t xml:space="preserve">upport channel bandwidths and SCS as </w:t>
      </w:r>
      <w:r>
        <w:t xml:space="preserve">presented in </w:t>
      </w:r>
      <w:r w:rsidRPr="00CC385F">
        <w:t xml:space="preserve">Table </w:t>
      </w:r>
      <w:r>
        <w:t>4.1-2</w:t>
      </w:r>
      <w:r w:rsidRPr="00CC385F">
        <w:t xml:space="preserve"> below</w:t>
      </w:r>
      <w:r>
        <w:t>:</w:t>
      </w:r>
      <w:r>
        <w:br/>
      </w:r>
    </w:p>
    <w:p w14:paraId="41912322" w14:textId="77777777" w:rsidR="00D6587E" w:rsidRDefault="00D6587E" w:rsidP="00D6587E">
      <w:pPr>
        <w:pStyle w:val="TH"/>
        <w:ind w:left="644"/>
      </w:pPr>
      <w:r>
        <w:lastRenderedPageBreak/>
        <w:t>Table 4.1-2: Channel bandwidth and SCS system parameters.</w:t>
      </w:r>
    </w:p>
    <w:tbl>
      <w:tblPr>
        <w:tblStyle w:val="TableGrid"/>
        <w:tblW w:w="5000" w:type="pct"/>
        <w:jc w:val="center"/>
        <w:tblLook w:val="04A0" w:firstRow="1" w:lastRow="0" w:firstColumn="1" w:lastColumn="0" w:noHBand="0" w:noVBand="1"/>
      </w:tblPr>
      <w:tblGrid>
        <w:gridCol w:w="1201"/>
        <w:gridCol w:w="910"/>
        <w:gridCol w:w="910"/>
        <w:gridCol w:w="910"/>
        <w:gridCol w:w="910"/>
        <w:gridCol w:w="910"/>
        <w:gridCol w:w="910"/>
        <w:gridCol w:w="739"/>
        <w:gridCol w:w="739"/>
        <w:gridCol w:w="739"/>
        <w:gridCol w:w="743"/>
      </w:tblGrid>
      <w:tr w:rsidR="00D6587E" w:rsidRPr="00DB3584" w14:paraId="12767331" w14:textId="77777777" w:rsidTr="00F05555">
        <w:trPr>
          <w:cantSplit/>
          <w:tblHeader/>
          <w:jc w:val="center"/>
        </w:trPr>
        <w:tc>
          <w:tcPr>
            <w:tcW w:w="624" w:type="pct"/>
            <w:vMerge w:val="restart"/>
            <w:tcBorders>
              <w:top w:val="single" w:sz="4" w:space="0" w:color="auto"/>
              <w:left w:val="single" w:sz="4" w:space="0" w:color="auto"/>
              <w:right w:val="single" w:sz="4" w:space="0" w:color="auto"/>
            </w:tcBorders>
            <w:vAlign w:val="center"/>
          </w:tcPr>
          <w:p w14:paraId="77FD96D4" w14:textId="77777777" w:rsidR="00D6587E" w:rsidRPr="00DB3584" w:rsidRDefault="00D6587E" w:rsidP="00F05555">
            <w:pPr>
              <w:pStyle w:val="TAH"/>
              <w:rPr>
                <w:rFonts w:eastAsia="Yu Mincho"/>
                <w:sz w:val="14"/>
                <w:szCs w:val="16"/>
              </w:rPr>
            </w:pPr>
            <w:r w:rsidRPr="00DB3584">
              <w:rPr>
                <w:sz w:val="14"/>
                <w:szCs w:val="16"/>
              </w:rPr>
              <w:t>NTN satellite band</w:t>
            </w:r>
          </w:p>
        </w:tc>
        <w:tc>
          <w:tcPr>
            <w:tcW w:w="473" w:type="pct"/>
            <w:vMerge w:val="restart"/>
            <w:tcBorders>
              <w:left w:val="single" w:sz="4" w:space="0" w:color="auto"/>
            </w:tcBorders>
            <w:vAlign w:val="center"/>
          </w:tcPr>
          <w:p w14:paraId="56904E28" w14:textId="77777777" w:rsidR="00D6587E" w:rsidRPr="00DB3584" w:rsidRDefault="00D6587E" w:rsidP="00F05555">
            <w:pPr>
              <w:pStyle w:val="TAH"/>
              <w:rPr>
                <w:sz w:val="14"/>
                <w:szCs w:val="16"/>
              </w:rPr>
            </w:pPr>
            <w:r w:rsidRPr="00DB3584">
              <w:rPr>
                <w:sz w:val="14"/>
                <w:szCs w:val="16"/>
              </w:rPr>
              <w:t>SCS</w:t>
            </w:r>
          </w:p>
          <w:p w14:paraId="79133A35" w14:textId="77777777" w:rsidR="00D6587E" w:rsidRPr="00DB3584" w:rsidRDefault="00D6587E" w:rsidP="00F05555">
            <w:pPr>
              <w:pStyle w:val="TAH"/>
              <w:rPr>
                <w:rFonts w:eastAsia="Yu Mincho"/>
                <w:sz w:val="14"/>
                <w:szCs w:val="16"/>
              </w:rPr>
            </w:pPr>
            <w:r w:rsidRPr="00DB3584">
              <w:rPr>
                <w:sz w:val="14"/>
                <w:szCs w:val="16"/>
              </w:rPr>
              <w:t>kHz</w:t>
            </w:r>
          </w:p>
        </w:tc>
        <w:tc>
          <w:tcPr>
            <w:tcW w:w="3903" w:type="pct"/>
            <w:gridSpan w:val="9"/>
          </w:tcPr>
          <w:p w14:paraId="71ACEFBF" w14:textId="77777777" w:rsidR="00D6587E" w:rsidRPr="00DB3584" w:rsidRDefault="00D6587E" w:rsidP="00F05555">
            <w:pPr>
              <w:pStyle w:val="TAH"/>
              <w:rPr>
                <w:rFonts w:eastAsiaTheme="minorEastAsia"/>
                <w:sz w:val="14"/>
                <w:szCs w:val="16"/>
              </w:rPr>
            </w:pPr>
            <w:r>
              <w:rPr>
                <w:rFonts w:eastAsiaTheme="minorEastAsia"/>
                <w:sz w:val="14"/>
                <w:szCs w:val="16"/>
              </w:rPr>
              <w:t xml:space="preserve">DL </w:t>
            </w:r>
            <w:r w:rsidRPr="00DB3584">
              <w:rPr>
                <w:rFonts w:eastAsiaTheme="minorEastAsia"/>
                <w:sz w:val="14"/>
                <w:szCs w:val="16"/>
              </w:rPr>
              <w:t>Channel bandwidth (MHz)</w:t>
            </w:r>
          </w:p>
        </w:tc>
      </w:tr>
      <w:tr w:rsidR="00D6587E" w:rsidRPr="00DB3584" w14:paraId="340DF5C5" w14:textId="77777777" w:rsidTr="00F05555">
        <w:trPr>
          <w:cantSplit/>
          <w:jc w:val="center"/>
        </w:trPr>
        <w:tc>
          <w:tcPr>
            <w:tcW w:w="624" w:type="pct"/>
            <w:vMerge/>
            <w:tcBorders>
              <w:left w:val="single" w:sz="4" w:space="0" w:color="auto"/>
              <w:bottom w:val="single" w:sz="4" w:space="0" w:color="auto"/>
              <w:right w:val="single" w:sz="4" w:space="0" w:color="auto"/>
            </w:tcBorders>
            <w:vAlign w:val="center"/>
          </w:tcPr>
          <w:p w14:paraId="652DDB91" w14:textId="77777777" w:rsidR="00D6587E" w:rsidRPr="00DB3584" w:rsidRDefault="00D6587E" w:rsidP="00F05555">
            <w:pPr>
              <w:pStyle w:val="TAC"/>
              <w:rPr>
                <w:rFonts w:eastAsia="Yu Mincho"/>
                <w:sz w:val="14"/>
                <w:szCs w:val="16"/>
              </w:rPr>
            </w:pPr>
          </w:p>
        </w:tc>
        <w:tc>
          <w:tcPr>
            <w:tcW w:w="473" w:type="pct"/>
            <w:vMerge/>
            <w:tcBorders>
              <w:left w:val="single" w:sz="4" w:space="0" w:color="auto"/>
            </w:tcBorders>
            <w:vAlign w:val="center"/>
          </w:tcPr>
          <w:p w14:paraId="2B4D2F6E" w14:textId="77777777" w:rsidR="00D6587E" w:rsidRPr="00DB3584" w:rsidRDefault="00D6587E" w:rsidP="00F05555">
            <w:pPr>
              <w:pStyle w:val="TAC"/>
              <w:rPr>
                <w:rFonts w:eastAsia="Yu Mincho"/>
                <w:sz w:val="14"/>
                <w:szCs w:val="16"/>
              </w:rPr>
            </w:pPr>
          </w:p>
        </w:tc>
        <w:tc>
          <w:tcPr>
            <w:tcW w:w="473" w:type="pct"/>
          </w:tcPr>
          <w:p w14:paraId="4B215C10" w14:textId="77777777" w:rsidR="00D6587E" w:rsidRPr="00DB3584" w:rsidRDefault="00D6587E" w:rsidP="00F05555">
            <w:pPr>
              <w:pStyle w:val="TAC"/>
              <w:rPr>
                <w:sz w:val="14"/>
                <w:szCs w:val="16"/>
              </w:rPr>
            </w:pPr>
          </w:p>
        </w:tc>
        <w:tc>
          <w:tcPr>
            <w:tcW w:w="473" w:type="pct"/>
          </w:tcPr>
          <w:p w14:paraId="59D5A821" w14:textId="77777777" w:rsidR="00D6587E" w:rsidRPr="00DB3584" w:rsidRDefault="00D6587E" w:rsidP="00F05555">
            <w:pPr>
              <w:pStyle w:val="TAC"/>
              <w:rPr>
                <w:rFonts w:eastAsia="Yu Mincho"/>
                <w:sz w:val="14"/>
                <w:szCs w:val="16"/>
              </w:rPr>
            </w:pPr>
            <w:r w:rsidRPr="00DB3584">
              <w:rPr>
                <w:sz w:val="14"/>
                <w:szCs w:val="16"/>
              </w:rPr>
              <w:t>5</w:t>
            </w:r>
          </w:p>
        </w:tc>
        <w:tc>
          <w:tcPr>
            <w:tcW w:w="473" w:type="pct"/>
            <w:vAlign w:val="center"/>
          </w:tcPr>
          <w:p w14:paraId="749FDD6A" w14:textId="77777777" w:rsidR="00D6587E" w:rsidRPr="00DB3584" w:rsidRDefault="00D6587E" w:rsidP="00F05555">
            <w:pPr>
              <w:pStyle w:val="TAC"/>
              <w:rPr>
                <w:rFonts w:eastAsia="Yu Mincho"/>
                <w:sz w:val="14"/>
                <w:szCs w:val="16"/>
              </w:rPr>
            </w:pPr>
            <w:r w:rsidRPr="00DB3584">
              <w:rPr>
                <w:sz w:val="14"/>
                <w:szCs w:val="16"/>
              </w:rPr>
              <w:t>10</w:t>
            </w:r>
          </w:p>
        </w:tc>
        <w:tc>
          <w:tcPr>
            <w:tcW w:w="473" w:type="pct"/>
            <w:vAlign w:val="center"/>
          </w:tcPr>
          <w:p w14:paraId="33FE2D23" w14:textId="77777777" w:rsidR="00D6587E" w:rsidRPr="00DB3584" w:rsidRDefault="00D6587E" w:rsidP="00F05555">
            <w:pPr>
              <w:pStyle w:val="TAC"/>
              <w:rPr>
                <w:rFonts w:eastAsia="Yu Mincho"/>
                <w:sz w:val="14"/>
                <w:szCs w:val="16"/>
              </w:rPr>
            </w:pPr>
            <w:r w:rsidRPr="00DB3584">
              <w:rPr>
                <w:sz w:val="14"/>
                <w:szCs w:val="16"/>
              </w:rPr>
              <w:t>15</w:t>
            </w:r>
          </w:p>
        </w:tc>
        <w:tc>
          <w:tcPr>
            <w:tcW w:w="473" w:type="pct"/>
            <w:vAlign w:val="center"/>
          </w:tcPr>
          <w:p w14:paraId="3916547C" w14:textId="77777777" w:rsidR="00D6587E" w:rsidRPr="00DB3584" w:rsidRDefault="00D6587E" w:rsidP="00F05555">
            <w:pPr>
              <w:pStyle w:val="TAC"/>
              <w:rPr>
                <w:rFonts w:eastAsia="Yu Mincho"/>
                <w:sz w:val="14"/>
                <w:szCs w:val="16"/>
              </w:rPr>
            </w:pPr>
            <w:r w:rsidRPr="00DB3584">
              <w:rPr>
                <w:sz w:val="14"/>
                <w:szCs w:val="16"/>
              </w:rPr>
              <w:t>20</w:t>
            </w:r>
          </w:p>
        </w:tc>
        <w:tc>
          <w:tcPr>
            <w:tcW w:w="384" w:type="pct"/>
          </w:tcPr>
          <w:p w14:paraId="28B3D870" w14:textId="77777777" w:rsidR="00D6587E" w:rsidRPr="00DB3584" w:rsidRDefault="00D6587E" w:rsidP="00F05555">
            <w:pPr>
              <w:pStyle w:val="TAC"/>
              <w:rPr>
                <w:sz w:val="14"/>
                <w:szCs w:val="16"/>
              </w:rPr>
            </w:pPr>
            <w:r>
              <w:rPr>
                <w:sz w:val="14"/>
                <w:szCs w:val="16"/>
              </w:rPr>
              <w:t>[</w:t>
            </w:r>
            <w:r w:rsidRPr="00DB3584">
              <w:rPr>
                <w:sz w:val="14"/>
                <w:szCs w:val="16"/>
              </w:rPr>
              <w:t>25</w:t>
            </w:r>
            <w:r>
              <w:rPr>
                <w:sz w:val="14"/>
                <w:szCs w:val="16"/>
              </w:rPr>
              <w:t>]</w:t>
            </w:r>
          </w:p>
        </w:tc>
        <w:tc>
          <w:tcPr>
            <w:tcW w:w="384" w:type="pct"/>
          </w:tcPr>
          <w:p w14:paraId="16830DCB" w14:textId="77777777" w:rsidR="00D6587E" w:rsidRPr="00DB3584" w:rsidRDefault="00D6587E" w:rsidP="00F05555">
            <w:pPr>
              <w:keepNext/>
              <w:keepLines/>
              <w:spacing w:after="0"/>
              <w:jc w:val="center"/>
              <w:rPr>
                <w:rFonts w:ascii="Arial" w:hAnsi="Arial"/>
                <w:bCs/>
                <w:sz w:val="14"/>
                <w:szCs w:val="16"/>
              </w:rPr>
            </w:pPr>
            <w:r>
              <w:rPr>
                <w:rFonts w:ascii="Arial" w:hAnsi="Arial"/>
                <w:bCs/>
                <w:sz w:val="14"/>
                <w:szCs w:val="16"/>
              </w:rPr>
              <w:t>[</w:t>
            </w:r>
            <w:r w:rsidRPr="00DB3584">
              <w:rPr>
                <w:rFonts w:ascii="Arial" w:hAnsi="Arial"/>
                <w:bCs/>
                <w:sz w:val="14"/>
                <w:szCs w:val="16"/>
              </w:rPr>
              <w:t>30</w:t>
            </w:r>
            <w:r>
              <w:rPr>
                <w:rFonts w:ascii="Arial" w:hAnsi="Arial"/>
                <w:bCs/>
                <w:sz w:val="14"/>
                <w:szCs w:val="16"/>
              </w:rPr>
              <w:t>]</w:t>
            </w:r>
          </w:p>
        </w:tc>
        <w:tc>
          <w:tcPr>
            <w:tcW w:w="384" w:type="pct"/>
          </w:tcPr>
          <w:p w14:paraId="3CB4D4B3" w14:textId="77777777" w:rsidR="00D6587E" w:rsidRPr="00DB3584" w:rsidRDefault="00D6587E" w:rsidP="00F05555">
            <w:pPr>
              <w:keepNext/>
              <w:keepLines/>
              <w:spacing w:after="0"/>
              <w:jc w:val="center"/>
              <w:rPr>
                <w:rFonts w:ascii="Arial" w:hAnsi="Arial"/>
                <w:bCs/>
                <w:sz w:val="14"/>
                <w:szCs w:val="16"/>
              </w:rPr>
            </w:pPr>
            <w:r>
              <w:rPr>
                <w:rFonts w:ascii="Arial" w:hAnsi="Arial"/>
                <w:bCs/>
                <w:sz w:val="14"/>
                <w:szCs w:val="16"/>
              </w:rPr>
              <w:t>[</w:t>
            </w:r>
            <w:r w:rsidRPr="00DB3584">
              <w:rPr>
                <w:rFonts w:ascii="Arial" w:hAnsi="Arial"/>
                <w:bCs/>
                <w:sz w:val="14"/>
                <w:szCs w:val="16"/>
              </w:rPr>
              <w:t>35</w:t>
            </w:r>
            <w:r>
              <w:rPr>
                <w:rFonts w:ascii="Arial" w:hAnsi="Arial"/>
                <w:bCs/>
                <w:sz w:val="14"/>
                <w:szCs w:val="16"/>
              </w:rPr>
              <w:t>]</w:t>
            </w:r>
          </w:p>
        </w:tc>
        <w:tc>
          <w:tcPr>
            <w:tcW w:w="386" w:type="pct"/>
          </w:tcPr>
          <w:p w14:paraId="0050BA76" w14:textId="77777777" w:rsidR="00D6587E" w:rsidRPr="00DB3584" w:rsidRDefault="00D6587E" w:rsidP="00F05555">
            <w:pPr>
              <w:keepNext/>
              <w:keepLines/>
              <w:spacing w:after="0"/>
              <w:jc w:val="center"/>
              <w:rPr>
                <w:rFonts w:ascii="Arial" w:hAnsi="Arial"/>
                <w:bCs/>
                <w:sz w:val="14"/>
                <w:szCs w:val="16"/>
              </w:rPr>
            </w:pPr>
            <w:r>
              <w:rPr>
                <w:rFonts w:ascii="Arial" w:hAnsi="Arial"/>
                <w:bCs/>
                <w:sz w:val="14"/>
                <w:szCs w:val="16"/>
              </w:rPr>
              <w:t>[</w:t>
            </w:r>
            <w:r w:rsidRPr="00DB3584">
              <w:rPr>
                <w:rFonts w:ascii="Arial" w:hAnsi="Arial"/>
                <w:bCs/>
                <w:sz w:val="14"/>
                <w:szCs w:val="16"/>
              </w:rPr>
              <w:t>40</w:t>
            </w:r>
            <w:r>
              <w:rPr>
                <w:rFonts w:ascii="Arial" w:hAnsi="Arial"/>
                <w:bCs/>
                <w:sz w:val="14"/>
                <w:szCs w:val="16"/>
              </w:rPr>
              <w:t>]</w:t>
            </w:r>
          </w:p>
        </w:tc>
      </w:tr>
      <w:tr w:rsidR="00D6587E" w:rsidRPr="00DB3584" w14:paraId="783359D3" w14:textId="77777777" w:rsidTr="00F05555">
        <w:trPr>
          <w:cantSplit/>
          <w:jc w:val="center"/>
        </w:trPr>
        <w:tc>
          <w:tcPr>
            <w:tcW w:w="624" w:type="pct"/>
            <w:tcBorders>
              <w:top w:val="single" w:sz="4" w:space="0" w:color="auto"/>
              <w:bottom w:val="nil"/>
            </w:tcBorders>
            <w:vAlign w:val="center"/>
          </w:tcPr>
          <w:p w14:paraId="169A4330" w14:textId="77777777" w:rsidR="00D6587E" w:rsidRPr="00DB3584" w:rsidRDefault="00D6587E" w:rsidP="00F05555">
            <w:pPr>
              <w:pStyle w:val="TAC"/>
              <w:rPr>
                <w:sz w:val="14"/>
                <w:szCs w:val="16"/>
              </w:rPr>
            </w:pPr>
          </w:p>
        </w:tc>
        <w:tc>
          <w:tcPr>
            <w:tcW w:w="473" w:type="pct"/>
            <w:vAlign w:val="center"/>
          </w:tcPr>
          <w:p w14:paraId="37104847" w14:textId="77777777" w:rsidR="00D6587E" w:rsidRPr="00DB3584" w:rsidRDefault="00D6587E" w:rsidP="00F05555">
            <w:pPr>
              <w:pStyle w:val="TAC"/>
              <w:rPr>
                <w:sz w:val="14"/>
                <w:szCs w:val="16"/>
              </w:rPr>
            </w:pPr>
            <w:r w:rsidRPr="00DB3584">
              <w:rPr>
                <w:sz w:val="14"/>
                <w:szCs w:val="16"/>
              </w:rPr>
              <w:t>15</w:t>
            </w:r>
          </w:p>
        </w:tc>
        <w:tc>
          <w:tcPr>
            <w:tcW w:w="473" w:type="pct"/>
          </w:tcPr>
          <w:p w14:paraId="06B19C58" w14:textId="77777777" w:rsidR="00D6587E" w:rsidRPr="00DB3584" w:rsidRDefault="00D6587E" w:rsidP="00F05555">
            <w:pPr>
              <w:pStyle w:val="TAC"/>
              <w:rPr>
                <w:sz w:val="14"/>
                <w:szCs w:val="16"/>
              </w:rPr>
            </w:pPr>
          </w:p>
        </w:tc>
        <w:tc>
          <w:tcPr>
            <w:tcW w:w="473" w:type="pct"/>
          </w:tcPr>
          <w:p w14:paraId="66C7998F" w14:textId="77777777" w:rsidR="00D6587E" w:rsidRPr="00DB3584" w:rsidRDefault="00D6587E" w:rsidP="00F05555">
            <w:pPr>
              <w:pStyle w:val="TAC"/>
              <w:rPr>
                <w:sz w:val="14"/>
                <w:szCs w:val="16"/>
              </w:rPr>
            </w:pPr>
            <w:r w:rsidRPr="00DB3584">
              <w:rPr>
                <w:sz w:val="14"/>
                <w:szCs w:val="16"/>
              </w:rPr>
              <w:t>5</w:t>
            </w:r>
          </w:p>
        </w:tc>
        <w:tc>
          <w:tcPr>
            <w:tcW w:w="473" w:type="pct"/>
          </w:tcPr>
          <w:p w14:paraId="125AE8A1" w14:textId="77777777" w:rsidR="00D6587E" w:rsidRPr="00DB3584" w:rsidRDefault="00D6587E" w:rsidP="00F05555">
            <w:pPr>
              <w:pStyle w:val="TAC"/>
              <w:rPr>
                <w:sz w:val="14"/>
                <w:szCs w:val="16"/>
              </w:rPr>
            </w:pPr>
            <w:r w:rsidRPr="00DB3584">
              <w:rPr>
                <w:sz w:val="14"/>
                <w:szCs w:val="16"/>
              </w:rPr>
              <w:t>10</w:t>
            </w:r>
          </w:p>
        </w:tc>
        <w:tc>
          <w:tcPr>
            <w:tcW w:w="473" w:type="pct"/>
          </w:tcPr>
          <w:p w14:paraId="449B2E9F" w14:textId="77777777" w:rsidR="00D6587E" w:rsidRPr="00DB3584" w:rsidRDefault="00D6587E" w:rsidP="00F05555">
            <w:pPr>
              <w:pStyle w:val="TAC"/>
              <w:rPr>
                <w:sz w:val="14"/>
                <w:szCs w:val="16"/>
              </w:rPr>
            </w:pPr>
            <w:r w:rsidRPr="00DB3584">
              <w:rPr>
                <w:sz w:val="14"/>
                <w:szCs w:val="16"/>
              </w:rPr>
              <w:t>15</w:t>
            </w:r>
          </w:p>
        </w:tc>
        <w:tc>
          <w:tcPr>
            <w:tcW w:w="473" w:type="pct"/>
          </w:tcPr>
          <w:p w14:paraId="10586434" w14:textId="77777777" w:rsidR="00D6587E" w:rsidRPr="00DB3584" w:rsidRDefault="00D6587E" w:rsidP="00F05555">
            <w:pPr>
              <w:pStyle w:val="TAC"/>
              <w:rPr>
                <w:sz w:val="14"/>
                <w:szCs w:val="16"/>
              </w:rPr>
            </w:pPr>
            <w:r w:rsidRPr="00DB3584">
              <w:rPr>
                <w:sz w:val="14"/>
                <w:szCs w:val="16"/>
              </w:rPr>
              <w:t>20</w:t>
            </w:r>
          </w:p>
        </w:tc>
        <w:tc>
          <w:tcPr>
            <w:tcW w:w="384" w:type="pct"/>
          </w:tcPr>
          <w:p w14:paraId="2A08DB96" w14:textId="77777777" w:rsidR="00D6587E" w:rsidRPr="00DB3584" w:rsidRDefault="00D6587E" w:rsidP="00F05555">
            <w:pPr>
              <w:pStyle w:val="TAC"/>
              <w:rPr>
                <w:sz w:val="14"/>
                <w:szCs w:val="16"/>
              </w:rPr>
            </w:pPr>
            <w:r>
              <w:rPr>
                <w:sz w:val="14"/>
                <w:szCs w:val="16"/>
              </w:rPr>
              <w:t>[</w:t>
            </w:r>
            <w:r w:rsidRPr="00DB3584">
              <w:rPr>
                <w:sz w:val="14"/>
                <w:szCs w:val="16"/>
              </w:rPr>
              <w:t>25</w:t>
            </w:r>
            <w:r>
              <w:rPr>
                <w:sz w:val="14"/>
                <w:szCs w:val="16"/>
              </w:rPr>
              <w:t>]</w:t>
            </w:r>
          </w:p>
        </w:tc>
        <w:tc>
          <w:tcPr>
            <w:tcW w:w="384" w:type="pct"/>
          </w:tcPr>
          <w:p w14:paraId="30DCC1EA" w14:textId="77777777" w:rsidR="00D6587E" w:rsidRPr="00DB3584" w:rsidRDefault="00D6587E" w:rsidP="00F05555">
            <w:pPr>
              <w:pStyle w:val="TAC"/>
              <w:rPr>
                <w:sz w:val="14"/>
                <w:szCs w:val="16"/>
              </w:rPr>
            </w:pPr>
            <w:r>
              <w:rPr>
                <w:sz w:val="14"/>
                <w:szCs w:val="16"/>
              </w:rPr>
              <w:t>[</w:t>
            </w:r>
            <w:r w:rsidRPr="00DB3584">
              <w:rPr>
                <w:sz w:val="14"/>
                <w:szCs w:val="16"/>
              </w:rPr>
              <w:t>30</w:t>
            </w:r>
            <w:r>
              <w:rPr>
                <w:sz w:val="14"/>
                <w:szCs w:val="16"/>
              </w:rPr>
              <w:t>]</w:t>
            </w:r>
          </w:p>
        </w:tc>
        <w:tc>
          <w:tcPr>
            <w:tcW w:w="384" w:type="pct"/>
          </w:tcPr>
          <w:p w14:paraId="2007FF3B" w14:textId="77777777" w:rsidR="00D6587E" w:rsidRPr="00DB3584" w:rsidRDefault="00D6587E" w:rsidP="00F05555">
            <w:pPr>
              <w:pStyle w:val="TAC"/>
              <w:rPr>
                <w:sz w:val="14"/>
                <w:szCs w:val="16"/>
              </w:rPr>
            </w:pPr>
            <w:r>
              <w:rPr>
                <w:bCs/>
                <w:sz w:val="14"/>
                <w:szCs w:val="16"/>
              </w:rPr>
              <w:t>[</w:t>
            </w:r>
            <w:r w:rsidRPr="00DB3584">
              <w:rPr>
                <w:bCs/>
                <w:sz w:val="14"/>
                <w:szCs w:val="16"/>
              </w:rPr>
              <w:t>35</w:t>
            </w:r>
            <w:r>
              <w:rPr>
                <w:bCs/>
                <w:sz w:val="14"/>
                <w:szCs w:val="16"/>
              </w:rPr>
              <w:t>]</w:t>
            </w:r>
          </w:p>
        </w:tc>
        <w:tc>
          <w:tcPr>
            <w:tcW w:w="386" w:type="pct"/>
          </w:tcPr>
          <w:p w14:paraId="6DD75060" w14:textId="77777777" w:rsidR="00D6587E" w:rsidRPr="00DB3584" w:rsidRDefault="00D6587E" w:rsidP="00F05555">
            <w:pPr>
              <w:pStyle w:val="TAC"/>
              <w:rPr>
                <w:sz w:val="14"/>
                <w:szCs w:val="16"/>
              </w:rPr>
            </w:pPr>
            <w:r>
              <w:rPr>
                <w:bCs/>
                <w:sz w:val="14"/>
                <w:szCs w:val="16"/>
              </w:rPr>
              <w:t>[</w:t>
            </w:r>
            <w:r w:rsidRPr="00DB3584">
              <w:rPr>
                <w:bCs/>
                <w:sz w:val="14"/>
                <w:szCs w:val="16"/>
              </w:rPr>
              <w:t>40</w:t>
            </w:r>
            <w:r>
              <w:rPr>
                <w:bCs/>
                <w:sz w:val="14"/>
                <w:szCs w:val="16"/>
              </w:rPr>
              <w:t>]</w:t>
            </w:r>
          </w:p>
        </w:tc>
      </w:tr>
      <w:tr w:rsidR="00D6587E" w:rsidRPr="00DB3584" w14:paraId="154F9169" w14:textId="77777777" w:rsidTr="00F05555">
        <w:trPr>
          <w:cantSplit/>
          <w:jc w:val="center"/>
        </w:trPr>
        <w:tc>
          <w:tcPr>
            <w:tcW w:w="624" w:type="pct"/>
            <w:tcBorders>
              <w:top w:val="nil"/>
              <w:bottom w:val="nil"/>
            </w:tcBorders>
            <w:vAlign w:val="center"/>
          </w:tcPr>
          <w:p w14:paraId="6509E3AB" w14:textId="77777777" w:rsidR="00D6587E" w:rsidRPr="00DB3584" w:rsidRDefault="00D6587E" w:rsidP="00F05555">
            <w:pPr>
              <w:pStyle w:val="TAC"/>
              <w:rPr>
                <w:sz w:val="14"/>
                <w:szCs w:val="16"/>
              </w:rPr>
            </w:pPr>
            <w:r w:rsidRPr="00DB3584">
              <w:rPr>
                <w:sz w:val="14"/>
                <w:szCs w:val="16"/>
                <w:lang w:val="en-US"/>
              </w:rPr>
              <w:t>[</w:t>
            </w:r>
            <w:r w:rsidRPr="00DB3584">
              <w:rPr>
                <w:rFonts w:hint="eastAsia"/>
                <w:sz w:val="14"/>
                <w:szCs w:val="16"/>
                <w:lang w:val="en-US"/>
              </w:rPr>
              <w:t>n25</w:t>
            </w:r>
            <w:r w:rsidRPr="00DB3584">
              <w:rPr>
                <w:sz w:val="14"/>
                <w:szCs w:val="16"/>
                <w:lang w:val="en-US"/>
              </w:rPr>
              <w:t>x]</w:t>
            </w:r>
          </w:p>
        </w:tc>
        <w:tc>
          <w:tcPr>
            <w:tcW w:w="473" w:type="pct"/>
            <w:vAlign w:val="center"/>
          </w:tcPr>
          <w:p w14:paraId="4770063D" w14:textId="77777777" w:rsidR="00D6587E" w:rsidRPr="00DB3584" w:rsidRDefault="00D6587E" w:rsidP="00F05555">
            <w:pPr>
              <w:pStyle w:val="TAC"/>
              <w:rPr>
                <w:sz w:val="14"/>
                <w:szCs w:val="16"/>
              </w:rPr>
            </w:pPr>
            <w:r w:rsidRPr="00DB3584">
              <w:rPr>
                <w:sz w:val="14"/>
                <w:szCs w:val="16"/>
              </w:rPr>
              <w:t>30</w:t>
            </w:r>
          </w:p>
        </w:tc>
        <w:tc>
          <w:tcPr>
            <w:tcW w:w="473" w:type="pct"/>
          </w:tcPr>
          <w:p w14:paraId="2FAC3A50" w14:textId="77777777" w:rsidR="00D6587E" w:rsidRPr="00DB3584" w:rsidRDefault="00D6587E" w:rsidP="00F05555">
            <w:pPr>
              <w:pStyle w:val="TAC"/>
              <w:rPr>
                <w:sz w:val="14"/>
                <w:szCs w:val="16"/>
              </w:rPr>
            </w:pPr>
          </w:p>
        </w:tc>
        <w:tc>
          <w:tcPr>
            <w:tcW w:w="473" w:type="pct"/>
          </w:tcPr>
          <w:p w14:paraId="7D45D4F8" w14:textId="77777777" w:rsidR="00D6587E" w:rsidRPr="00DB3584" w:rsidRDefault="00D6587E" w:rsidP="00F05555">
            <w:pPr>
              <w:pStyle w:val="TAC"/>
              <w:rPr>
                <w:sz w:val="14"/>
                <w:szCs w:val="16"/>
              </w:rPr>
            </w:pPr>
          </w:p>
        </w:tc>
        <w:tc>
          <w:tcPr>
            <w:tcW w:w="473" w:type="pct"/>
          </w:tcPr>
          <w:p w14:paraId="7B0819FD" w14:textId="77777777" w:rsidR="00D6587E" w:rsidRPr="00DB3584" w:rsidRDefault="00D6587E" w:rsidP="00F05555">
            <w:pPr>
              <w:pStyle w:val="TAC"/>
              <w:rPr>
                <w:sz w:val="14"/>
                <w:szCs w:val="16"/>
              </w:rPr>
            </w:pPr>
            <w:r w:rsidRPr="00DB3584">
              <w:rPr>
                <w:sz w:val="14"/>
                <w:szCs w:val="16"/>
              </w:rPr>
              <w:t>10</w:t>
            </w:r>
          </w:p>
        </w:tc>
        <w:tc>
          <w:tcPr>
            <w:tcW w:w="473" w:type="pct"/>
          </w:tcPr>
          <w:p w14:paraId="00D9EE55" w14:textId="77777777" w:rsidR="00D6587E" w:rsidRPr="00DB3584" w:rsidRDefault="00D6587E" w:rsidP="00F05555">
            <w:pPr>
              <w:pStyle w:val="TAC"/>
              <w:rPr>
                <w:sz w:val="14"/>
                <w:szCs w:val="16"/>
              </w:rPr>
            </w:pPr>
            <w:r w:rsidRPr="00DB3584">
              <w:rPr>
                <w:sz w:val="14"/>
                <w:szCs w:val="16"/>
              </w:rPr>
              <w:t>15</w:t>
            </w:r>
          </w:p>
        </w:tc>
        <w:tc>
          <w:tcPr>
            <w:tcW w:w="473" w:type="pct"/>
          </w:tcPr>
          <w:p w14:paraId="4398EA40" w14:textId="77777777" w:rsidR="00D6587E" w:rsidRPr="00DB3584" w:rsidRDefault="00D6587E" w:rsidP="00F05555">
            <w:pPr>
              <w:pStyle w:val="TAC"/>
              <w:rPr>
                <w:sz w:val="14"/>
                <w:szCs w:val="16"/>
              </w:rPr>
            </w:pPr>
            <w:r w:rsidRPr="00DB3584">
              <w:rPr>
                <w:sz w:val="14"/>
                <w:szCs w:val="16"/>
              </w:rPr>
              <w:t>20</w:t>
            </w:r>
          </w:p>
        </w:tc>
        <w:tc>
          <w:tcPr>
            <w:tcW w:w="384" w:type="pct"/>
          </w:tcPr>
          <w:p w14:paraId="5C5F7C01" w14:textId="77777777" w:rsidR="00D6587E" w:rsidRPr="00DB3584" w:rsidRDefault="00D6587E" w:rsidP="00F05555">
            <w:pPr>
              <w:pStyle w:val="TAC"/>
              <w:rPr>
                <w:sz w:val="14"/>
                <w:szCs w:val="16"/>
              </w:rPr>
            </w:pPr>
            <w:r>
              <w:rPr>
                <w:sz w:val="14"/>
                <w:szCs w:val="16"/>
              </w:rPr>
              <w:t>[</w:t>
            </w:r>
            <w:r w:rsidRPr="00DB3584">
              <w:rPr>
                <w:sz w:val="14"/>
                <w:szCs w:val="16"/>
              </w:rPr>
              <w:t>25</w:t>
            </w:r>
            <w:r>
              <w:rPr>
                <w:sz w:val="14"/>
                <w:szCs w:val="16"/>
              </w:rPr>
              <w:t>]</w:t>
            </w:r>
          </w:p>
        </w:tc>
        <w:tc>
          <w:tcPr>
            <w:tcW w:w="384" w:type="pct"/>
          </w:tcPr>
          <w:p w14:paraId="5625271A" w14:textId="77777777" w:rsidR="00D6587E" w:rsidRPr="00DB3584" w:rsidRDefault="00D6587E" w:rsidP="00F05555">
            <w:pPr>
              <w:pStyle w:val="TAC"/>
              <w:rPr>
                <w:sz w:val="14"/>
                <w:szCs w:val="16"/>
              </w:rPr>
            </w:pPr>
            <w:r>
              <w:rPr>
                <w:sz w:val="14"/>
                <w:szCs w:val="16"/>
              </w:rPr>
              <w:t>[</w:t>
            </w:r>
            <w:r w:rsidRPr="00DB3584">
              <w:rPr>
                <w:sz w:val="14"/>
                <w:szCs w:val="16"/>
              </w:rPr>
              <w:t>30</w:t>
            </w:r>
            <w:r>
              <w:rPr>
                <w:sz w:val="14"/>
                <w:szCs w:val="16"/>
              </w:rPr>
              <w:t>]</w:t>
            </w:r>
          </w:p>
        </w:tc>
        <w:tc>
          <w:tcPr>
            <w:tcW w:w="384" w:type="pct"/>
          </w:tcPr>
          <w:p w14:paraId="6A59EA22" w14:textId="77777777" w:rsidR="00D6587E" w:rsidRPr="00DB3584" w:rsidRDefault="00D6587E" w:rsidP="00F05555">
            <w:pPr>
              <w:pStyle w:val="TAC"/>
              <w:rPr>
                <w:sz w:val="14"/>
                <w:szCs w:val="16"/>
              </w:rPr>
            </w:pPr>
            <w:r>
              <w:rPr>
                <w:bCs/>
                <w:sz w:val="14"/>
                <w:szCs w:val="16"/>
              </w:rPr>
              <w:t>[</w:t>
            </w:r>
            <w:r w:rsidRPr="00DB3584">
              <w:rPr>
                <w:bCs/>
                <w:sz w:val="14"/>
                <w:szCs w:val="16"/>
              </w:rPr>
              <w:t>35</w:t>
            </w:r>
            <w:r>
              <w:rPr>
                <w:bCs/>
                <w:sz w:val="14"/>
                <w:szCs w:val="16"/>
              </w:rPr>
              <w:t>]</w:t>
            </w:r>
          </w:p>
        </w:tc>
        <w:tc>
          <w:tcPr>
            <w:tcW w:w="386" w:type="pct"/>
          </w:tcPr>
          <w:p w14:paraId="16780474" w14:textId="77777777" w:rsidR="00D6587E" w:rsidRPr="00DB3584" w:rsidRDefault="00D6587E" w:rsidP="00F05555">
            <w:pPr>
              <w:pStyle w:val="TAC"/>
              <w:rPr>
                <w:sz w:val="14"/>
                <w:szCs w:val="16"/>
              </w:rPr>
            </w:pPr>
            <w:r>
              <w:rPr>
                <w:bCs/>
                <w:sz w:val="14"/>
                <w:szCs w:val="16"/>
              </w:rPr>
              <w:t>[</w:t>
            </w:r>
            <w:r w:rsidRPr="00DB3584">
              <w:rPr>
                <w:bCs/>
                <w:sz w:val="14"/>
                <w:szCs w:val="16"/>
              </w:rPr>
              <w:t>40</w:t>
            </w:r>
            <w:r>
              <w:rPr>
                <w:bCs/>
                <w:sz w:val="14"/>
                <w:szCs w:val="16"/>
              </w:rPr>
              <w:t>]</w:t>
            </w:r>
          </w:p>
        </w:tc>
      </w:tr>
      <w:tr w:rsidR="00D6587E" w:rsidRPr="00DB3584" w14:paraId="1AA8CC6D" w14:textId="77777777" w:rsidTr="00F05555">
        <w:trPr>
          <w:cantSplit/>
          <w:jc w:val="center"/>
        </w:trPr>
        <w:tc>
          <w:tcPr>
            <w:tcW w:w="624" w:type="pct"/>
            <w:tcBorders>
              <w:top w:val="nil"/>
              <w:bottom w:val="single" w:sz="4" w:space="0" w:color="auto"/>
            </w:tcBorders>
            <w:vAlign w:val="center"/>
          </w:tcPr>
          <w:p w14:paraId="288A369F" w14:textId="77777777" w:rsidR="00D6587E" w:rsidRPr="00DB3584" w:rsidRDefault="00D6587E" w:rsidP="00F05555">
            <w:pPr>
              <w:pStyle w:val="TAC"/>
              <w:rPr>
                <w:sz w:val="14"/>
                <w:szCs w:val="16"/>
                <w:lang w:val="en-US"/>
              </w:rPr>
            </w:pPr>
          </w:p>
        </w:tc>
        <w:tc>
          <w:tcPr>
            <w:tcW w:w="473" w:type="pct"/>
            <w:tcBorders>
              <w:bottom w:val="single" w:sz="4" w:space="0" w:color="auto"/>
            </w:tcBorders>
            <w:vAlign w:val="center"/>
          </w:tcPr>
          <w:p w14:paraId="595E448E" w14:textId="77777777" w:rsidR="00D6587E" w:rsidRPr="00DB3584" w:rsidRDefault="00D6587E" w:rsidP="00F05555">
            <w:pPr>
              <w:pStyle w:val="TAC"/>
              <w:rPr>
                <w:sz w:val="14"/>
                <w:szCs w:val="16"/>
              </w:rPr>
            </w:pPr>
            <w:r w:rsidRPr="00DB3584">
              <w:rPr>
                <w:sz w:val="14"/>
                <w:szCs w:val="16"/>
              </w:rPr>
              <w:t>60</w:t>
            </w:r>
          </w:p>
        </w:tc>
        <w:tc>
          <w:tcPr>
            <w:tcW w:w="473" w:type="pct"/>
            <w:tcBorders>
              <w:bottom w:val="single" w:sz="4" w:space="0" w:color="auto"/>
            </w:tcBorders>
          </w:tcPr>
          <w:p w14:paraId="1078F0C7" w14:textId="77777777" w:rsidR="00D6587E" w:rsidRPr="00DB3584" w:rsidRDefault="00D6587E" w:rsidP="00F05555">
            <w:pPr>
              <w:pStyle w:val="TAC"/>
              <w:rPr>
                <w:sz w:val="14"/>
                <w:szCs w:val="16"/>
              </w:rPr>
            </w:pPr>
          </w:p>
        </w:tc>
        <w:tc>
          <w:tcPr>
            <w:tcW w:w="473" w:type="pct"/>
            <w:tcBorders>
              <w:bottom w:val="single" w:sz="4" w:space="0" w:color="auto"/>
            </w:tcBorders>
          </w:tcPr>
          <w:p w14:paraId="0AB9B912" w14:textId="77777777" w:rsidR="00D6587E" w:rsidRPr="00DB3584" w:rsidRDefault="00D6587E" w:rsidP="00F05555">
            <w:pPr>
              <w:pStyle w:val="TAC"/>
              <w:rPr>
                <w:sz w:val="14"/>
                <w:szCs w:val="16"/>
              </w:rPr>
            </w:pPr>
          </w:p>
        </w:tc>
        <w:tc>
          <w:tcPr>
            <w:tcW w:w="473" w:type="pct"/>
            <w:tcBorders>
              <w:bottom w:val="single" w:sz="4" w:space="0" w:color="auto"/>
            </w:tcBorders>
          </w:tcPr>
          <w:p w14:paraId="11FD928D" w14:textId="77777777" w:rsidR="00D6587E" w:rsidRPr="00DB3584" w:rsidRDefault="00D6587E" w:rsidP="00F05555">
            <w:pPr>
              <w:pStyle w:val="TAC"/>
              <w:rPr>
                <w:sz w:val="14"/>
                <w:szCs w:val="16"/>
              </w:rPr>
            </w:pPr>
            <w:r w:rsidRPr="00DB3584">
              <w:rPr>
                <w:sz w:val="14"/>
                <w:szCs w:val="16"/>
              </w:rPr>
              <w:t>10</w:t>
            </w:r>
          </w:p>
        </w:tc>
        <w:tc>
          <w:tcPr>
            <w:tcW w:w="473" w:type="pct"/>
            <w:tcBorders>
              <w:bottom w:val="single" w:sz="4" w:space="0" w:color="auto"/>
            </w:tcBorders>
          </w:tcPr>
          <w:p w14:paraId="47EBE8BD" w14:textId="77777777" w:rsidR="00D6587E" w:rsidRPr="00DB3584" w:rsidRDefault="00D6587E" w:rsidP="00F05555">
            <w:pPr>
              <w:pStyle w:val="TAC"/>
              <w:rPr>
                <w:sz w:val="14"/>
                <w:szCs w:val="16"/>
              </w:rPr>
            </w:pPr>
            <w:r w:rsidRPr="00DB3584">
              <w:rPr>
                <w:sz w:val="14"/>
                <w:szCs w:val="16"/>
              </w:rPr>
              <w:t>15</w:t>
            </w:r>
          </w:p>
        </w:tc>
        <w:tc>
          <w:tcPr>
            <w:tcW w:w="473" w:type="pct"/>
            <w:tcBorders>
              <w:bottom w:val="single" w:sz="4" w:space="0" w:color="auto"/>
            </w:tcBorders>
          </w:tcPr>
          <w:p w14:paraId="404C795F" w14:textId="77777777" w:rsidR="00D6587E" w:rsidRPr="00DB3584" w:rsidRDefault="00D6587E" w:rsidP="00F05555">
            <w:pPr>
              <w:pStyle w:val="TAC"/>
              <w:rPr>
                <w:sz w:val="14"/>
                <w:szCs w:val="16"/>
              </w:rPr>
            </w:pPr>
            <w:r w:rsidRPr="00DB3584">
              <w:rPr>
                <w:sz w:val="14"/>
                <w:szCs w:val="16"/>
              </w:rPr>
              <w:t>20</w:t>
            </w:r>
          </w:p>
        </w:tc>
        <w:tc>
          <w:tcPr>
            <w:tcW w:w="384" w:type="pct"/>
            <w:tcBorders>
              <w:bottom w:val="single" w:sz="4" w:space="0" w:color="auto"/>
            </w:tcBorders>
          </w:tcPr>
          <w:p w14:paraId="50D8FBC4" w14:textId="77777777" w:rsidR="00D6587E" w:rsidRPr="00DB3584" w:rsidRDefault="00D6587E" w:rsidP="00F05555">
            <w:pPr>
              <w:pStyle w:val="TAC"/>
              <w:rPr>
                <w:sz w:val="14"/>
                <w:szCs w:val="16"/>
              </w:rPr>
            </w:pPr>
            <w:r>
              <w:rPr>
                <w:sz w:val="14"/>
                <w:szCs w:val="16"/>
              </w:rPr>
              <w:t>[</w:t>
            </w:r>
            <w:r w:rsidRPr="00DB3584">
              <w:rPr>
                <w:sz w:val="14"/>
                <w:szCs w:val="16"/>
              </w:rPr>
              <w:t>25</w:t>
            </w:r>
            <w:r>
              <w:rPr>
                <w:sz w:val="14"/>
                <w:szCs w:val="16"/>
              </w:rPr>
              <w:t>]</w:t>
            </w:r>
          </w:p>
        </w:tc>
        <w:tc>
          <w:tcPr>
            <w:tcW w:w="384" w:type="pct"/>
            <w:tcBorders>
              <w:bottom w:val="single" w:sz="4" w:space="0" w:color="auto"/>
            </w:tcBorders>
          </w:tcPr>
          <w:p w14:paraId="2F3F6845" w14:textId="77777777" w:rsidR="00D6587E" w:rsidRPr="00DB3584" w:rsidRDefault="00D6587E" w:rsidP="00F05555">
            <w:pPr>
              <w:pStyle w:val="TAC"/>
              <w:rPr>
                <w:sz w:val="14"/>
                <w:szCs w:val="16"/>
              </w:rPr>
            </w:pPr>
            <w:r>
              <w:rPr>
                <w:sz w:val="14"/>
                <w:szCs w:val="16"/>
              </w:rPr>
              <w:t>[</w:t>
            </w:r>
            <w:r w:rsidRPr="00DB3584">
              <w:rPr>
                <w:sz w:val="14"/>
                <w:szCs w:val="16"/>
              </w:rPr>
              <w:t>30</w:t>
            </w:r>
            <w:r>
              <w:rPr>
                <w:sz w:val="14"/>
                <w:szCs w:val="16"/>
              </w:rPr>
              <w:t>]</w:t>
            </w:r>
          </w:p>
        </w:tc>
        <w:tc>
          <w:tcPr>
            <w:tcW w:w="384" w:type="pct"/>
            <w:tcBorders>
              <w:bottom w:val="single" w:sz="4" w:space="0" w:color="auto"/>
            </w:tcBorders>
          </w:tcPr>
          <w:p w14:paraId="2E8FDF48" w14:textId="77777777" w:rsidR="00D6587E" w:rsidRPr="00DB3584" w:rsidRDefault="00D6587E" w:rsidP="00F05555">
            <w:pPr>
              <w:pStyle w:val="TAC"/>
              <w:rPr>
                <w:sz w:val="14"/>
                <w:szCs w:val="16"/>
              </w:rPr>
            </w:pPr>
            <w:r>
              <w:rPr>
                <w:bCs/>
                <w:sz w:val="14"/>
                <w:szCs w:val="16"/>
              </w:rPr>
              <w:t>[</w:t>
            </w:r>
            <w:r w:rsidRPr="00DB3584">
              <w:rPr>
                <w:bCs/>
                <w:sz w:val="14"/>
                <w:szCs w:val="16"/>
              </w:rPr>
              <w:t>35</w:t>
            </w:r>
            <w:r>
              <w:rPr>
                <w:bCs/>
                <w:sz w:val="14"/>
                <w:szCs w:val="16"/>
              </w:rPr>
              <w:t>]</w:t>
            </w:r>
          </w:p>
        </w:tc>
        <w:tc>
          <w:tcPr>
            <w:tcW w:w="386" w:type="pct"/>
            <w:tcBorders>
              <w:bottom w:val="single" w:sz="4" w:space="0" w:color="auto"/>
            </w:tcBorders>
          </w:tcPr>
          <w:p w14:paraId="60759A2E" w14:textId="77777777" w:rsidR="00D6587E" w:rsidRPr="00DB3584" w:rsidRDefault="00D6587E" w:rsidP="00F05555">
            <w:pPr>
              <w:pStyle w:val="TAC"/>
              <w:rPr>
                <w:sz w:val="14"/>
                <w:szCs w:val="16"/>
              </w:rPr>
            </w:pPr>
            <w:r>
              <w:rPr>
                <w:bCs/>
                <w:sz w:val="14"/>
                <w:szCs w:val="16"/>
              </w:rPr>
              <w:t>[</w:t>
            </w:r>
            <w:r w:rsidRPr="00DB3584">
              <w:rPr>
                <w:bCs/>
                <w:sz w:val="14"/>
                <w:szCs w:val="16"/>
              </w:rPr>
              <w:t>40</w:t>
            </w:r>
            <w:r>
              <w:rPr>
                <w:bCs/>
                <w:sz w:val="14"/>
                <w:szCs w:val="16"/>
              </w:rPr>
              <w:t>]</w:t>
            </w:r>
          </w:p>
        </w:tc>
      </w:tr>
      <w:tr w:rsidR="00D6587E" w:rsidRPr="00DB3584" w14:paraId="072423E9" w14:textId="77777777" w:rsidTr="00F05555">
        <w:trPr>
          <w:cantSplit/>
          <w:jc w:val="center"/>
        </w:trPr>
        <w:tc>
          <w:tcPr>
            <w:tcW w:w="5000" w:type="pct"/>
            <w:gridSpan w:val="11"/>
            <w:tcBorders>
              <w:top w:val="single" w:sz="4" w:space="0" w:color="auto"/>
              <w:bottom w:val="single" w:sz="4" w:space="0" w:color="auto"/>
            </w:tcBorders>
          </w:tcPr>
          <w:p w14:paraId="58B732C9" w14:textId="77777777" w:rsidR="00D6587E" w:rsidRPr="00DB3584" w:rsidRDefault="00D6587E" w:rsidP="00F05555">
            <w:pPr>
              <w:pStyle w:val="TAN"/>
              <w:rPr>
                <w:rFonts w:eastAsia="Yu Mincho"/>
                <w:sz w:val="14"/>
                <w:szCs w:val="16"/>
              </w:rPr>
            </w:pPr>
          </w:p>
        </w:tc>
      </w:tr>
    </w:tbl>
    <w:p w14:paraId="108261C9" w14:textId="77777777" w:rsidR="00D6587E" w:rsidRDefault="00D6587E" w:rsidP="00D6587E">
      <w:pPr>
        <w:pStyle w:val="B10"/>
        <w:ind w:left="644" w:firstLine="0"/>
      </w:pPr>
    </w:p>
    <w:p w14:paraId="74EE2213" w14:textId="77777777" w:rsidR="00D6587E" w:rsidRDefault="00D6587E" w:rsidP="00D6587E">
      <w:pPr>
        <w:pStyle w:val="B10"/>
        <w:numPr>
          <w:ilvl w:val="1"/>
          <w:numId w:val="18"/>
        </w:numPr>
        <w:overflowPunct w:val="0"/>
        <w:autoSpaceDE w:val="0"/>
        <w:autoSpaceDN w:val="0"/>
        <w:adjustRightInd w:val="0"/>
        <w:textAlignment w:val="baseline"/>
      </w:pPr>
      <w:r>
        <w:t xml:space="preserve">Support Asymmetric UE TX-RX Channel BW configurations </w:t>
      </w:r>
      <w:proofErr w:type="gramStart"/>
      <w:r>
        <w:t>in order to</w:t>
      </w:r>
      <w:proofErr w:type="gramEnd"/>
      <w:r>
        <w:t xml:space="preserve"> allow leveraging the 41 MHz contiguous DL allocation with a smaller UL allocation.  The subset of supported UE TX channel BW can be limited to a maximum of [20] MHz channel BW for the time being, </w:t>
      </w:r>
      <w:proofErr w:type="gramStart"/>
      <w:r>
        <w:t>in order to</w:t>
      </w:r>
      <w:proofErr w:type="gramEnd"/>
      <w:r>
        <w:t xml:space="preserve"> limit the WI scope.</w:t>
      </w:r>
    </w:p>
    <w:p w14:paraId="6E9E2CBC" w14:textId="77777777" w:rsidR="00D6587E" w:rsidRDefault="00D6587E" w:rsidP="00D6587E">
      <w:pPr>
        <w:pStyle w:val="B10"/>
        <w:numPr>
          <w:ilvl w:val="0"/>
          <w:numId w:val="18"/>
        </w:numPr>
        <w:overflowPunct w:val="0"/>
        <w:autoSpaceDE w:val="0"/>
        <w:autoSpaceDN w:val="0"/>
        <w:adjustRightInd w:val="0"/>
        <w:ind w:left="0" w:firstLine="0"/>
        <w:textAlignment w:val="baseline"/>
      </w:pPr>
      <w:r>
        <w:t xml:space="preserve">Support Flexible TX-RX Separation for the supported TX-RX Channel BW </w:t>
      </w:r>
      <w:proofErr w:type="gramStart"/>
      <w:r>
        <w:t>configurations</w:t>
      </w:r>
      <w:proofErr w:type="gramEnd"/>
    </w:p>
    <w:p w14:paraId="45270F9F" w14:textId="77777777" w:rsidR="00D6587E" w:rsidRDefault="00D6587E" w:rsidP="00D6587E">
      <w:pPr>
        <w:pStyle w:val="B10"/>
        <w:numPr>
          <w:ilvl w:val="0"/>
          <w:numId w:val="18"/>
        </w:numPr>
        <w:overflowPunct w:val="0"/>
        <w:autoSpaceDE w:val="0"/>
        <w:autoSpaceDN w:val="0"/>
        <w:adjustRightInd w:val="0"/>
        <w:textAlignment w:val="baseline"/>
      </w:pPr>
      <w:r>
        <w:t xml:space="preserve">Support default channel raster </w:t>
      </w:r>
      <w:r w:rsidRPr="0094580D">
        <w:t xml:space="preserve">points at step of </w:t>
      </w:r>
      <w:proofErr w:type="gramStart"/>
      <w:r>
        <w:t>100</w:t>
      </w:r>
      <w:r w:rsidRPr="0094580D">
        <w:t>kHz;</w:t>
      </w:r>
      <w:proofErr w:type="gramEnd"/>
    </w:p>
    <w:p w14:paraId="068F3330" w14:textId="77777777" w:rsidR="00D6587E" w:rsidRDefault="00D6587E" w:rsidP="00D6587E">
      <w:pPr>
        <w:pStyle w:val="B10"/>
        <w:numPr>
          <w:ilvl w:val="0"/>
          <w:numId w:val="18"/>
        </w:numPr>
        <w:overflowPunct w:val="0"/>
        <w:autoSpaceDE w:val="0"/>
        <w:autoSpaceDN w:val="0"/>
        <w:adjustRightInd w:val="0"/>
        <w:textAlignment w:val="baseline"/>
      </w:pPr>
      <w:r>
        <w:t>Mandatory s</w:t>
      </w:r>
      <w:r w:rsidRPr="007A25BE">
        <w:t xml:space="preserve">upport for </w:t>
      </w:r>
      <w:r>
        <w:t>Enhanced C</w:t>
      </w:r>
      <w:r w:rsidRPr="007A25BE">
        <w:t xml:space="preserve">hannel </w:t>
      </w:r>
      <w:r>
        <w:t>R</w:t>
      </w:r>
      <w:r w:rsidRPr="007A25BE">
        <w:t>aster</w:t>
      </w:r>
      <w:r>
        <w:t xml:space="preserve"> with raster</w:t>
      </w:r>
      <w:r w:rsidRPr="007A25BE">
        <w:t xml:space="preserve"> points at step of </w:t>
      </w:r>
      <w:r>
        <w:t>10</w:t>
      </w:r>
      <w:r w:rsidRPr="007A25BE">
        <w:t xml:space="preserve">kHz </w:t>
      </w:r>
    </w:p>
    <w:p w14:paraId="3EAB658B" w14:textId="77777777" w:rsidR="00D6587E" w:rsidRDefault="00D6587E" w:rsidP="00D6587E">
      <w:pPr>
        <w:pStyle w:val="B10"/>
        <w:numPr>
          <w:ilvl w:val="0"/>
          <w:numId w:val="18"/>
        </w:numPr>
        <w:overflowPunct w:val="0"/>
        <w:autoSpaceDE w:val="0"/>
        <w:autoSpaceDN w:val="0"/>
        <w:adjustRightInd w:val="0"/>
        <w:textAlignment w:val="baseline"/>
      </w:pPr>
      <w:r>
        <w:t xml:space="preserve">Support </w:t>
      </w:r>
      <w:r w:rsidRPr="00CC385F">
        <w:t xml:space="preserve">UE </w:t>
      </w:r>
      <w:r>
        <w:t>P</w:t>
      </w:r>
      <w:r w:rsidRPr="00CC385F">
        <w:t xml:space="preserve">ower class </w:t>
      </w:r>
      <w:r>
        <w:t>3 (+23 dBm) as a starting point</w:t>
      </w:r>
    </w:p>
    <w:p w14:paraId="50636CAC" w14:textId="77777777" w:rsidR="00D6587E" w:rsidRDefault="00D6587E" w:rsidP="00D6587E">
      <w:pPr>
        <w:pStyle w:val="B10"/>
        <w:numPr>
          <w:ilvl w:val="1"/>
          <w:numId w:val="18"/>
        </w:numPr>
        <w:overflowPunct w:val="0"/>
        <w:autoSpaceDE w:val="0"/>
        <w:autoSpaceDN w:val="0"/>
        <w:adjustRightInd w:val="0"/>
        <w:textAlignment w:val="baseline"/>
      </w:pPr>
      <w:r>
        <w:t xml:space="preserve">Further support for HPUE can be considered as soon as the Rel-19 baseline framework for HPUE for NTN in band n255 has been </w:t>
      </w:r>
      <w:proofErr w:type="gramStart"/>
      <w:r>
        <w:t>defined</w:t>
      </w:r>
      <w:proofErr w:type="gramEnd"/>
    </w:p>
    <w:p w14:paraId="114CE0E6" w14:textId="77777777" w:rsidR="00D6587E" w:rsidRDefault="00D6587E" w:rsidP="00D6587E">
      <w:pPr>
        <w:pStyle w:val="B10"/>
        <w:numPr>
          <w:ilvl w:val="0"/>
          <w:numId w:val="18"/>
        </w:numPr>
        <w:overflowPunct w:val="0"/>
        <w:autoSpaceDE w:val="0"/>
        <w:autoSpaceDN w:val="0"/>
        <w:adjustRightInd w:val="0"/>
        <w:textAlignment w:val="baseline"/>
      </w:pPr>
      <w:r>
        <w:t>Introduce the corresponding SAN</w:t>
      </w:r>
      <w:r w:rsidRPr="00886288">
        <w:t xml:space="preserve"> and UE RF core </w:t>
      </w:r>
      <w:proofErr w:type="gramStart"/>
      <w:r w:rsidRPr="00886288">
        <w:t>requirement</w:t>
      </w:r>
      <w:r>
        <w:t>s;</w:t>
      </w:r>
      <w:proofErr w:type="gramEnd"/>
    </w:p>
    <w:p w14:paraId="4D5C85EF" w14:textId="77777777" w:rsidR="00D6587E" w:rsidRDefault="00D6587E" w:rsidP="00D6587E">
      <w:pPr>
        <w:pStyle w:val="B10"/>
        <w:numPr>
          <w:ilvl w:val="0"/>
          <w:numId w:val="18"/>
        </w:numPr>
        <w:overflowPunct w:val="0"/>
        <w:autoSpaceDE w:val="0"/>
        <w:autoSpaceDN w:val="0"/>
        <w:adjustRightInd w:val="0"/>
        <w:textAlignment w:val="baseline"/>
      </w:pPr>
      <w:r>
        <w:t>Introduce the corresponding RRM requirements.</w:t>
      </w:r>
    </w:p>
    <w:p w14:paraId="718B0C5F" w14:textId="77777777" w:rsidR="00D6587E" w:rsidRDefault="00D6587E" w:rsidP="00D6587E">
      <w:pPr>
        <w:pStyle w:val="B10"/>
        <w:numPr>
          <w:ilvl w:val="0"/>
          <w:numId w:val="18"/>
        </w:numPr>
        <w:overflowPunct w:val="0"/>
        <w:autoSpaceDE w:val="0"/>
        <w:autoSpaceDN w:val="0"/>
        <w:adjustRightInd w:val="0"/>
        <w:textAlignment w:val="baseline"/>
      </w:pPr>
      <w:r w:rsidRPr="00A46743">
        <w:t xml:space="preserve">The specification work of this WI shall leverage the studies and requirements for NR NTN n255, </w:t>
      </w:r>
      <w:r>
        <w:t>and the corresponding IoT NTN Work Item (IoT_NTN_extLband) for Band 253, where applicable.</w:t>
      </w:r>
    </w:p>
    <w:p w14:paraId="7E667D96" w14:textId="77777777" w:rsidR="00D6587E" w:rsidRPr="00C5205E" w:rsidRDefault="00D6587E" w:rsidP="00D6587E">
      <w:pPr>
        <w:pStyle w:val="B10"/>
        <w:numPr>
          <w:ilvl w:val="0"/>
          <w:numId w:val="18"/>
        </w:numPr>
        <w:overflowPunct w:val="0"/>
        <w:autoSpaceDE w:val="0"/>
        <w:autoSpaceDN w:val="0"/>
        <w:adjustRightInd w:val="0"/>
        <w:textAlignment w:val="baseline"/>
      </w:pPr>
      <w:r w:rsidRPr="0084004F">
        <w:rPr>
          <w:iCs/>
        </w:rPr>
        <w:t xml:space="preserve">Any </w:t>
      </w:r>
      <w:r>
        <w:rPr>
          <w:iCs/>
        </w:rPr>
        <w:t xml:space="preserve">relevant </w:t>
      </w:r>
      <w:r w:rsidRPr="0084004F">
        <w:rPr>
          <w:iCs/>
        </w:rPr>
        <w:t xml:space="preserve">additional </w:t>
      </w:r>
      <w:proofErr w:type="gramStart"/>
      <w:r w:rsidRPr="0084004F">
        <w:rPr>
          <w:iCs/>
        </w:rPr>
        <w:t>Regional</w:t>
      </w:r>
      <w:proofErr w:type="gramEnd"/>
      <w:r w:rsidRPr="0084004F">
        <w:rPr>
          <w:iCs/>
        </w:rPr>
        <w:t xml:space="preserve"> requirements</w:t>
      </w:r>
      <w:r>
        <w:rPr>
          <w:iCs/>
        </w:rPr>
        <w:t xml:space="preserve"> and restrictions</w:t>
      </w:r>
      <w:r w:rsidRPr="0084004F">
        <w:rPr>
          <w:iCs/>
        </w:rPr>
        <w:t xml:space="preserve"> will </w:t>
      </w:r>
      <w:r>
        <w:rPr>
          <w:iCs/>
        </w:rPr>
        <w:t xml:space="preserve">also </w:t>
      </w:r>
      <w:r w:rsidRPr="0084004F">
        <w:rPr>
          <w:iCs/>
        </w:rPr>
        <w:t>be captured</w:t>
      </w:r>
      <w:r>
        <w:rPr>
          <w:iCs/>
        </w:rPr>
        <w:t>.</w:t>
      </w:r>
    </w:p>
    <w:p w14:paraId="3CECE50B" w14:textId="77777777" w:rsidR="00D6587E" w:rsidRPr="00C5205E" w:rsidRDefault="00D6587E" w:rsidP="00D6587E">
      <w:pPr>
        <w:pStyle w:val="B10"/>
        <w:numPr>
          <w:ilvl w:val="1"/>
          <w:numId w:val="18"/>
        </w:numPr>
        <w:overflowPunct w:val="0"/>
        <w:autoSpaceDE w:val="0"/>
        <w:autoSpaceDN w:val="0"/>
        <w:adjustRightInd w:val="0"/>
        <w:textAlignment w:val="baseline"/>
      </w:pPr>
      <w:r>
        <w:rPr>
          <w:iCs/>
        </w:rPr>
        <w:t xml:space="preserve">NOTE1: The introduction of ETSI-specific requirements is expected to be addressed at a later stage, due to ongoing discussions within ETSI in respect to </w:t>
      </w:r>
      <w:proofErr w:type="gramStart"/>
      <w:r>
        <w:rPr>
          <w:iCs/>
        </w:rPr>
        <w:t>NTN</w:t>
      </w:r>
      <w:proofErr w:type="gramEnd"/>
    </w:p>
    <w:p w14:paraId="671BB315" w14:textId="77777777" w:rsidR="00D6587E" w:rsidRDefault="00D6587E" w:rsidP="00D6587E">
      <w:pPr>
        <w:pStyle w:val="B10"/>
        <w:numPr>
          <w:ilvl w:val="1"/>
          <w:numId w:val="18"/>
        </w:numPr>
        <w:overflowPunct w:val="0"/>
        <w:autoSpaceDE w:val="0"/>
        <w:autoSpaceDN w:val="0"/>
        <w:adjustRightInd w:val="0"/>
        <w:textAlignment w:val="baseline"/>
      </w:pPr>
      <w:r>
        <w:rPr>
          <w:iCs/>
        </w:rPr>
        <w:t>NOTE2: The 1668-1675 MHz range is presently not available for MSS in the continental United States.</w:t>
      </w:r>
    </w:p>
    <w:p w14:paraId="2CB20F89" w14:textId="77777777" w:rsidR="00D6587E" w:rsidRDefault="00D6587E" w:rsidP="00D6587E">
      <w:pPr>
        <w:spacing w:after="0"/>
        <w:rPr>
          <w:bCs/>
        </w:rPr>
      </w:pPr>
    </w:p>
    <w:p w14:paraId="460ACB9E" w14:textId="77777777" w:rsidR="00D6587E" w:rsidRDefault="00D6587E" w:rsidP="00D6587E">
      <w:pPr>
        <w:spacing w:after="0"/>
        <w:rPr>
          <w:bCs/>
        </w:rPr>
      </w:pPr>
      <w:r w:rsidRPr="00341238">
        <w:rPr>
          <w:bCs/>
        </w:rPr>
        <w:t>All UE requirements specified as part of this WI shall be Release-independent for the UE</w:t>
      </w:r>
      <w:r>
        <w:rPr>
          <w:bCs/>
        </w:rPr>
        <w:t xml:space="preserve"> starting from Release-17</w:t>
      </w:r>
      <w:r w:rsidRPr="00341238">
        <w:rPr>
          <w:bCs/>
        </w:rPr>
        <w:t>.</w:t>
      </w:r>
    </w:p>
    <w:p w14:paraId="3BE21D10" w14:textId="77777777" w:rsidR="00D6587E" w:rsidRPr="00D6587E" w:rsidRDefault="00D6587E" w:rsidP="00D6587E">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sectPr w:rsidR="0090577D" w:rsidSect="00B5313C">
      <w:footerReference w:type="even" r:id="rId8"/>
      <w:footerReference w:type="default" r:id="rId9"/>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A3711" w14:textId="77777777" w:rsidR="00F85356" w:rsidRDefault="00F85356">
      <w:r>
        <w:separator/>
      </w:r>
    </w:p>
  </w:endnote>
  <w:endnote w:type="continuationSeparator" w:id="0">
    <w:p w14:paraId="2B891F85" w14:textId="77777777" w:rsidR="00F85356" w:rsidRDefault="00F8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default"/>
    <w:sig w:usb0="00000000" w:usb1="00000000" w:usb2="00000000" w:usb3="00000000" w:csb0="0000019F" w:csb1="00000000"/>
  </w:font>
  <w:font w:name="Bookman">
    <w:altName w:val="Bookman Old Style"/>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default"/>
    <w:sig w:usb0="FFFFFFFF" w:usb1="E9FFFFFF" w:usb2="0000003F" w:usb3="00000000" w:csb0="603F01FF" w:csb1="FFFF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B8EF3" w14:textId="77777777" w:rsidR="00F85356" w:rsidRDefault="00F85356">
      <w:r>
        <w:separator/>
      </w:r>
    </w:p>
  </w:footnote>
  <w:footnote w:type="continuationSeparator" w:id="0">
    <w:p w14:paraId="62DFD150" w14:textId="77777777" w:rsidR="00F85356" w:rsidRDefault="00F85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9352BE3"/>
    <w:multiLevelType w:val="hybridMultilevel"/>
    <w:tmpl w:val="C404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3F84999"/>
    <w:multiLevelType w:val="hybridMultilevel"/>
    <w:tmpl w:val="C758F306"/>
    <w:lvl w:ilvl="0" w:tplc="5120A57A">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E68CD"/>
    <w:multiLevelType w:val="hybridMultilevel"/>
    <w:tmpl w:val="A1EC853E"/>
    <w:lvl w:ilvl="0" w:tplc="FFFFFFFF">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80488169">
    <w:abstractNumId w:val="5"/>
  </w:num>
  <w:num w:numId="2" w16cid:durableId="513963709">
    <w:abstractNumId w:val="9"/>
  </w:num>
  <w:num w:numId="3" w16cid:durableId="30959319">
    <w:abstractNumId w:val="11"/>
  </w:num>
  <w:num w:numId="4" w16cid:durableId="1579515455">
    <w:abstractNumId w:val="16"/>
  </w:num>
  <w:num w:numId="5" w16cid:durableId="1213884486">
    <w:abstractNumId w:val="8"/>
  </w:num>
  <w:num w:numId="6" w16cid:durableId="895549640">
    <w:abstractNumId w:val="3"/>
  </w:num>
  <w:num w:numId="7" w16cid:durableId="1494643654">
    <w:abstractNumId w:val="0"/>
  </w:num>
  <w:num w:numId="8" w16cid:durableId="1777947175">
    <w:abstractNumId w:val="10"/>
  </w:num>
  <w:num w:numId="9" w16cid:durableId="461308997">
    <w:abstractNumId w:val="4"/>
  </w:num>
  <w:num w:numId="10" w16cid:durableId="1624651259">
    <w:abstractNumId w:val="7"/>
  </w:num>
  <w:num w:numId="11" w16cid:durableId="1362783709">
    <w:abstractNumId w:val="17"/>
  </w:num>
  <w:num w:numId="12" w16cid:durableId="1425344883">
    <w:abstractNumId w:val="2"/>
  </w:num>
  <w:num w:numId="13" w16cid:durableId="535042714">
    <w:abstractNumId w:val="13"/>
  </w:num>
  <w:num w:numId="14" w16cid:durableId="1657493845">
    <w:abstractNumId w:val="1"/>
  </w:num>
  <w:num w:numId="15" w16cid:durableId="2139688651">
    <w:abstractNumId w:val="14"/>
  </w:num>
  <w:num w:numId="16" w16cid:durableId="589125372">
    <w:abstractNumId w:val="6"/>
  </w:num>
  <w:num w:numId="17" w16cid:durableId="1683775093">
    <w:abstractNumId w:val="15"/>
  </w:num>
  <w:num w:numId="18" w16cid:durableId="80465842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5"/>
  <w:doNotDisplayPageBoundaries/>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C4C"/>
    <w:rsid w:val="00072E29"/>
    <w:rsid w:val="000735C0"/>
    <w:rsid w:val="000737DA"/>
    <w:rsid w:val="000748F8"/>
    <w:rsid w:val="00074EBA"/>
    <w:rsid w:val="00074F2C"/>
    <w:rsid w:val="0007555F"/>
    <w:rsid w:val="00075AFE"/>
    <w:rsid w:val="0007672D"/>
    <w:rsid w:val="00076DB9"/>
    <w:rsid w:val="000771C7"/>
    <w:rsid w:val="0007744C"/>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A47"/>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939"/>
    <w:rsid w:val="002365E3"/>
    <w:rsid w:val="00236663"/>
    <w:rsid w:val="00236AFB"/>
    <w:rsid w:val="00236C6E"/>
    <w:rsid w:val="00236EB4"/>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5FC2"/>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25A"/>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54A"/>
    <w:rsid w:val="00946558"/>
    <w:rsid w:val="00946572"/>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43DD"/>
    <w:rsid w:val="00CB44D3"/>
    <w:rsid w:val="00CB4610"/>
    <w:rsid w:val="00CB4E13"/>
    <w:rsid w:val="00CB4F5D"/>
    <w:rsid w:val="00CB4FEF"/>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150"/>
    <w:rsid w:val="00D6534E"/>
    <w:rsid w:val="00D65603"/>
    <w:rsid w:val="00D6587E"/>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359"/>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356"/>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uiPriority w:val="99"/>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uiPriority w:val="99"/>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1CF-7E18-46C6-97BF-9D1601C9B0F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Template>
  <TotalTime>884</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Gene Fong</cp:lastModifiedBy>
  <cp:revision>3</cp:revision>
  <cp:lastPrinted>2017-09-11T16:45:00Z</cp:lastPrinted>
  <dcterms:created xsi:type="dcterms:W3CDTF">2024-06-17T06:37:00Z</dcterms:created>
  <dcterms:modified xsi:type="dcterms:W3CDTF">2024-06-19T00:28:00Z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Subject">
    <vt:lpwstr>Discuss conformance testing and Antenna coupling value </vt:lpwstr>
  </property>
  <property fmtid="{D5CDD505-2E9C-101B-9397-08002B2CF9AE}" pid="8" name="_AuthorEmail">
    <vt:lpwstr>vgheorgh@qti.qualcomm.com</vt:lpwstr>
  </property>
  <property fmtid="{D5CDD505-2E9C-101B-9397-08002B2CF9AE}" pid="9" name="_AuthorEmailDisplayName">
    <vt:lpwstr>Gheorghiu, Valentin</vt:lpwstr>
  </property>
  <property fmtid="{D5CDD505-2E9C-101B-9397-08002B2CF9AE}" pid="10" name="_EmailEntryID">
    <vt:lpwstr>000000000AEBFFD5532DD94AB8049BF5B11262A9070050610DB9D40CC948AF35946847DB92030000003FBF5D0000292E7FD1B1D6624A86B7549A1FD9E19A0000B95A0F870000</vt:lpwstr>
  </property>
  <property fmtid="{D5CDD505-2E9C-101B-9397-08002B2CF9AE}" pid="11" name="_AdHocReviewCycleID">
    <vt:i4>9771702</vt:i4>
  </property>
  <property fmtid="{D5CDD505-2E9C-101B-9397-08002B2CF9AE}" pid="12" name="_PreviousAdHocReviewCycleID">
    <vt:i4>342049620</vt:i4>
  </property>
  <property fmtid="{D5CDD505-2E9C-101B-9397-08002B2CF9AE}" pid="13"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14" name="_EmailStoreID1">
    <vt:lpwstr>069656E74732F636E3D67666F6E6700E94632F4400000000200000010000000670066006F006E00670040007100740069002E007100750061006C0063006F006D006D002E0063006F006D0000000000</vt:lpwstr>
  </property>
  <property fmtid="{D5CDD505-2E9C-101B-9397-08002B2CF9AE}" pid="15" name="_ReviewingToolsShownOnce">
    <vt:lpwstr/>
  </property>
</Properties>
</file>