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7777777" w:rsidR="004525C6" w:rsidRPr="004525C6"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Norm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Norm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Heading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Heading2"/>
      </w:pPr>
      <w:r>
        <w:t xml:space="preserve">Cases </w:t>
      </w:r>
      <w:r w:rsidR="004525C6">
        <w:t>discussed by WGs</w:t>
      </w:r>
    </w:p>
    <w:p w14:paraId="5B53F3B5" w14:textId="411E1F8F"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Norm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NormalWeb"/>
        <w:spacing w:before="120" w:beforeAutospacing="0" w:after="120" w:afterAutospacing="0"/>
        <w:rPr>
          <w:color w:val="FF0000"/>
          <w:sz w:val="20"/>
          <w:szCs w:val="20"/>
        </w:rPr>
      </w:pPr>
    </w:p>
    <w:p w14:paraId="431FFB61" w14:textId="4DD07B41" w:rsidR="004525C6" w:rsidRDefault="004525C6" w:rsidP="00635FC3">
      <w:pPr>
        <w:pStyle w:val="Norm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NormalWeb"/>
        <w:spacing w:before="120" w:beforeAutospacing="0" w:after="120" w:afterAutospacing="0"/>
        <w:rPr>
          <w:color w:val="FF0000"/>
          <w:sz w:val="20"/>
          <w:szCs w:val="20"/>
        </w:rPr>
      </w:pPr>
    </w:p>
    <w:p w14:paraId="3772FDAC" w14:textId="544F85F4" w:rsidR="00635FC3" w:rsidRDefault="004525C6" w:rsidP="004525C6">
      <w:pPr>
        <w:pStyle w:val="Heading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Heading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ListParagraph"/>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ListParagraph"/>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ListParagraph"/>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ListParagraph"/>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ListParagraph"/>
        <w:numPr>
          <w:ilvl w:val="0"/>
          <w:numId w:val="19"/>
        </w:numPr>
        <w:ind w:leftChars="0"/>
      </w:pPr>
      <w:r>
        <w:t>Qualcomm proposed to have the following in addition to Case 2</w:t>
      </w:r>
    </w:p>
    <w:p w14:paraId="64812568" w14:textId="458D51C7" w:rsidR="00F6219C" w:rsidRPr="00F6219C" w:rsidRDefault="00F6219C" w:rsidP="00CF3794">
      <w:pPr>
        <w:pStyle w:val="ListParagraph"/>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Heading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TableGrid"/>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ListParagraph"/>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ListParagraph"/>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ListParagraph"/>
              <w:numPr>
                <w:ilvl w:val="0"/>
                <w:numId w:val="23"/>
              </w:numPr>
              <w:ind w:leftChars="0"/>
            </w:pPr>
            <w:r>
              <w:lastRenderedPageBreak/>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ListParagraph"/>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TableGrid"/>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SimSun" w:hint="eastAsia"/>
                <w:lang w:val="en-US" w:eastAsia="zh-CN"/>
              </w:rPr>
              <w:t>ZTE</w:t>
            </w:r>
          </w:p>
        </w:tc>
        <w:tc>
          <w:tcPr>
            <w:tcW w:w="7826" w:type="dxa"/>
            <w:vAlign w:val="center"/>
          </w:tcPr>
          <w:p w14:paraId="29C02C3B" w14:textId="77777777" w:rsidR="00647302" w:rsidRDefault="00647302" w:rsidP="00647302">
            <w:pPr>
              <w:textAlignment w:val="center"/>
              <w:rPr>
                <w:rFonts w:eastAsia="SimSun"/>
                <w:lang w:val="en-US" w:eastAsia="zh-CN"/>
              </w:rPr>
            </w:pPr>
            <w:r>
              <w:rPr>
                <w:rFonts w:eastAsia="SimSun" w:hint="eastAsia"/>
                <w:lang w:val="en-US" w:eastAsia="zh-CN"/>
              </w:rPr>
              <w:t>--We are fine to only specify case-2 in the normative phase.</w:t>
            </w:r>
          </w:p>
          <w:p w14:paraId="4C6DAAE0" w14:textId="77777777" w:rsidR="00647302" w:rsidRDefault="00647302" w:rsidP="00647302">
            <w:pPr>
              <w:textAlignment w:val="center"/>
              <w:rPr>
                <w:rFonts w:eastAsia="SimSun"/>
                <w:lang w:val="en-US" w:eastAsia="zh-CN"/>
              </w:rPr>
            </w:pPr>
            <w:r>
              <w:rPr>
                <w:rFonts w:eastAsia="SimSun" w:hint="eastAsia"/>
                <w:lang w:val="en-US" w:eastAsia="zh-CN"/>
              </w:rPr>
              <w:t xml:space="preserve">--For the second bullet on NES cell providing WUS configuration for other NES cells, we understand when a NES cell starts to broadcast SIB1 upon request, it turns into a </w:t>
            </w:r>
            <w:r>
              <w:rPr>
                <w:rFonts w:eastAsia="SimSun"/>
                <w:lang w:val="en-US" w:eastAsia="zh-CN"/>
              </w:rPr>
              <w:t>“</w:t>
            </w:r>
            <w:r>
              <w:rPr>
                <w:rFonts w:eastAsia="SimSun" w:hint="eastAsia"/>
                <w:lang w:val="en-US" w:eastAsia="zh-CN"/>
              </w:rPr>
              <w:t>cell A</w:t>
            </w:r>
            <w:r>
              <w:rPr>
                <w:rFonts w:eastAsia="SimSun"/>
                <w:lang w:val="en-US" w:eastAsia="zh-CN"/>
              </w:rPr>
              <w:t>”</w:t>
            </w:r>
            <w:r>
              <w:rPr>
                <w:rFonts w:eastAsia="SimSun"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SimSun"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ListParagraph"/>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ListParagraph"/>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ListParagraph"/>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ListParagraph"/>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DengXian"/>
                <w:lang w:eastAsia="zh-CN"/>
              </w:rPr>
            </w:pPr>
            <w:r>
              <w:rPr>
                <w:rFonts w:eastAsia="DengXian" w:hint="eastAsia"/>
                <w:lang w:eastAsia="zh-CN"/>
              </w:rPr>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lastRenderedPageBreak/>
              <w:t>In addition, during RAN1#117~RAN#118 meeting, companies had provided the evaluation results for Case 1 in RAN1 and reach no consensus on the benefits in NES gain. Therefore, although the NES cell can transmit the WUS configuration with some certain condition, it is recommended that the signaling that carries WUS configuration in NES cell shall not be an always-on signaling.</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AF386F">
        <w:trPr>
          <w:trHeight w:val="1440"/>
        </w:trPr>
        <w:tc>
          <w:tcPr>
            <w:tcW w:w="1785" w:type="dxa"/>
            <w:vAlign w:val="center"/>
          </w:tcPr>
          <w:p w14:paraId="05909A72" w14:textId="06E263EE" w:rsidR="001E6E6D" w:rsidRDefault="001E6E6D" w:rsidP="00A005AD">
            <w:pPr>
              <w:textAlignment w:val="center"/>
              <w:rPr>
                <w:rFonts w:eastAsia="DengXian"/>
                <w:lang w:eastAsia="zh-CN"/>
              </w:rPr>
            </w:pPr>
            <w:r>
              <w:rPr>
                <w:rFonts w:eastAsia="DengXian"/>
                <w:lang w:eastAsia="zh-CN"/>
              </w:rPr>
              <w:lastRenderedPageBreak/>
              <w:t>X</w:t>
            </w:r>
            <w:r>
              <w:rPr>
                <w:rFonts w:eastAsia="DengXian" w:hint="eastAsia"/>
                <w:lang w:eastAsia="zh-CN"/>
              </w:rPr>
              <w:t>iaomi</w:t>
            </w:r>
          </w:p>
        </w:tc>
        <w:tc>
          <w:tcPr>
            <w:tcW w:w="7826" w:type="dxa"/>
            <w:vAlign w:val="center"/>
          </w:tcPr>
          <w:p w14:paraId="7A5A3180" w14:textId="144721A8" w:rsidR="001E6E6D" w:rsidRDefault="001E6E6D" w:rsidP="00331577">
            <w:pPr>
              <w:textAlignment w:val="center"/>
              <w:rPr>
                <w:rFonts w:eastAsia="DengXian"/>
                <w:lang w:eastAsia="zh-CN"/>
              </w:rPr>
            </w:pPr>
            <w:r>
              <w:rPr>
                <w:rFonts w:eastAsia="DengXian" w:hint="eastAsia"/>
                <w:lang w:eastAsia="zh-CN"/>
              </w:rPr>
              <w:t>W</w:t>
            </w:r>
            <w:r>
              <w:rPr>
                <w:rFonts w:eastAsia="DengXian"/>
                <w:lang w:eastAsia="zh-CN"/>
              </w:rPr>
              <w:t xml:space="preserve">e are supportive to the direction that only convert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DengXian" w:hint="eastAsia"/>
                <w:lang w:eastAsia="zh-CN"/>
              </w:rPr>
              <w:t>on</w:t>
            </w:r>
            <w:r w:rsidR="00BD5C06">
              <w:rPr>
                <w:rFonts w:eastAsia="DengXian"/>
                <w:lang w:eastAsia="zh-CN"/>
              </w:rPr>
              <w:t xml:space="preserve"> </w:t>
            </w:r>
            <w:r>
              <w:rPr>
                <w:rFonts w:eastAsia="DengXian"/>
                <w:lang w:eastAsia="zh-CN"/>
              </w:rPr>
              <w:t>OD-SIB1 is important.</w:t>
            </w:r>
          </w:p>
          <w:p w14:paraId="72B8596A" w14:textId="77777777" w:rsidR="001E6E6D" w:rsidRDefault="001E6E6D" w:rsidP="00331577">
            <w:pPr>
              <w:textAlignment w:val="center"/>
              <w:rPr>
                <w:rFonts w:eastAsia="DengXian"/>
                <w:lang w:eastAsia="zh-CN"/>
              </w:rPr>
            </w:pPr>
          </w:p>
          <w:p w14:paraId="31611B4F" w14:textId="77777777" w:rsidR="001E6E6D" w:rsidRDefault="001E6E6D" w:rsidP="00331577">
            <w:pPr>
              <w:textAlignment w:val="center"/>
              <w:rPr>
                <w:rFonts w:eastAsia="DengXian"/>
                <w:lang w:eastAsia="zh-CN"/>
              </w:rPr>
            </w:pPr>
            <w:r>
              <w:rPr>
                <w:rFonts w:eastAsia="DengXian" w:hint="eastAsia"/>
                <w:lang w:eastAsia="zh-CN"/>
              </w:rPr>
              <w:t>S</w:t>
            </w:r>
            <w:r>
              <w:rPr>
                <w:rFonts w:eastAsia="DengXian"/>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DengXian"/>
                <w:lang w:eastAsia="zh-CN"/>
              </w:rPr>
            </w:pPr>
          </w:p>
          <w:p w14:paraId="02F0C57B" w14:textId="77777777" w:rsidR="001E6E6D" w:rsidRDefault="001E6E6D" w:rsidP="00331577">
            <w:pPr>
              <w:textAlignment w:val="center"/>
              <w:rPr>
                <w:rFonts w:eastAsia="DengXian"/>
                <w:lang w:eastAsia="zh-CN"/>
              </w:rPr>
            </w:pPr>
            <w:r>
              <w:rPr>
                <w:rFonts w:eastAsia="DengXian" w:hint="eastAsia"/>
                <w:lang w:eastAsia="zh-CN"/>
              </w:rPr>
              <w:t>R</w:t>
            </w:r>
            <w:r>
              <w:rPr>
                <w:rFonts w:eastAsia="DengXian"/>
                <w:lang w:eastAsia="zh-CN"/>
              </w:rPr>
              <w:t>egarding to the second bullet, we respect the intention to minimize the impacts on legacy UE. However, we agree with the other companies that it should be left to WG-level discussion.</w:t>
            </w:r>
          </w:p>
          <w:p w14:paraId="1781A9E2" w14:textId="69D4A183" w:rsidR="001E6E6D" w:rsidRPr="001E6E6D" w:rsidRDefault="001E6E6D" w:rsidP="00331577">
            <w:pPr>
              <w:textAlignment w:val="center"/>
              <w:rPr>
                <w:rFonts w:eastAsia="DengXian"/>
                <w:lang w:eastAsia="zh-CN"/>
              </w:rPr>
            </w:pPr>
          </w:p>
        </w:tc>
      </w:tr>
      <w:tr w:rsidR="003623D6" w14:paraId="2FEEB0C6" w14:textId="77777777" w:rsidTr="00AF386F">
        <w:trPr>
          <w:trHeight w:val="1440"/>
        </w:trPr>
        <w:tc>
          <w:tcPr>
            <w:tcW w:w="1785" w:type="dxa"/>
            <w:vAlign w:val="center"/>
          </w:tcPr>
          <w:p w14:paraId="18EB5DB9" w14:textId="2BB56D9D" w:rsidR="003623D6" w:rsidRDefault="003623D6" w:rsidP="003623D6">
            <w:pPr>
              <w:textAlignment w:val="center"/>
              <w:rPr>
                <w:rFonts w:eastAsia="DengXian"/>
                <w:lang w:eastAsia="zh-CN"/>
              </w:rPr>
            </w:pPr>
            <w:r>
              <w:rPr>
                <w:rFonts w:eastAsia="DengXian"/>
                <w:lang w:eastAsia="zh-CN"/>
              </w:rPr>
              <w:t>Apple</w:t>
            </w:r>
          </w:p>
        </w:tc>
        <w:tc>
          <w:tcPr>
            <w:tcW w:w="7826" w:type="dxa"/>
            <w:vAlign w:val="center"/>
          </w:tcPr>
          <w:p w14:paraId="146FA211" w14:textId="77777777" w:rsidR="003623D6" w:rsidRDefault="003623D6" w:rsidP="003623D6">
            <w:pPr>
              <w:textAlignment w:val="center"/>
            </w:pPr>
            <w:r>
              <w:t>Given the limited gain of OD-SIB1 due to always-on SSB with 20 ms periodicity, our view is that the normative work should be limited with minimal specification impact to fit in current TU budget. Therefore, we agree moderator’s proposals to normative work on Case 2 only and are fine to clarify “</w:t>
            </w:r>
            <w:r w:rsidRPr="00055D04">
              <w:rPr>
                <w:i/>
                <w:iCs/>
              </w:rPr>
              <w:t>NES cell provides WUS configuration for other NES cells to the UEs camping on the NES cell</w:t>
            </w:r>
            <w:r>
              <w:t>”.</w:t>
            </w:r>
          </w:p>
          <w:p w14:paraId="19A930CF" w14:textId="77777777" w:rsidR="003623D6" w:rsidRDefault="003623D6" w:rsidP="003623D6">
            <w:pPr>
              <w:textAlignment w:val="center"/>
            </w:pPr>
          </w:p>
          <w:p w14:paraId="18773310" w14:textId="0AC22562" w:rsidR="003623D6" w:rsidRDefault="003623D6" w:rsidP="003623D6">
            <w:pPr>
              <w:textAlignment w:val="center"/>
              <w:rPr>
                <w:rFonts w:eastAsia="DengXian" w:hint="eastAsia"/>
                <w:lang w:eastAsia="zh-CN"/>
              </w:rPr>
            </w:pPr>
            <w:r>
              <w:t>We understand the modified Case 2 by DOCOMO (</w:t>
            </w:r>
            <w:r w:rsidRPr="00F220EE">
              <w:rPr>
                <w:i/>
                <w:iCs/>
              </w:rPr>
              <w:t xml:space="preserve">NES cell provides WUS configuration for </w:t>
            </w:r>
            <w:r w:rsidRPr="00F220EE">
              <w:rPr>
                <w:rFonts w:hint="eastAsia"/>
                <w:i/>
                <w:iCs/>
              </w:rPr>
              <w:t xml:space="preserve">NES cell itself </w:t>
            </w:r>
            <w:r w:rsidRPr="00F220EE">
              <w:rPr>
                <w:i/>
                <w:iCs/>
              </w:rPr>
              <w:t>to the UEs camping on the NES cell</w:t>
            </w:r>
            <w:r>
              <w:t xml:space="preserve">) is the same as Case 1. Potential solution provided in </w:t>
            </w:r>
            <w:r w:rsidRPr="00F220EE">
              <w:rPr>
                <w:lang w:val="de-DE"/>
              </w:rPr>
              <w:t>R1-2407103</w:t>
            </w:r>
            <w:r>
              <w:rPr>
                <w:lang w:val="de-DE"/>
              </w:rPr>
              <w:t xml:space="preserve"> for Case 1 was that WUS configuration on NES cell is transmitted only on SSB slot where majority cases would be the cases of FDM between SSB and WUS configuration. This requires additional step to transmit OD-SIB1 depending on WUS reception at gNB. We think the same goal can be achieved by implementation based solution of FDM between SSB and SIB-1 (not OD-SIB1) in the perspective of network energy saving.</w:t>
            </w:r>
          </w:p>
        </w:tc>
      </w:tr>
    </w:tbl>
    <w:p w14:paraId="427B8004" w14:textId="77777777" w:rsidR="00AF386F" w:rsidRDefault="00AF386F" w:rsidP="00AF386F"/>
    <w:p w14:paraId="13265F00" w14:textId="5CF6FF11" w:rsidR="00FF2414" w:rsidRDefault="00FF2414" w:rsidP="00FF2414">
      <w:pPr>
        <w:pStyle w:val="Heading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Heading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TableGrid"/>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lastRenderedPageBreak/>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w:t>
            </w:r>
            <w:r w:rsidRPr="004D4D3D">
              <w:rPr>
                <w:lang w:val="en-US"/>
              </w:rPr>
              <w:lastRenderedPageBreak/>
              <w:t>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lastRenderedPageBreak/>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r w:rsidRPr="004D4D3D">
              <w:rPr>
                <w:lang w:val="en-US"/>
              </w:rPr>
              <w:t xml:space="preserve">nUE obtains the UL WUS configuration from Cell A </w:t>
            </w:r>
          </w:p>
          <w:p w14:paraId="6F5885B6" w14:textId="77777777" w:rsidR="004D4D3D" w:rsidRPr="004D4D3D" w:rsidRDefault="004D4D3D" w:rsidP="004D4D3D">
            <w:pPr>
              <w:rPr>
                <w:lang w:val="en-US"/>
              </w:rPr>
            </w:pPr>
            <w:r w:rsidRPr="004D4D3D">
              <w:rPr>
                <w:lang w:val="en-US"/>
              </w:rPr>
              <w:t>nUE transmits UL WUS to NES Cell</w:t>
            </w:r>
          </w:p>
          <w:p w14:paraId="320E985F" w14:textId="77777777" w:rsidR="004D4D3D" w:rsidRPr="004D4D3D" w:rsidRDefault="004D4D3D" w:rsidP="004D4D3D">
            <w:pPr>
              <w:rPr>
                <w:lang w:val="en-US"/>
              </w:rPr>
            </w:pPr>
            <w:r w:rsidRPr="004D4D3D">
              <w:rPr>
                <w:lang w:val="en-US"/>
              </w:rPr>
              <w:t xml:space="preserve">nUE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4F8D" w14:textId="77777777" w:rsidR="00474F41" w:rsidRDefault="00474F41">
      <w:r>
        <w:separator/>
      </w:r>
    </w:p>
  </w:endnote>
  <w:endnote w:type="continuationSeparator" w:id="0">
    <w:p w14:paraId="1451185E" w14:textId="77777777" w:rsidR="00474F41" w:rsidRDefault="0047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6963F" w14:textId="77777777" w:rsidR="00474F41" w:rsidRDefault="00474F41">
      <w:r>
        <w:separator/>
      </w:r>
    </w:p>
  </w:footnote>
  <w:footnote w:type="continuationSeparator" w:id="0">
    <w:p w14:paraId="62BD33F0" w14:textId="77777777" w:rsidR="00474F41" w:rsidRDefault="0047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88415">
    <w:abstractNumId w:val="10"/>
  </w:num>
  <w:num w:numId="2" w16cid:durableId="7608062">
    <w:abstractNumId w:val="1"/>
  </w:num>
  <w:num w:numId="3" w16cid:durableId="336730287">
    <w:abstractNumId w:val="14"/>
  </w:num>
  <w:num w:numId="4" w16cid:durableId="772289366">
    <w:abstractNumId w:val="22"/>
  </w:num>
  <w:num w:numId="5" w16cid:durableId="1988894283">
    <w:abstractNumId w:val="21"/>
  </w:num>
  <w:num w:numId="6" w16cid:durableId="337393324">
    <w:abstractNumId w:val="18"/>
  </w:num>
  <w:num w:numId="7" w16cid:durableId="261689884">
    <w:abstractNumId w:val="2"/>
  </w:num>
  <w:num w:numId="8" w16cid:durableId="1072654563">
    <w:abstractNumId w:val="23"/>
  </w:num>
  <w:num w:numId="9" w16cid:durableId="413206058">
    <w:abstractNumId w:val="7"/>
  </w:num>
  <w:num w:numId="10" w16cid:durableId="740443434">
    <w:abstractNumId w:val="19"/>
  </w:num>
  <w:num w:numId="11" w16cid:durableId="110829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657282">
    <w:abstractNumId w:val="5"/>
  </w:num>
  <w:num w:numId="13" w16cid:durableId="1693340612">
    <w:abstractNumId w:val="20"/>
  </w:num>
  <w:num w:numId="14" w16cid:durableId="1353923175">
    <w:abstractNumId w:val="3"/>
  </w:num>
  <w:num w:numId="15" w16cid:durableId="1977175355">
    <w:abstractNumId w:val="13"/>
  </w:num>
  <w:num w:numId="16" w16cid:durableId="122188552">
    <w:abstractNumId w:val="11"/>
  </w:num>
  <w:num w:numId="17" w16cid:durableId="1568761206">
    <w:abstractNumId w:val="6"/>
  </w:num>
  <w:num w:numId="18" w16cid:durableId="440496157">
    <w:abstractNumId w:val="9"/>
  </w:num>
  <w:num w:numId="19" w16cid:durableId="1762871254">
    <w:abstractNumId w:val="8"/>
  </w:num>
  <w:num w:numId="20" w16cid:durableId="1213541192">
    <w:abstractNumId w:val="12"/>
  </w:num>
  <w:num w:numId="21" w16cid:durableId="339049527">
    <w:abstractNumId w:val="16"/>
  </w:num>
  <w:num w:numId="22" w16cid:durableId="29637733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777558602">
    <w:abstractNumId w:val="4"/>
  </w:num>
  <w:num w:numId="24" w16cid:durableId="897473315">
    <w:abstractNumId w:val="17"/>
  </w:num>
  <w:num w:numId="25" w16cid:durableId="103272484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6E6D"/>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41D23"/>
    <w:rsid w:val="00343017"/>
    <w:rsid w:val="00343A55"/>
    <w:rsid w:val="00345EEA"/>
    <w:rsid w:val="00347762"/>
    <w:rsid w:val="00347AF7"/>
    <w:rsid w:val="003521DB"/>
    <w:rsid w:val="003544C1"/>
    <w:rsid w:val="00357973"/>
    <w:rsid w:val="00360760"/>
    <w:rsid w:val="0036084B"/>
    <w:rsid w:val="003608B2"/>
    <w:rsid w:val="00361E6E"/>
    <w:rsid w:val="003623D6"/>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4F41"/>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976"/>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2BDC"/>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4345"/>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2380</Words>
  <Characters>13572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Apple</cp:lastModifiedBy>
  <cp:revision>3</cp:revision>
  <dcterms:created xsi:type="dcterms:W3CDTF">2024-09-09T21:52:00Z</dcterms:created>
  <dcterms:modified xsi:type="dcterms:W3CDTF">2024-09-09T21:53:00Z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ies>
</file>