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b"/>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af6"/>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af6"/>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af6"/>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af6"/>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af6"/>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vivo, Samsung, Spreadtrum,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af6"/>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af6"/>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af6"/>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af6"/>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af6"/>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b"/>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af6"/>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2507" w:type="dxa"/>
            <w:vAlign w:val="center"/>
          </w:tcPr>
          <w:p w14:paraId="2B04C39C" w14:textId="47EB8F1E"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af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af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af6"/>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b"/>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“specify(ing)”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f2"/>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f2"/>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等线"/>
                <w:lang w:eastAsia="zh-CN"/>
              </w:rPr>
            </w:pPr>
            <w:r>
              <w:rPr>
                <w:rFonts w:eastAsia="等线" w:hint="eastAsia"/>
                <w:lang w:eastAsia="zh-CN"/>
              </w:rPr>
              <w:t>We support the following objectives</w:t>
            </w:r>
            <w:r w:rsidR="006F4AD5">
              <w:rPr>
                <w:rFonts w:eastAsia="等线" w:hint="eastAsia"/>
                <w:lang w:eastAsia="zh-CN"/>
              </w:rPr>
              <w:t xml:space="preserve"> in </w:t>
            </w:r>
            <w:r w:rsidR="006F4AD5" w:rsidRPr="00C516B0">
              <w:rPr>
                <w:rFonts w:cs="Times"/>
                <w:b/>
                <w:bCs/>
                <w:szCs w:val="20"/>
              </w:rPr>
              <w:t>RP-241774</w:t>
            </w:r>
            <w:r>
              <w:rPr>
                <w:rFonts w:eastAsia="等线" w:hint="eastAsia"/>
                <w:lang w:eastAsia="zh-CN"/>
              </w:rPr>
              <w:t>:</w:t>
            </w:r>
          </w:p>
          <w:p w14:paraId="0F76F22C"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2TA without CoresetPoolIdx association for asymmetric DL sTRP/UL mTRP</w:t>
            </w:r>
          </w:p>
          <w:p w14:paraId="539B2728"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3T6R SRS antenna switching </w:t>
            </w:r>
          </w:p>
          <w:p w14:paraId="587B8471" w14:textId="51365D24" w:rsidR="00D21038" w:rsidRPr="00D21038" w:rsidRDefault="00D21038" w:rsidP="005C3212">
            <w:pPr>
              <w:textAlignment w:val="center"/>
              <w:rPr>
                <w:rFonts w:eastAsia="等线"/>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等线"/>
                <w:lang w:val="en-US" w:eastAsia="zh-CN"/>
              </w:rPr>
            </w:pPr>
            <w:r w:rsidRPr="00841357">
              <w:rPr>
                <w:rFonts w:eastAsia="等线"/>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等线"/>
                <w:lang w:val="en-US" w:eastAsia="zh-CN"/>
              </w:rPr>
              <w:t>UE capability for non-codebook-based UL transmission</w:t>
            </w:r>
          </w:p>
        </w:tc>
      </w:tr>
      <w:tr w:rsidR="003E3B04" w14:paraId="63AB67B2" w14:textId="77777777" w:rsidTr="00470B85">
        <w:trPr>
          <w:trHeight w:val="1440"/>
        </w:trPr>
        <w:tc>
          <w:tcPr>
            <w:tcW w:w="1785" w:type="dxa"/>
            <w:vAlign w:val="center"/>
          </w:tcPr>
          <w:p w14:paraId="4935A674" w14:textId="2A470E23" w:rsidR="003E3B04" w:rsidRPr="003E3B04" w:rsidRDefault="003E3B04" w:rsidP="005C3212">
            <w:pPr>
              <w:textAlignment w:val="center"/>
              <w:rPr>
                <w:rFonts w:eastAsia="等线" w:hint="eastAsia"/>
                <w:lang w:eastAsia="zh-CN"/>
              </w:rPr>
            </w:pPr>
            <w:r>
              <w:rPr>
                <w:rFonts w:eastAsia="等线" w:hint="eastAsia"/>
                <w:lang w:eastAsia="zh-CN"/>
              </w:rPr>
              <w:t>S</w:t>
            </w:r>
            <w:r>
              <w:rPr>
                <w:rFonts w:eastAsia="等线"/>
                <w:lang w:eastAsia="zh-CN"/>
              </w:rPr>
              <w:t>preadtrum</w:t>
            </w:r>
          </w:p>
        </w:tc>
        <w:tc>
          <w:tcPr>
            <w:tcW w:w="7826" w:type="dxa"/>
            <w:vAlign w:val="center"/>
          </w:tcPr>
          <w:p w14:paraId="2A3F9106" w14:textId="2AD6FA7E" w:rsidR="003E3B04" w:rsidRPr="003E3B04" w:rsidRDefault="003E3B04" w:rsidP="005C3212">
            <w:pPr>
              <w:textAlignment w:val="center"/>
              <w:rPr>
                <w:rFonts w:eastAsia="等线" w:hint="eastAsia"/>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等线"/>
                <w:lang w:eastAsia="zh-CN"/>
              </w:rPr>
              <w:t xml:space="preserve">), we also support proposal B and proposal C, considering the overall relatively small TU needed for all WGs and supportive by a lot of operators. </w:t>
            </w:r>
            <w:bookmarkStart w:id="5" w:name="_GoBack"/>
            <w:bookmarkEnd w:id="5"/>
          </w:p>
        </w:tc>
      </w:tr>
    </w:tbl>
    <w:p w14:paraId="2C5DAF13" w14:textId="4136B1F7" w:rsidR="003E3B04" w:rsidRPr="003E3B04" w:rsidRDefault="003E3B04" w:rsidP="00AF386F">
      <w:pPr>
        <w:rPr>
          <w:rFonts w:eastAsia="等线" w:hint="eastAsia"/>
          <w:lang w:eastAsia="zh-CN"/>
        </w:rPr>
      </w:pPr>
    </w:p>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3FFA" w14:textId="77777777" w:rsidR="00E65319" w:rsidRDefault="00E65319">
      <w:r>
        <w:separator/>
      </w:r>
    </w:p>
  </w:endnote>
  <w:endnote w:type="continuationSeparator" w:id="0">
    <w:p w14:paraId="71E6EB3B" w14:textId="77777777" w:rsidR="00E65319" w:rsidRDefault="00E6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9A5D" w14:textId="77777777" w:rsidR="00E65319" w:rsidRDefault="00E65319">
      <w:r>
        <w:separator/>
      </w:r>
    </w:p>
  </w:footnote>
  <w:footnote w:type="continuationSeparator" w:id="0">
    <w:p w14:paraId="714628A2" w14:textId="77777777" w:rsidR="00E65319" w:rsidRDefault="00E6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6"/>
  </w:num>
  <w:num w:numId="5">
    <w:abstractNumId w:val="15"/>
  </w:num>
  <w:num w:numId="6">
    <w:abstractNumId w:val="12"/>
  </w:num>
  <w:num w:numId="7">
    <w:abstractNumId w:val="2"/>
  </w:num>
  <w:num w:numId="8">
    <w:abstractNumId w:val="17"/>
  </w:num>
  <w:num w:numId="9">
    <w:abstractNumId w:val="5"/>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3"/>
  </w:num>
  <w:num w:numId="15">
    <w:abstractNumId w:val="7"/>
  </w:num>
  <w:num w:numId="16">
    <w:abstractNumId w:val="10"/>
  </w:num>
  <w:num w:numId="17">
    <w:abstractNumId w:val="1"/>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3B04"/>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5319"/>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MS Mincho" w:hAnsi="Times New Roman"/>
      <w:sz w:val="24"/>
      <w:lang w:eastAsia="ja-JP"/>
    </w:rPr>
  </w:style>
  <w:style w:type="paragraph" w:styleId="61">
    <w:name w:val="toc 6"/>
    <w:basedOn w:val="a0"/>
    <w:next w:val="a0"/>
    <w:autoRedefine/>
    <w:uiPriority w:val="39"/>
    <w:rsid w:val="00FA7C6E"/>
    <w:pPr>
      <w:ind w:left="1200"/>
    </w:pPr>
    <w:rPr>
      <w:rFonts w:ascii="Times New Roman" w:eastAsia="MS Mincho" w:hAnsi="Times New Roman"/>
      <w:sz w:val="24"/>
      <w:lang w:eastAsia="ja-JP"/>
    </w:rPr>
  </w:style>
  <w:style w:type="paragraph" w:styleId="71">
    <w:name w:val="toc 7"/>
    <w:basedOn w:val="a0"/>
    <w:next w:val="a0"/>
    <w:autoRedefine/>
    <w:uiPriority w:val="39"/>
    <w:rsid w:val="00FA7C6E"/>
    <w:rPr>
      <w:rFonts w:ascii="Times New Roman" w:eastAsia="MS Mincho" w:hAnsi="Times New Roman"/>
      <w:sz w:val="24"/>
      <w:lang w:eastAsia="ja-JP"/>
    </w:rPr>
  </w:style>
  <w:style w:type="paragraph" w:styleId="81">
    <w:name w:val="toc 8"/>
    <w:basedOn w:val="a0"/>
    <w:next w:val="a0"/>
    <w:autoRedefine/>
    <w:uiPriority w:val="39"/>
    <w:rsid w:val="00FA7C6E"/>
    <w:pPr>
      <w:ind w:left="1680"/>
    </w:pPr>
    <w:rPr>
      <w:rFonts w:ascii="Times New Roman" w:eastAsia="MS Mincho" w:hAnsi="Times New Roman"/>
      <w:sz w:val="24"/>
      <w:lang w:eastAsia="ja-JP"/>
    </w:rPr>
  </w:style>
  <w:style w:type="paragraph" w:styleId="91">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f3"/>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FA7C6E"/>
    <w:pPr>
      <w:tabs>
        <w:tab w:val="num" w:pos="1152"/>
      </w:tabs>
    </w:pPr>
    <w:rPr>
      <w:rFonts w:eastAsia="MS PGothic" w:cs="Times"/>
      <w:szCs w:val="20"/>
      <w:lang w:val="en-US" w:eastAsia="ja-JP"/>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MS PGothic" w:cs="Times"/>
      <w:szCs w:val="20"/>
      <w:lang w:val="en-US" w:eastAsia="ja-JP"/>
    </w:rPr>
  </w:style>
  <w:style w:type="character" w:customStyle="1" w:styleId="aff3">
    <w:name w:val="列出段落 字符"/>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Bullet list 字符"/>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698-FF90-4891-AB6C-0071C2D2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1484</Words>
  <Characters>8462</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9927</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赵思聪 (Sicong Zhao)</cp:lastModifiedBy>
  <cp:revision>8</cp:revision>
  <dcterms:created xsi:type="dcterms:W3CDTF">2024-09-10T01:33:00Z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