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tdoc, RP231886 which proposed to hold this work until RAN#105 (Sept 2024).  In this meeting, there was also a tdoc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/HiSilicon</w:t>
            </w:r>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ListParagraph"/>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ListParagraph"/>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r>
              <w:rPr>
                <w:lang w:val="en-US"/>
              </w:rPr>
              <w:t>Hispasat</w:t>
            </w:r>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r w:rsidR="007134D2" w14:paraId="525FCE01" w14:textId="77777777" w:rsidTr="00A47300">
        <w:tc>
          <w:tcPr>
            <w:tcW w:w="1661" w:type="dxa"/>
          </w:tcPr>
          <w:p w14:paraId="35D19568" w14:textId="54650DD2" w:rsidR="007134D2" w:rsidRDefault="007134D2" w:rsidP="007134D2">
            <w:pPr>
              <w:rPr>
                <w:lang w:val="en-US"/>
              </w:rPr>
            </w:pPr>
            <w:r>
              <w:rPr>
                <w:lang w:val="en-US"/>
              </w:rPr>
              <w:t>Eutelsat Group</w:t>
            </w:r>
          </w:p>
        </w:tc>
        <w:tc>
          <w:tcPr>
            <w:tcW w:w="7960" w:type="dxa"/>
          </w:tcPr>
          <w:p w14:paraId="445D8262" w14:textId="43D00CED" w:rsidR="007134D2" w:rsidRDefault="007134D2" w:rsidP="007134D2">
            <w:pPr>
              <w:rPr>
                <w:lang w:val="en-US"/>
              </w:rPr>
            </w:pPr>
            <w:r>
              <w:rPr>
                <w:lang w:val="en-US" w:eastAsia="zh-CN"/>
              </w:rPr>
              <w:t>Due to the frequency difference from Ka, some additional co-existence work is necessary. This can proceed in phase 1 for all regions excluding the US.</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/HiSilicon</w:t>
            </w:r>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GHz .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r>
              <w:rPr>
                <w:lang w:val="en-US"/>
              </w:rPr>
              <w:t>Hispasat</w:t>
            </w:r>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r w:rsidR="00B4258A" w14:paraId="3B2E1683" w14:textId="77777777" w:rsidTr="00F513CD">
        <w:tc>
          <w:tcPr>
            <w:tcW w:w="1661" w:type="dxa"/>
          </w:tcPr>
          <w:p w14:paraId="03FAF2B1" w14:textId="123E0B91" w:rsidR="00B4258A" w:rsidRDefault="00B4258A" w:rsidP="00B4258A">
            <w:pPr>
              <w:rPr>
                <w:lang w:val="en-US"/>
              </w:rPr>
            </w:pPr>
            <w:r>
              <w:rPr>
                <w:lang w:val="en-US"/>
              </w:rPr>
              <w:t>Eutelsat Group</w:t>
            </w:r>
          </w:p>
        </w:tc>
        <w:tc>
          <w:tcPr>
            <w:tcW w:w="7960" w:type="dxa"/>
          </w:tcPr>
          <w:p w14:paraId="4D3D13D1" w14:textId="714E7DC8" w:rsidR="00B4258A" w:rsidRDefault="00B4258A" w:rsidP="00B4258A">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/HiSilicon</w:t>
            </w:r>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In offline discussions with Intelsat we heard that the new channel bandwidth of interest is 36 MHz.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used/re-used ,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CHBW/SCS.</w:t>
            </w:r>
            <w:r>
              <w:rPr>
                <w:rFonts w:hint="eastAsia"/>
                <w:lang w:val="en-US" w:eastAsia="zh-CN"/>
              </w:rPr>
              <w:t>sets</w:t>
            </w:r>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ListParagraph"/>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ListParagraph"/>
              <w:numPr>
                <w:ilvl w:val="0"/>
                <w:numId w:val="19"/>
              </w:numPr>
              <w:rPr>
                <w:lang w:val="en-US"/>
              </w:rPr>
            </w:pPr>
            <w:r>
              <w:rPr>
                <w:rFonts w:hint="eastAsia"/>
                <w:lang w:val="en-US" w:eastAsia="zh-CN"/>
              </w:rPr>
              <w:lastRenderedPageBreak/>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lastRenderedPageBreak/>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The WID shall consider in priority the most relevant channel bandwidth, in any case shall be multiple of 5 MHz.</w:t>
            </w:r>
          </w:p>
        </w:tc>
      </w:tr>
      <w:tr w:rsidR="001E16F1" w14:paraId="14A08464" w14:textId="77777777" w:rsidTr="00072B25">
        <w:tc>
          <w:tcPr>
            <w:tcW w:w="1661" w:type="dxa"/>
          </w:tcPr>
          <w:p w14:paraId="7C0D2A65" w14:textId="1B3DEF8C" w:rsidR="001E16F1" w:rsidRDefault="001E16F1" w:rsidP="001E16F1">
            <w:pPr>
              <w:rPr>
                <w:lang w:val="en-US"/>
              </w:rPr>
            </w:pPr>
            <w:r>
              <w:rPr>
                <w:lang w:val="en-US"/>
              </w:rPr>
              <w:t>Eutelsat Group</w:t>
            </w:r>
          </w:p>
        </w:tc>
        <w:tc>
          <w:tcPr>
            <w:tcW w:w="7960" w:type="dxa"/>
          </w:tcPr>
          <w:p w14:paraId="20205D1A" w14:textId="321B99C3" w:rsidR="001E16F1" w:rsidRDefault="001E16F1" w:rsidP="001E16F1">
            <w:pPr>
              <w:rPr>
                <w:lang w:val="en-US"/>
              </w:rPr>
            </w:pPr>
            <w:r>
              <w:rPr>
                <w:lang w:val="en-US"/>
              </w:rPr>
              <w:t>The key legacy satellite bandwidths are 250 MHz for DL and 125 MHz for UL. These can be implemented using 120 kHz SCS for 250 MHz and 60 KHz SCS for 125 MHz. Existing  SSB and PRACH will be used so the work can be completd within RAN4 without RAN1 involvement. These bandwidths are fundamental to the satellite industry and so considered essential to the initial specification of the Ku band. In addition, there are transponders using DVBS that use 36 MHz and 72 MHz. The 35 MHz NR bandwidth may be sufficient here.</w:t>
            </w: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half duplex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/HiSilicon</w:t>
            </w:r>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lastRenderedPageBreak/>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410736" w14:paraId="71DD0032" w14:textId="77777777" w:rsidTr="00D524EF">
        <w:tc>
          <w:tcPr>
            <w:tcW w:w="1661" w:type="dxa"/>
          </w:tcPr>
          <w:p w14:paraId="7D676356" w14:textId="68F23DA3" w:rsidR="00410736" w:rsidRDefault="00410736" w:rsidP="00410736">
            <w:pPr>
              <w:rPr>
                <w:lang w:val="en-US"/>
              </w:rPr>
            </w:pPr>
            <w:r>
              <w:rPr>
                <w:lang w:val="en-US"/>
              </w:rPr>
              <w:t>Eutelsat Group</w:t>
            </w:r>
          </w:p>
        </w:tc>
        <w:tc>
          <w:tcPr>
            <w:tcW w:w="7960" w:type="dxa"/>
          </w:tcPr>
          <w:p w14:paraId="025AD654" w14:textId="3033766D" w:rsidR="00410736" w:rsidRDefault="00410736" w:rsidP="00410736">
            <w:pPr>
              <w:rPr>
                <w:lang w:val="en-US"/>
              </w:rPr>
            </w:pPr>
            <w:r>
              <w:rPr>
                <w:lang w:val="en-US"/>
              </w:rPr>
              <w:t>HD-FDD can be used for interference mitigation for uplink bnad A or more generally for lower cost terminals. For Eutelsat current and next generation, HD-FDD would only be required at the VSAT. The current system uses the entire downlink and part of uplink band B (14.0 – 14.5 GHz).</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Its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/HiSilicon</w:t>
            </w:r>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/HiSilicon</w:t>
            </w:r>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/HiSilicon</w:t>
            </w:r>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to  follow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lastRenderedPageBreak/>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2800D4" w14:paraId="53D3EA07" w14:textId="77777777" w:rsidTr="001B09E3">
        <w:tc>
          <w:tcPr>
            <w:tcW w:w="1661" w:type="dxa"/>
          </w:tcPr>
          <w:p w14:paraId="701720F6" w14:textId="4FBB1980" w:rsidR="002800D4" w:rsidRDefault="002800D4" w:rsidP="002800D4">
            <w:pPr>
              <w:rPr>
                <w:lang w:val="en-US"/>
              </w:rPr>
            </w:pPr>
            <w:r>
              <w:rPr>
                <w:lang w:val="en-US"/>
              </w:rPr>
              <w:t>Eutelsat Gr</w:t>
            </w:r>
            <w:r>
              <w:rPr>
                <w:lang w:val="en-US"/>
              </w:rPr>
              <w:t>o</w:t>
            </w:r>
            <w:r>
              <w:rPr>
                <w:lang w:val="en-US"/>
              </w:rPr>
              <w:t>up</w:t>
            </w:r>
          </w:p>
        </w:tc>
        <w:tc>
          <w:tcPr>
            <w:tcW w:w="7960" w:type="dxa"/>
          </w:tcPr>
          <w:p w14:paraId="425862D2" w14:textId="43F9D144" w:rsidR="002800D4" w:rsidRDefault="002800D4" w:rsidP="002800D4">
            <w:pPr>
              <w:rPr>
                <w:lang w:val="en-US"/>
              </w:rPr>
            </w:pPr>
            <w:r>
              <w:rPr>
                <w:lang w:val="en-US"/>
              </w:rPr>
              <w:t>The intention is to extend NTN FR2 down to 10.7 GHz which will not impact TN definitions. The existing Ka band work on RRM can be re-used. Mobiel VSAT to non GSO wil be brought forward in December 2024. Clarifications [roposed by Huawei/HiSilicon above are acceptable.</w:t>
            </w: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077C8" w14:textId="77777777" w:rsidR="00A72BA2" w:rsidRDefault="00A72BA2">
      <w:r>
        <w:separator/>
      </w:r>
    </w:p>
  </w:endnote>
  <w:endnote w:type="continuationSeparator" w:id="0">
    <w:p w14:paraId="3E429F1D" w14:textId="77777777" w:rsidR="00A72BA2" w:rsidRDefault="00A7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624C" w14:textId="77777777" w:rsidR="00A72BA2" w:rsidRDefault="00A72BA2">
      <w:r>
        <w:separator/>
      </w:r>
    </w:p>
  </w:footnote>
  <w:footnote w:type="continuationSeparator" w:id="0">
    <w:p w14:paraId="138687C0" w14:textId="77777777" w:rsidR="00A72BA2" w:rsidRDefault="00A7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6389166">
    <w:abstractNumId w:val="6"/>
  </w:num>
  <w:num w:numId="2" w16cid:durableId="287783012">
    <w:abstractNumId w:val="10"/>
  </w:num>
  <w:num w:numId="3" w16cid:durableId="1196965362">
    <w:abstractNumId w:val="12"/>
  </w:num>
  <w:num w:numId="4" w16cid:durableId="1709140060">
    <w:abstractNumId w:val="17"/>
  </w:num>
  <w:num w:numId="5" w16cid:durableId="713889862">
    <w:abstractNumId w:val="8"/>
  </w:num>
  <w:num w:numId="6" w16cid:durableId="588925561">
    <w:abstractNumId w:val="3"/>
  </w:num>
  <w:num w:numId="7" w16cid:durableId="695694574">
    <w:abstractNumId w:val="0"/>
  </w:num>
  <w:num w:numId="8" w16cid:durableId="1508253223">
    <w:abstractNumId w:val="11"/>
  </w:num>
  <w:num w:numId="9" w16cid:durableId="1524175572">
    <w:abstractNumId w:val="4"/>
  </w:num>
  <w:num w:numId="10" w16cid:durableId="1447964653">
    <w:abstractNumId w:val="7"/>
  </w:num>
  <w:num w:numId="11" w16cid:durableId="1522084998">
    <w:abstractNumId w:val="18"/>
  </w:num>
  <w:num w:numId="12" w16cid:durableId="434716234">
    <w:abstractNumId w:val="2"/>
  </w:num>
  <w:num w:numId="13" w16cid:durableId="1588029760">
    <w:abstractNumId w:val="15"/>
  </w:num>
  <w:num w:numId="14" w16cid:durableId="342703379">
    <w:abstractNumId w:val="1"/>
  </w:num>
  <w:num w:numId="15" w16cid:durableId="437338052">
    <w:abstractNumId w:val="16"/>
  </w:num>
  <w:num w:numId="16" w16cid:durableId="676998962">
    <w:abstractNumId w:val="14"/>
  </w:num>
  <w:num w:numId="17" w16cid:durableId="931939233">
    <w:abstractNumId w:val="5"/>
  </w:num>
  <w:num w:numId="18" w16cid:durableId="1197277513">
    <w:abstractNumId w:val="9"/>
  </w:num>
  <w:num w:numId="19" w16cid:durableId="15866506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8"/>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2">
    <w:name w:val="修订1"/>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3">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TotalTime>
  <Pages>7</Pages>
  <Words>2822</Words>
  <Characters>13980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Moray Rumney</cp:lastModifiedBy>
  <cp:revision>9</cp:revision>
  <cp:lastPrinted>2017-09-11T16:45:00Z</cp:lastPrinted>
  <dcterms:created xsi:type="dcterms:W3CDTF">2024-06-18T03:15:00Z</dcterms:created>
  <dcterms:modified xsi:type="dcterms:W3CDTF">2024-06-18T03:18:00Z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