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Charter Comm Inc</w:t>
            </w:r>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w:t>
            </w:r>
            <w:proofErr w:type="gramStart"/>
            <w:r>
              <w:rPr>
                <w:lang w:val="en-US"/>
              </w:rPr>
              <w:t>Charter</w:t>
            </w:r>
            <w:proofErr w:type="gramEnd"/>
            <w:r>
              <w:rPr>
                <w:lang w:val="en-US"/>
              </w:rPr>
              <w:t xml:space="preserve">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77777777" w:rsidR="00A47300" w:rsidRDefault="00A47300" w:rsidP="00A47300">
            <w:pPr>
              <w:rPr>
                <w:lang w:val="en-US"/>
              </w:rPr>
            </w:pPr>
          </w:p>
        </w:tc>
        <w:tc>
          <w:tcPr>
            <w:tcW w:w="7960" w:type="dxa"/>
          </w:tcPr>
          <w:p w14:paraId="4CACAF09" w14:textId="77777777" w:rsidR="00A47300" w:rsidRDefault="00A47300" w:rsidP="00A47300">
            <w:pPr>
              <w:rPr>
                <w:lang w:val="en-US"/>
              </w:rPr>
            </w:pPr>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The first phase of the work item would define requirements only for Region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fr-FR" w:eastAsia="fr-FR"/>
        </w:rPr>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fr-FR" w:eastAsia="fr-FR"/>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 xml:space="preserve">We would prefer that the work only include Region 1 and Region </w:t>
            </w:r>
            <w:proofErr w:type="gramStart"/>
            <w:r>
              <w:rPr>
                <w:lang w:val="en-US"/>
              </w:rPr>
              <w:t>3, and</w:t>
            </w:r>
            <w:proofErr w:type="gramEnd"/>
            <w:r>
              <w:rPr>
                <w:lang w:val="en-US"/>
              </w:rPr>
              <w:t xml:space="preserve"> wait for Region 2 until the regulatory situation is clear.</w:t>
            </w:r>
          </w:p>
        </w:tc>
      </w:tr>
      <w:tr w:rsidR="00F513CD" w14:paraId="6D1BA33E" w14:textId="77777777" w:rsidTr="00F513CD">
        <w:tc>
          <w:tcPr>
            <w:tcW w:w="1661" w:type="dxa"/>
          </w:tcPr>
          <w:p w14:paraId="163440EE" w14:textId="77777777" w:rsidR="00F513CD" w:rsidRDefault="00F513CD" w:rsidP="00F513CD">
            <w:pPr>
              <w:rPr>
                <w:lang w:val="en-US"/>
              </w:rPr>
            </w:pPr>
          </w:p>
        </w:tc>
        <w:tc>
          <w:tcPr>
            <w:tcW w:w="7960" w:type="dxa"/>
          </w:tcPr>
          <w:p w14:paraId="6DABA667" w14:textId="77777777" w:rsidR="00F513CD" w:rsidRDefault="00F513CD" w:rsidP="00F513CD">
            <w:pPr>
              <w:rPr>
                <w:lang w:val="en-US"/>
              </w:rPr>
            </w:pPr>
          </w:p>
        </w:tc>
      </w:tr>
      <w:tr w:rsidR="00F513CD" w14:paraId="47442A18" w14:textId="77777777" w:rsidTr="00F513CD">
        <w:tc>
          <w:tcPr>
            <w:tcW w:w="1661" w:type="dxa"/>
          </w:tcPr>
          <w:p w14:paraId="58527C08" w14:textId="77777777" w:rsidR="00F513CD" w:rsidRDefault="00F513CD" w:rsidP="00F513CD">
            <w:pPr>
              <w:rPr>
                <w:lang w:val="en-US"/>
              </w:rPr>
            </w:pPr>
          </w:p>
        </w:tc>
        <w:tc>
          <w:tcPr>
            <w:tcW w:w="7960" w:type="dxa"/>
          </w:tcPr>
          <w:p w14:paraId="6F6D1825" w14:textId="77777777" w:rsidR="00F513CD" w:rsidRDefault="00F513CD" w:rsidP="00F513CD">
            <w:pPr>
              <w:rPr>
                <w:lang w:val="en-US"/>
              </w:rPr>
            </w:pPr>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Heading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t xml:space="preserve">In offline discussions with </w:t>
            </w:r>
            <w:proofErr w:type="gramStart"/>
            <w:r w:rsidRPr="00F3659C">
              <w:rPr>
                <w:lang w:val="en-US"/>
              </w:rPr>
              <w:t>Intelsat</w:t>
            </w:r>
            <w:proofErr w:type="gramEnd"/>
            <w:r w:rsidRPr="00F3659C">
              <w:rPr>
                <w:lang w:val="en-US"/>
              </w:rPr>
              <w:t xml:space="preserve"> we heard that the new channel bandwidth of interest is 36 </w:t>
            </w:r>
            <w:proofErr w:type="spellStart"/>
            <w:r w:rsidRPr="00F3659C">
              <w:rPr>
                <w:lang w:val="en-US"/>
              </w:rPr>
              <w:t>MHz.</w:t>
            </w:r>
            <w:proofErr w:type="spellEnd"/>
            <w:r w:rsidRPr="00F3659C">
              <w:rPr>
                <w:lang w:val="en-US"/>
              </w:rPr>
              <w:t xml:space="preserve">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072B25" w14:paraId="6ABFEC4A" w14:textId="77777777" w:rsidTr="00072B25">
        <w:tc>
          <w:tcPr>
            <w:tcW w:w="1661" w:type="dxa"/>
          </w:tcPr>
          <w:p w14:paraId="166ADBA5" w14:textId="77777777" w:rsidR="00072B25" w:rsidRDefault="00072B25" w:rsidP="00072B25">
            <w:pPr>
              <w:rPr>
                <w:lang w:val="en-US"/>
              </w:rPr>
            </w:pPr>
          </w:p>
        </w:tc>
        <w:tc>
          <w:tcPr>
            <w:tcW w:w="7960" w:type="dxa"/>
          </w:tcPr>
          <w:p w14:paraId="1C790BA1" w14:textId="77777777" w:rsidR="00072B25" w:rsidRDefault="00072B25" w:rsidP="00072B25">
            <w:pPr>
              <w:rPr>
                <w:lang w:val="en-US"/>
              </w:rPr>
            </w:pPr>
          </w:p>
        </w:tc>
      </w:tr>
      <w:tr w:rsidR="00072B25" w14:paraId="191436F6" w14:textId="77777777" w:rsidTr="00072B25">
        <w:tc>
          <w:tcPr>
            <w:tcW w:w="1661" w:type="dxa"/>
          </w:tcPr>
          <w:p w14:paraId="5FD8B3B0" w14:textId="77777777" w:rsidR="00072B25" w:rsidRDefault="00072B25" w:rsidP="00072B25">
            <w:pPr>
              <w:rPr>
                <w:lang w:val="en-US"/>
              </w:rPr>
            </w:pPr>
          </w:p>
        </w:tc>
        <w:tc>
          <w:tcPr>
            <w:tcW w:w="7960" w:type="dxa"/>
          </w:tcPr>
          <w:p w14:paraId="17725ADB" w14:textId="77777777" w:rsidR="00072B25" w:rsidRDefault="00072B25" w:rsidP="00072B25">
            <w:pPr>
              <w:rPr>
                <w:lang w:val="en-US"/>
              </w:rPr>
            </w:pPr>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Heading2"/>
        <w:rPr>
          <w:lang w:val="en-US"/>
        </w:rPr>
      </w:pPr>
      <w:r>
        <w:rPr>
          <w:lang w:val="en-US"/>
        </w:rPr>
        <w:lastRenderedPageBreak/>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t>T-Mobile USA</w:t>
            </w:r>
          </w:p>
        </w:tc>
        <w:tc>
          <w:tcPr>
            <w:tcW w:w="7960" w:type="dxa"/>
          </w:tcPr>
          <w:p w14:paraId="3A616AF5" w14:textId="659783D7" w:rsidR="00D524EF" w:rsidRDefault="00D524EF" w:rsidP="00D524EF">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D524EF" w14:paraId="63F02C79" w14:textId="77777777" w:rsidTr="00D524EF">
        <w:tc>
          <w:tcPr>
            <w:tcW w:w="1661" w:type="dxa"/>
          </w:tcPr>
          <w:p w14:paraId="30552E3E" w14:textId="77777777" w:rsidR="00D524EF" w:rsidRDefault="00D524EF" w:rsidP="00D524EF">
            <w:pPr>
              <w:rPr>
                <w:lang w:val="en-US"/>
              </w:rPr>
            </w:pPr>
          </w:p>
        </w:tc>
        <w:tc>
          <w:tcPr>
            <w:tcW w:w="7960" w:type="dxa"/>
          </w:tcPr>
          <w:p w14:paraId="4EDBDE68" w14:textId="77777777" w:rsidR="00D524EF" w:rsidRDefault="00D524EF" w:rsidP="00D524EF">
            <w:pPr>
              <w:rPr>
                <w:lang w:val="en-US"/>
              </w:rPr>
            </w:pPr>
          </w:p>
        </w:tc>
      </w:tr>
      <w:tr w:rsidR="00D524EF" w14:paraId="0EBA6D8D" w14:textId="77777777" w:rsidTr="00D524EF">
        <w:tc>
          <w:tcPr>
            <w:tcW w:w="1661" w:type="dxa"/>
          </w:tcPr>
          <w:p w14:paraId="0FE6FEFE" w14:textId="77777777" w:rsidR="00D524EF" w:rsidRDefault="00D524EF" w:rsidP="00D524EF">
            <w:pPr>
              <w:rPr>
                <w:lang w:val="en-US"/>
              </w:rPr>
            </w:pPr>
          </w:p>
        </w:tc>
        <w:tc>
          <w:tcPr>
            <w:tcW w:w="7960" w:type="dxa"/>
          </w:tcPr>
          <w:p w14:paraId="2BD1125E" w14:textId="77777777" w:rsidR="00D524EF" w:rsidRDefault="00D524EF" w:rsidP="00D524EF">
            <w:pPr>
              <w:rPr>
                <w:lang w:val="en-US"/>
              </w:rPr>
            </w:pP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30885" w14:paraId="75A4D25B" w14:textId="77777777" w:rsidTr="00863566">
        <w:tc>
          <w:tcPr>
            <w:tcW w:w="1255" w:type="dxa"/>
          </w:tcPr>
          <w:p w14:paraId="0888D664" w14:textId="77777777" w:rsidR="00730885" w:rsidRDefault="00730885" w:rsidP="00863566">
            <w:pPr>
              <w:rPr>
                <w:lang w:val="en-US"/>
              </w:rPr>
            </w:pPr>
            <w:r>
              <w:rPr>
                <w:lang w:val="en-US"/>
              </w:rPr>
              <w:t>Company</w:t>
            </w:r>
          </w:p>
        </w:tc>
        <w:tc>
          <w:tcPr>
            <w:tcW w:w="8366" w:type="dxa"/>
          </w:tcPr>
          <w:p w14:paraId="04957B38" w14:textId="77777777" w:rsidR="00730885" w:rsidRDefault="00730885" w:rsidP="00863566">
            <w:pPr>
              <w:rPr>
                <w:lang w:val="en-US"/>
              </w:rPr>
            </w:pPr>
            <w:r>
              <w:rPr>
                <w:lang w:val="en-US"/>
              </w:rPr>
              <w:t>Comment</w:t>
            </w:r>
          </w:p>
        </w:tc>
      </w:tr>
      <w:tr w:rsidR="00730885" w14:paraId="10B76CEE" w14:textId="77777777" w:rsidTr="00863566">
        <w:tc>
          <w:tcPr>
            <w:tcW w:w="1255" w:type="dxa"/>
          </w:tcPr>
          <w:p w14:paraId="4F26E40B" w14:textId="54C866E7" w:rsidR="00730885" w:rsidRDefault="0053648E" w:rsidP="00863566">
            <w:pPr>
              <w:rPr>
                <w:lang w:val="en-US"/>
              </w:rPr>
            </w:pPr>
            <w:r>
              <w:rPr>
                <w:lang w:val="en-US"/>
              </w:rPr>
              <w:t>Ericsson</w:t>
            </w:r>
          </w:p>
        </w:tc>
        <w:tc>
          <w:tcPr>
            <w:tcW w:w="8366"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w:t>
            </w:r>
            <w:proofErr w:type="spellStart"/>
            <w:r w:rsidR="00236F1B">
              <w:rPr>
                <w:lang w:val="en-US"/>
              </w:rPr>
              <w:t>Its</w:t>
            </w:r>
            <w:proofErr w:type="spellEnd"/>
            <w:r w:rsidR="00236F1B">
              <w:rPr>
                <w:lang w:val="en-US"/>
              </w:rPr>
              <w:t xml:space="preserve"> not clear what to do in RRM. Maybe better to come back later with RRM.</w:t>
            </w:r>
          </w:p>
        </w:tc>
      </w:tr>
      <w:tr w:rsidR="009E65F6" w14:paraId="380AAA8A" w14:textId="77777777" w:rsidTr="00863566">
        <w:tc>
          <w:tcPr>
            <w:tcW w:w="1255" w:type="dxa"/>
          </w:tcPr>
          <w:p w14:paraId="67DAACF7" w14:textId="43FD154B"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8366"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863566">
        <w:tc>
          <w:tcPr>
            <w:tcW w:w="1255"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8366"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lastRenderedPageBreak/>
              <w:t>Mobile VSAT for both Ka and Ku can be considered as non-spectrum item for Dec checkpoint. Besides, related Note is already captured in TS 38.101-5.</w:t>
            </w:r>
          </w:p>
        </w:tc>
      </w:tr>
      <w:tr w:rsidR="009E65F6" w14:paraId="7106F4E1" w14:textId="77777777" w:rsidTr="00863566">
        <w:tc>
          <w:tcPr>
            <w:tcW w:w="1255" w:type="dxa"/>
          </w:tcPr>
          <w:p w14:paraId="4585B7EA" w14:textId="36B954FD" w:rsidR="009E65F6" w:rsidRDefault="009E65F6" w:rsidP="009E65F6">
            <w:pPr>
              <w:rPr>
                <w:lang w:val="en-US"/>
              </w:rPr>
            </w:pPr>
            <w:r w:rsidRPr="00BA0D1F">
              <w:rPr>
                <w:rFonts w:hint="eastAsia"/>
                <w:lang w:val="en-US" w:eastAsia="zh-CN"/>
              </w:rPr>
              <w:lastRenderedPageBreak/>
              <w:t>Huawei</w:t>
            </w:r>
            <w:r w:rsidRPr="00BA0D1F">
              <w:rPr>
                <w:lang w:val="en-US"/>
              </w:rPr>
              <w:t>/</w:t>
            </w:r>
            <w:proofErr w:type="spellStart"/>
            <w:r w:rsidRPr="00BA0D1F">
              <w:rPr>
                <w:lang w:val="en-US"/>
              </w:rPr>
              <w:t>HiSilicon</w:t>
            </w:r>
            <w:proofErr w:type="spellEnd"/>
          </w:p>
        </w:tc>
        <w:tc>
          <w:tcPr>
            <w:tcW w:w="8366"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ListParagraph"/>
              <w:numPr>
                <w:ilvl w:val="0"/>
                <w:numId w:val="17"/>
              </w:numPr>
            </w:pPr>
            <w:r>
              <w:t>We suggest to clarify what are “</w:t>
            </w:r>
            <w:r w:rsidRPr="00F47F94">
              <w:rPr>
                <w:i/>
              </w:rPr>
              <w:t>relevant NTN VSAT types</w:t>
            </w:r>
            <w:r>
              <w:t xml:space="preserve">” to avoid unnecessary ambiguities. </w:t>
            </w:r>
          </w:p>
          <w:p w14:paraId="62456D31" w14:textId="77777777" w:rsidR="009E65F6" w:rsidRDefault="009E65F6" w:rsidP="009E65F6">
            <w:pPr>
              <w:pStyle w:val="ListParagraph"/>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ListParagraph"/>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here? All applicable NTN VSAT regulations shall be reflected, i.e. not just those related to antenna sizes.</w:t>
            </w:r>
          </w:p>
        </w:tc>
      </w:tr>
      <w:tr w:rsidR="009E65F6" w14:paraId="653AC8DD" w14:textId="77777777" w:rsidTr="00863566">
        <w:tc>
          <w:tcPr>
            <w:tcW w:w="1255" w:type="dxa"/>
          </w:tcPr>
          <w:p w14:paraId="32ED4982" w14:textId="77777777" w:rsidR="009E65F6" w:rsidRDefault="009E65F6" w:rsidP="009E65F6">
            <w:pPr>
              <w:rPr>
                <w:lang w:val="en-US"/>
              </w:rPr>
            </w:pPr>
          </w:p>
        </w:tc>
        <w:tc>
          <w:tcPr>
            <w:tcW w:w="8366" w:type="dxa"/>
          </w:tcPr>
          <w:p w14:paraId="5429DE1C" w14:textId="77777777" w:rsidR="009E65F6" w:rsidRDefault="009E65F6" w:rsidP="009E65F6">
            <w:pPr>
              <w:rPr>
                <w:lang w:val="en-US"/>
              </w:rPr>
            </w:pPr>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0"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0"/>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58461" w14:textId="77777777" w:rsidR="00512606" w:rsidRDefault="00512606">
      <w:r>
        <w:separator/>
      </w:r>
    </w:p>
  </w:endnote>
  <w:endnote w:type="continuationSeparator" w:id="0">
    <w:p w14:paraId="42CA247E" w14:textId="77777777" w:rsidR="00512606" w:rsidRDefault="0051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59F23" w14:textId="77777777" w:rsidR="00512606" w:rsidRDefault="00512606">
      <w:r>
        <w:separator/>
      </w:r>
    </w:p>
  </w:footnote>
  <w:footnote w:type="continuationSeparator" w:id="0">
    <w:p w14:paraId="542C186D" w14:textId="77777777" w:rsidR="00512606" w:rsidRDefault="00512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2047632625">
    <w:abstractNumId w:val="6"/>
  </w:num>
  <w:num w:numId="2" w16cid:durableId="2116173203">
    <w:abstractNumId w:val="9"/>
  </w:num>
  <w:num w:numId="3" w16cid:durableId="1144350987">
    <w:abstractNumId w:val="11"/>
  </w:num>
  <w:num w:numId="4" w16cid:durableId="1717311423">
    <w:abstractNumId w:val="15"/>
  </w:num>
  <w:num w:numId="5" w16cid:durableId="1968007014">
    <w:abstractNumId w:val="8"/>
  </w:num>
  <w:num w:numId="6" w16cid:durableId="1046031333">
    <w:abstractNumId w:val="3"/>
  </w:num>
  <w:num w:numId="7" w16cid:durableId="732460701">
    <w:abstractNumId w:val="0"/>
  </w:num>
  <w:num w:numId="8" w16cid:durableId="1641883971">
    <w:abstractNumId w:val="10"/>
  </w:num>
  <w:num w:numId="9" w16cid:durableId="682710639">
    <w:abstractNumId w:val="4"/>
  </w:num>
  <w:num w:numId="10" w16cid:durableId="1503469918">
    <w:abstractNumId w:val="7"/>
  </w:num>
  <w:num w:numId="11" w16cid:durableId="894119424">
    <w:abstractNumId w:val="16"/>
  </w:num>
  <w:num w:numId="12" w16cid:durableId="982350368">
    <w:abstractNumId w:val="2"/>
  </w:num>
  <w:num w:numId="13" w16cid:durableId="1627465026">
    <w:abstractNumId w:val="13"/>
  </w:num>
  <w:num w:numId="14" w16cid:durableId="1340618219">
    <w:abstractNumId w:val="1"/>
  </w:num>
  <w:num w:numId="15" w16cid:durableId="787507859">
    <w:abstractNumId w:val="14"/>
  </w:num>
  <w:num w:numId="16" w16cid:durableId="1790971618">
    <w:abstractNumId w:val="12"/>
  </w:num>
  <w:num w:numId="17" w16cid:durableId="5070600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54A"/>
    <w:rsid w:val="00946558"/>
    <w:rsid w:val="00946572"/>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44F"/>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43DD"/>
    <w:rsid w:val="00CB44D3"/>
    <w:rsid w:val="00CB4610"/>
    <w:rsid w:val="00CB4E13"/>
    <w:rsid w:val="00CB4F5D"/>
    <w:rsid w:val="00CB4FEF"/>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84F4-CC60-4A1B-892F-439C9FF6195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Template>
  <TotalTime>3</TotalTime>
  <Pages>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Bill Shvodian</cp:lastModifiedBy>
  <cp:revision>6</cp:revision>
  <cp:lastPrinted>2017-09-11T16:45:00Z</cp:lastPrinted>
  <dcterms:created xsi:type="dcterms:W3CDTF">2024-06-18T01:12:00Z</dcterms:created>
  <dcterms:modified xsi:type="dcterms:W3CDTF">2024-06-18T01:14:00Z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