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7"/>
        <w:tabs>
          <w:tab w:val="right" w:pos="9639"/>
        </w:tabs>
        <w:spacing w:after="0"/>
        <w:rPr>
          <w:b/>
          <w:sz w:val="24"/>
        </w:rPr>
      </w:pPr>
      <w:r>
        <w:rPr>
          <w:b/>
          <w:sz w:val="24"/>
        </w:rPr>
        <w:t>3GPP TSG RAN Meeting #104</w:t>
      </w:r>
      <w:r>
        <w:rPr>
          <w:b/>
          <w:sz w:val="24"/>
        </w:rPr>
        <w:tab/>
      </w:r>
      <w:r>
        <w:rPr>
          <w:b/>
          <w:sz w:val="24"/>
        </w:rPr>
        <w:t>RP-241360</w:t>
      </w:r>
    </w:p>
    <w:p>
      <w:pPr>
        <w:pStyle w:val="57"/>
        <w:tabs>
          <w:tab w:val="right" w:pos="9639"/>
        </w:tabs>
        <w:spacing w:after="0"/>
        <w:rPr>
          <w:b/>
          <w:sz w:val="24"/>
        </w:rPr>
      </w:pPr>
      <w:r>
        <w:rPr>
          <w:b/>
          <w:sz w:val="24"/>
        </w:rPr>
        <w:t>Shanghai, China, June 17-20, 2024</w:t>
      </w:r>
      <w:r>
        <w:rPr>
          <w:b/>
          <w:sz w:val="24"/>
        </w:rPr>
        <w:tab/>
      </w:r>
      <w:r>
        <w:rPr>
          <w:rFonts w:eastAsia="Batang" w:cs="Arial"/>
          <w:sz w:val="18"/>
          <w:szCs w:val="18"/>
          <w:lang w:eastAsia="zh-CN"/>
        </w:rPr>
        <w:t>(revision of RP-xxxxxx)</w:t>
      </w:r>
    </w:p>
    <w:p>
      <w:pPr>
        <w:pStyle w:val="57"/>
        <w:tabs>
          <w:tab w:val="right" w:pos="9639"/>
        </w:tabs>
        <w:spacing w:after="0"/>
        <w:rPr>
          <w:rFonts w:eastAsia="Batang" w:cs="Arial"/>
          <w:sz w:val="18"/>
          <w:szCs w:val="18"/>
          <w:lang w:eastAsia="zh-CN"/>
        </w:rPr>
      </w:pPr>
    </w:p>
    <w:p>
      <w:pPr>
        <w:rPr>
          <w:rFonts w:cs="Arial"/>
          <w:i/>
          <w:color w:val="0000FF"/>
        </w:rPr>
      </w:pPr>
      <w:r>
        <w:rPr>
          <w:i/>
          <w:color w:val="0000FF"/>
        </w:rPr>
        <w:t>NOTE: RAN specific additions are added in blue.</w:t>
      </w:r>
    </w:p>
    <w:p>
      <w:pPr>
        <w:pBdr>
          <w:bottom w:val="single" w:color="auto" w:sz="4" w:space="1"/>
        </w:pBdr>
        <w:tabs>
          <w:tab w:val="right" w:pos="9639"/>
        </w:tabs>
        <w:overflowPunct/>
        <w:autoSpaceDE/>
        <w:autoSpaceDN/>
        <w:adjustRightInd/>
        <w:jc w:val="both"/>
        <w:textAlignment w:val="auto"/>
        <w:outlineLvl w:val="0"/>
        <w:rPr>
          <w:rFonts w:ascii="Arial" w:hAnsi="Arial" w:eastAsia="Batang" w:cs="Arial"/>
          <w:b/>
          <w:sz w:val="24"/>
          <w:lang w:eastAsia="zh-CN"/>
        </w:rPr>
      </w:pPr>
    </w:p>
    <w:p>
      <w:pPr>
        <w:tabs>
          <w:tab w:val="left" w:pos="2127"/>
        </w:tabs>
        <w:overflowPunct/>
        <w:autoSpaceDE/>
        <w:autoSpaceDN/>
        <w:adjustRightInd/>
        <w:spacing w:after="0"/>
        <w:ind w:left="2126" w:hanging="2126"/>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ascii="Arial" w:hAnsi="Arial" w:eastAsia="Batang"/>
          <w:b/>
          <w:sz w:val="24"/>
          <w:szCs w:val="24"/>
          <w:lang w:val="en-US" w:eastAsia="zh-CN"/>
        </w:rPr>
        <w:t>MediaTek Inc.</w:t>
      </w:r>
    </w:p>
    <w:p>
      <w:pPr>
        <w:tabs>
          <w:tab w:val="left" w:pos="2127"/>
        </w:tabs>
        <w:overflowPunct/>
        <w:autoSpaceDE/>
        <w:autoSpaceDN/>
        <w:adjustRightInd/>
        <w:spacing w:after="0"/>
        <w:ind w:left="2126" w:hanging="2126"/>
        <w:jc w:val="both"/>
        <w:textAlignment w:val="auto"/>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New SID: </w:t>
      </w:r>
      <w:bookmarkStart w:id="0" w:name="OLE_LINK6"/>
      <w:r>
        <w:rPr>
          <w:rFonts w:ascii="Arial" w:hAnsi="Arial" w:eastAsia="Batang" w:cs="Arial"/>
          <w:b/>
          <w:sz w:val="24"/>
          <w:szCs w:val="24"/>
          <w:lang w:eastAsia="zh-CN"/>
        </w:rPr>
        <w:t>Study on NR FR1 Fragmented Carriers</w:t>
      </w:r>
      <w:bookmarkEnd w:id="0"/>
    </w:p>
    <w:p>
      <w:pPr>
        <w:tabs>
          <w:tab w:val="left" w:pos="2127"/>
        </w:tabs>
        <w:overflowPunct/>
        <w:autoSpaceDE/>
        <w:autoSpaceDN/>
        <w:adjustRightInd/>
        <w:spacing w:after="0"/>
        <w:ind w:left="2126" w:hanging="2126"/>
        <w:jc w:val="both"/>
        <w:textAlignment w:val="auto"/>
        <w:outlineLvl w:val="0"/>
        <w:rPr>
          <w:rFonts w:ascii="Arial" w:hAnsi="Arial" w:eastAsia="Batang"/>
          <w:b/>
          <w:sz w:val="24"/>
          <w:szCs w:val="24"/>
          <w:lang w:eastAsia="zh-CN"/>
        </w:rPr>
      </w:pPr>
      <w:r>
        <w:rPr>
          <w:rFonts w:ascii="Arial" w:hAnsi="Arial" w:eastAsia="Batang"/>
          <w:b/>
          <w:sz w:val="24"/>
          <w:szCs w:val="24"/>
          <w:lang w:eastAsia="zh-CN"/>
        </w:rPr>
        <w:t>Document for:</w:t>
      </w:r>
      <w:r>
        <w:rPr>
          <w:rFonts w:ascii="Arial" w:hAnsi="Arial" w:eastAsia="Batang"/>
          <w:b/>
          <w:sz w:val="24"/>
          <w:szCs w:val="24"/>
          <w:lang w:eastAsia="zh-CN"/>
        </w:rPr>
        <w:tab/>
      </w:r>
      <w:r>
        <w:rPr>
          <w:rFonts w:ascii="Arial" w:hAnsi="Arial" w:eastAsia="Batang"/>
          <w:b/>
          <w:sz w:val="24"/>
          <w:szCs w:val="24"/>
          <w:lang w:eastAsia="zh-CN"/>
        </w:rPr>
        <w:t>Approval</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
          <w:sz w:val="24"/>
          <w:szCs w:val="24"/>
          <w:lang w:eastAsia="zh-CN"/>
        </w:rPr>
      </w:pPr>
      <w:r>
        <w:rPr>
          <w:rFonts w:ascii="Arial" w:hAnsi="Arial" w:eastAsia="Batang"/>
          <w:b/>
          <w:sz w:val="24"/>
          <w:szCs w:val="24"/>
          <w:lang w:eastAsia="zh-CN"/>
        </w:rPr>
        <w:t>Agenda Item:</w:t>
      </w:r>
      <w:r>
        <w:rPr>
          <w:rFonts w:ascii="Arial" w:hAnsi="Arial" w:eastAsia="Batang"/>
          <w:b/>
          <w:sz w:val="24"/>
          <w:szCs w:val="24"/>
          <w:lang w:eastAsia="zh-CN"/>
        </w:rPr>
        <w:tab/>
      </w:r>
      <w:r>
        <w:rPr>
          <w:rFonts w:ascii="Arial" w:hAnsi="Arial" w:eastAsia="Batang"/>
          <w:b/>
          <w:sz w:val="24"/>
          <w:szCs w:val="24"/>
          <w:lang w:eastAsia="zh-CN"/>
        </w:rPr>
        <w:t>9.1.4</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Cs/>
          <w:sz w:val="24"/>
          <w:szCs w:val="24"/>
          <w:lang w:eastAsia="zh-CN"/>
        </w:rPr>
      </w:pP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Style w:val="49"/>
          <w:rFonts w:cs="Arial"/>
        </w:rPr>
        <w:t>http://www.3gpp.org/Work-Items</w:t>
      </w:r>
      <w:r>
        <w:rPr>
          <w:rStyle w:val="49"/>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rPr>
          <w:rStyle w:val="49"/>
        </w:rPr>
        <w:t>3GPP Working Procedures</w:t>
      </w:r>
      <w:r>
        <w:rPr>
          <w:rStyle w:val="49"/>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9"/>
        </w:rPr>
        <w:t>3GPP TR 21.900</w:t>
      </w:r>
      <w:r>
        <w:rPr>
          <w:rStyle w:val="49"/>
        </w:rPr>
        <w:fldChar w:fldCharType="end"/>
      </w:r>
    </w:p>
    <w:p>
      <w:pPr>
        <w:pStyle w:val="10"/>
        <w:ind w:left="2835" w:hanging="2835"/>
        <w:rPr>
          <w:sz w:val="32"/>
          <w:szCs w:val="32"/>
        </w:rPr>
      </w:pPr>
      <w:r>
        <w:rPr>
          <w:sz w:val="32"/>
          <w:szCs w:val="32"/>
        </w:rPr>
        <w:t>Title:</w:t>
      </w:r>
      <w:r>
        <w:t xml:space="preserve"> </w:t>
      </w:r>
      <w:bookmarkStart w:id="1" w:name="OLE_LINK11"/>
      <w:r>
        <w:rPr>
          <w:sz w:val="32"/>
          <w:szCs w:val="32"/>
        </w:rPr>
        <w:t>Study on NR FR1 Fragmented Carriers</w:t>
      </w:r>
      <w:bookmarkEnd w:id="1"/>
      <w:r>
        <w:rPr>
          <w:sz w:val="32"/>
          <w:szCs w:val="32"/>
        </w:rPr>
        <w:tab/>
      </w:r>
    </w:p>
    <w:p>
      <w:pPr>
        <w:pStyle w:val="10"/>
        <w:ind w:left="2835" w:hanging="2835"/>
        <w:rPr>
          <w:sz w:val="32"/>
          <w:szCs w:val="32"/>
        </w:rPr>
      </w:pPr>
      <w:r>
        <w:rPr>
          <w:sz w:val="32"/>
          <w:szCs w:val="32"/>
        </w:rPr>
        <w:t xml:space="preserve">Acronym: </w:t>
      </w:r>
      <w:bookmarkStart w:id="2" w:name="OLE_LINK2"/>
      <w:r>
        <w:rPr>
          <w:sz w:val="32"/>
          <w:szCs w:val="32"/>
        </w:rPr>
        <w:t>FS_NR_FR1_Frag_Carrier</w:t>
      </w:r>
      <w:bookmarkEnd w:id="2"/>
      <w:r>
        <w:rPr>
          <w:sz w:val="32"/>
          <w:szCs w:val="32"/>
        </w:rPr>
        <w:tab/>
      </w:r>
    </w:p>
    <w:p>
      <w:pPr>
        <w:pStyle w:val="10"/>
        <w:ind w:left="2835" w:hanging="2835"/>
        <w:rPr>
          <w:sz w:val="32"/>
          <w:szCs w:val="32"/>
        </w:rPr>
      </w:pPr>
      <w:r>
        <w:rPr>
          <w:sz w:val="32"/>
          <w:szCs w:val="32"/>
        </w:rPr>
        <w:t>Unique identifier:</w:t>
      </w:r>
      <w:r>
        <w:rPr>
          <w:sz w:val="32"/>
          <w:szCs w:val="32"/>
        </w:rPr>
        <w:tab/>
      </w:r>
    </w:p>
    <w:p>
      <w:pPr>
        <w:pStyle w:val="63"/>
        <w:spacing w:after="0"/>
        <w:rPr>
          <w:color w:val="0000FF"/>
        </w:rPr>
      </w:pPr>
      <w:r>
        <w:rPr>
          <w:color w:val="0000FF"/>
        </w:rPr>
        <w:t>NOTE:</w:t>
      </w:r>
      <w:r>
        <w:rPr>
          <w:color w:val="0000FF"/>
        </w:rPr>
        <w:tab/>
      </w:r>
      <w:r>
        <w:rPr>
          <w:color w:val="0000FF"/>
        </w:rPr>
        <w:t>For new WIs/SIs leave the Unique identifier empty and make a proposal for an Acronym.</w:t>
      </w:r>
    </w:p>
    <w:p>
      <w:pPr>
        <w:pStyle w:val="63"/>
        <w:spacing w:after="0"/>
        <w:rPr>
          <w:color w:val="0000FF"/>
        </w:rPr>
      </w:pPr>
      <w:r>
        <w:rPr>
          <w:color w:val="0000FF"/>
        </w:rPr>
        <w:tab/>
      </w:r>
      <w:r>
        <w:rPr>
          <w:color w:val="0000FF"/>
        </w:rPr>
        <w:t>For a revised WI/SI: Take Unique identifier and acronym as shown in 3GPP workplan.</w:t>
      </w:r>
    </w:p>
    <w:p>
      <w:pPr>
        <w:pStyle w:val="63"/>
        <w:spacing w:after="0"/>
        <w:rPr>
          <w:color w:val="0000FF"/>
        </w:rPr>
      </w:pPr>
      <w:r>
        <w:rPr>
          <w:color w:val="0000FF"/>
        </w:rPr>
        <w:tab/>
      </w:r>
      <w:r>
        <w:rPr>
          <w:color w:val="0000FF"/>
        </w:rPr>
        <w:t xml:space="preserve">If this is a RAN WID including Core </w:t>
      </w:r>
      <w:r>
        <w:rPr>
          <w:color w:val="0000FF"/>
          <w:u w:val="single"/>
        </w:rPr>
        <w:t>and</w:t>
      </w:r>
      <w:r>
        <w:rPr>
          <w:color w:val="0000FF"/>
        </w:rPr>
        <w:t xml:space="preserve"> Perf. part, then Title, Acronym and Unique identifier refer to the feature WI.</w:t>
      </w:r>
    </w:p>
    <w:p>
      <w:pPr>
        <w:pStyle w:val="63"/>
        <w:spacing w:after="0"/>
        <w:rPr>
          <w:color w:val="0000FF"/>
        </w:rPr>
      </w:pPr>
      <w:r>
        <w:rPr>
          <w:color w:val="0000FF"/>
        </w:rPr>
        <w:tab/>
      </w:r>
      <w:r>
        <w:rPr>
          <w:color w:val="0000FF"/>
        </w:rPr>
        <w:t>Please tick (X) the applicable box(es) in the table below:</w:t>
      </w:r>
    </w:p>
    <w:p>
      <w:pPr>
        <w:pStyle w:val="63"/>
        <w:spacing w:after="0"/>
        <w:rPr>
          <w:color w:val="0000FF"/>
        </w:rPr>
      </w:pPr>
      <w:r>
        <w:rPr>
          <w:color w:val="0000FF"/>
        </w:rPr>
        <w:tab/>
      </w:r>
      <w:r>
        <w:rPr>
          <w:color w:val="0000FF"/>
          <w:u w:val="single"/>
        </w:rPr>
        <w:t>Either</w:t>
      </w:r>
      <w:r>
        <w:rPr>
          <w:color w:val="0000FF"/>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2"/>
              <w:rPr>
                <w:b/>
                <w:bCs/>
                <w:color w:val="0000FF"/>
              </w:rPr>
            </w:pPr>
            <w:r>
              <w:rPr>
                <w:b/>
                <w:bCs/>
                <w:color w:val="0000FF"/>
              </w:rPr>
              <w:t>This WID includes a Core part</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shd w:val="clear" w:color="auto" w:fill="E0E0E0"/>
            <w:tcMar>
              <w:top w:w="28" w:type="dxa"/>
              <w:bottom w:w="28" w:type="dxa"/>
            </w:tcMar>
          </w:tcPr>
          <w:p>
            <w:pPr>
              <w:pStyle w:val="52"/>
              <w:rPr>
                <w:b/>
                <w:bCs/>
                <w:color w:val="0000FF"/>
              </w:rPr>
            </w:pPr>
            <w:r>
              <w:rPr>
                <w:b/>
                <w:bCs/>
                <w:color w:val="0000FF"/>
              </w:rPr>
              <w:t>This WID includes a Performance part</w:t>
            </w:r>
          </w:p>
        </w:tc>
        <w:tc>
          <w:tcPr>
            <w:tcW w:w="862" w:type="dxa"/>
            <w:tcMar>
              <w:top w:w="28" w:type="dxa"/>
              <w:bottom w:w="28" w:type="dxa"/>
            </w:tcMar>
          </w:tcPr>
          <w:p>
            <w:pPr>
              <w:pStyle w:val="52"/>
              <w:jc w:val="center"/>
              <w:rPr>
                <w:b/>
                <w:bCs/>
              </w:rPr>
            </w:pPr>
          </w:p>
        </w:tc>
      </w:tr>
    </w:tbl>
    <w:p>
      <w:pPr>
        <w:pStyle w:val="63"/>
        <w:spacing w:after="0"/>
        <w:rPr>
          <w:color w:val="0000FF"/>
        </w:rPr>
      </w:pPr>
      <w:r>
        <w:rPr>
          <w:color w:val="0000FF"/>
        </w:rPr>
        <w:tab/>
      </w:r>
      <w:r>
        <w:rPr>
          <w:color w:val="0000FF"/>
          <w:u w:val="single"/>
        </w:rPr>
        <w:t>or</w:t>
      </w:r>
      <w:r>
        <w:rPr>
          <w:color w:val="0000FF"/>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77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gridSpan w:val="2"/>
            <w:shd w:val="clear" w:color="auto" w:fill="E0E0E0"/>
            <w:tcMar>
              <w:top w:w="28" w:type="dxa"/>
              <w:bottom w:w="28" w:type="dxa"/>
            </w:tcMar>
          </w:tcPr>
          <w:p>
            <w:pPr>
              <w:pStyle w:val="52"/>
              <w:rPr>
                <w:b/>
                <w:bCs/>
                <w:color w:val="0000FF"/>
              </w:rPr>
            </w:pPr>
            <w:r>
              <w:rPr>
                <w:b/>
                <w:bCs/>
                <w:color w:val="0000FF"/>
              </w:rPr>
              <w:t>This WID includes a Testing part</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restart"/>
            <w:shd w:val="clear" w:color="auto" w:fill="E0E0E0"/>
            <w:tcMar>
              <w:top w:w="28" w:type="dxa"/>
              <w:bottom w:w="28" w:type="dxa"/>
            </w:tcMar>
          </w:tcPr>
          <w:p>
            <w:pPr>
              <w:pStyle w:val="52"/>
              <w:rPr>
                <w:b/>
                <w:bCs/>
                <w:color w:val="0000FF"/>
              </w:rPr>
            </w:pPr>
            <w:r>
              <w:rPr>
                <w:b/>
                <w:bCs/>
                <w:color w:val="0000FF"/>
              </w:rPr>
              <w:t>and it addresses the following 3GPP work area:</w:t>
            </w:r>
          </w:p>
        </w:tc>
        <w:tc>
          <w:tcPr>
            <w:tcW w:w="1772" w:type="dxa"/>
            <w:shd w:val="clear" w:color="auto" w:fill="E0E0E0"/>
          </w:tcPr>
          <w:p>
            <w:pPr>
              <w:pStyle w:val="52"/>
              <w:rPr>
                <w:b/>
                <w:bCs/>
                <w:color w:val="0000FF"/>
              </w:rPr>
            </w:pPr>
            <w:r>
              <w:rPr>
                <w:b/>
                <w:bCs/>
                <w:color w:val="0000FF"/>
              </w:rPr>
              <w:t>Radio Access</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tcMar>
              <w:top w:w="28" w:type="dxa"/>
              <w:bottom w:w="28" w:type="dxa"/>
            </w:tcMar>
          </w:tcPr>
          <w:p>
            <w:pPr>
              <w:pStyle w:val="52"/>
              <w:rPr>
                <w:b/>
                <w:bCs/>
                <w:color w:val="0000FF"/>
              </w:rPr>
            </w:pPr>
          </w:p>
        </w:tc>
        <w:tc>
          <w:tcPr>
            <w:tcW w:w="1772" w:type="dxa"/>
            <w:shd w:val="clear" w:color="auto" w:fill="E0E0E0"/>
          </w:tcPr>
          <w:p>
            <w:pPr>
              <w:pStyle w:val="52"/>
              <w:rPr>
                <w:b/>
                <w:bCs/>
                <w:color w:val="0000FF"/>
              </w:rPr>
            </w:pPr>
            <w:r>
              <w:rPr>
                <w:b/>
                <w:bCs/>
                <w:color w:val="0000FF"/>
              </w:rPr>
              <w:t>Core Network</w:t>
            </w:r>
          </w:p>
        </w:tc>
        <w:tc>
          <w:tcPr>
            <w:tcW w:w="862" w:type="dxa"/>
            <w:tcMar>
              <w:top w:w="28" w:type="dxa"/>
              <w:bottom w:w="28" w:type="dxa"/>
            </w:tcMar>
          </w:tcPr>
          <w:p>
            <w:pPr>
              <w:pStyle w:val="5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tcMar>
              <w:top w:w="28" w:type="dxa"/>
              <w:bottom w:w="28" w:type="dxa"/>
            </w:tcMar>
          </w:tcPr>
          <w:p>
            <w:pPr>
              <w:pStyle w:val="52"/>
              <w:rPr>
                <w:b/>
                <w:bCs/>
                <w:color w:val="0000FF"/>
              </w:rPr>
            </w:pPr>
          </w:p>
        </w:tc>
        <w:tc>
          <w:tcPr>
            <w:tcW w:w="1772" w:type="dxa"/>
            <w:shd w:val="clear" w:color="auto" w:fill="E0E0E0"/>
          </w:tcPr>
          <w:p>
            <w:pPr>
              <w:pStyle w:val="52"/>
              <w:rPr>
                <w:b/>
                <w:bCs/>
                <w:color w:val="0000FF"/>
              </w:rPr>
            </w:pPr>
            <w:r>
              <w:rPr>
                <w:b/>
                <w:bCs/>
                <w:color w:val="0000FF"/>
              </w:rPr>
              <w:t>Services</w:t>
            </w:r>
          </w:p>
        </w:tc>
        <w:tc>
          <w:tcPr>
            <w:tcW w:w="862" w:type="dxa"/>
            <w:tcMar>
              <w:top w:w="28" w:type="dxa"/>
              <w:bottom w:w="28" w:type="dxa"/>
            </w:tcMar>
          </w:tcPr>
          <w:p>
            <w:pPr>
              <w:pStyle w:val="52"/>
              <w:jc w:val="center"/>
              <w:rPr>
                <w:b/>
                <w:bCs/>
              </w:rPr>
            </w:pPr>
          </w:p>
        </w:tc>
      </w:tr>
    </w:tbl>
    <w:p/>
    <w:p>
      <w:pPr>
        <w:pStyle w:val="10"/>
        <w:rPr>
          <w:sz w:val="32"/>
          <w:szCs w:val="32"/>
        </w:rPr>
      </w:pPr>
      <w:r>
        <w:rPr>
          <w:sz w:val="32"/>
          <w:szCs w:val="32"/>
        </w:rPr>
        <w:t>Potential target Release:</w:t>
      </w:r>
      <w:r>
        <w:rPr>
          <w:sz w:val="32"/>
          <w:szCs w:val="32"/>
        </w:rPr>
        <w:tab/>
      </w:r>
      <w:r>
        <w:rPr>
          <w:i/>
          <w:iCs/>
          <w:sz w:val="32"/>
          <w:szCs w:val="32"/>
        </w:rPr>
        <w:t>Rel-19</w:t>
      </w:r>
    </w:p>
    <w:p>
      <w:pPr>
        <w:ind w:right="-99"/>
        <w:rPr>
          <w:rFonts w:ascii="Arial" w:hAnsi="Arial" w:cs="Arial"/>
        </w:rPr>
      </w:pPr>
      <w:bookmarkStart w:id="3" w:name="_Hlk24657936"/>
      <w:r>
        <w:rPr>
          <w:rFonts w:ascii="Arial" w:hAnsi="Arial" w:cs="Arial"/>
          <w:color w:val="0000FF"/>
        </w:rPr>
        <w:t>NOTE: In case of contradiction with the target dates of clause 5, clause 5 determines the target release.</w:t>
      </w:r>
      <w:bookmarkEnd w:id="3"/>
    </w:p>
    <w:p>
      <w:pPr>
        <w:pStyle w:val="2"/>
        <w:rPr>
          <w:sz w:val="32"/>
          <w:szCs w:val="32"/>
        </w:rPr>
      </w:pPr>
      <w:r>
        <w:rPr>
          <w:sz w:val="32"/>
          <w:szCs w:val="32"/>
        </w:rPr>
        <w:t>1</w:t>
      </w:r>
      <w:r>
        <w:rPr>
          <w:sz w:val="32"/>
          <w:szCs w:val="32"/>
        </w:rPr>
        <w:tab/>
      </w:r>
      <w:r>
        <w:rPr>
          <w:sz w:val="32"/>
          <w:szCs w:val="32"/>
        </w:rPr>
        <w:t>Impacts</w:t>
      </w:r>
    </w:p>
    <w:p>
      <w:pPr>
        <w:pStyle w:val="90"/>
      </w:pPr>
      <w:r>
        <w:t>{For Normative work, identify the anticipated impacts. For a Study, identify the scope of the study}</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52"/>
              <w:keepNext w:val="0"/>
              <w:ind w:right="-99"/>
              <w:rPr>
                <w:b/>
              </w:rPr>
            </w:pPr>
            <w:r>
              <w:rPr>
                <w:b/>
              </w:rPr>
              <w:t>Affects:</w:t>
            </w:r>
          </w:p>
        </w:tc>
        <w:tc>
          <w:tcPr>
            <w:tcW w:w="0" w:type="auto"/>
            <w:tcBorders>
              <w:left w:val="nil"/>
              <w:bottom w:val="single" w:color="auto" w:sz="12" w:space="0"/>
            </w:tcBorders>
            <w:shd w:val="clear" w:color="auto" w:fill="E0E0E0"/>
          </w:tcPr>
          <w:p>
            <w:pPr>
              <w:pStyle w:val="54"/>
            </w:pPr>
            <w:r>
              <w:t>UICC apps</w:t>
            </w:r>
          </w:p>
        </w:tc>
        <w:tc>
          <w:tcPr>
            <w:tcW w:w="0" w:type="auto"/>
            <w:tcBorders>
              <w:bottom w:val="single" w:color="auto" w:sz="12" w:space="0"/>
            </w:tcBorders>
            <w:shd w:val="clear" w:color="auto" w:fill="E0E0E0"/>
          </w:tcPr>
          <w:p>
            <w:pPr>
              <w:pStyle w:val="54"/>
            </w:pPr>
            <w:r>
              <w:t>ME</w:t>
            </w:r>
          </w:p>
        </w:tc>
        <w:tc>
          <w:tcPr>
            <w:tcW w:w="0" w:type="auto"/>
            <w:tcBorders>
              <w:bottom w:val="single" w:color="auto" w:sz="12" w:space="0"/>
            </w:tcBorders>
            <w:shd w:val="clear" w:color="auto" w:fill="E0E0E0"/>
          </w:tcPr>
          <w:p>
            <w:pPr>
              <w:pStyle w:val="54"/>
            </w:pPr>
            <w:r>
              <w:t>AN</w:t>
            </w:r>
          </w:p>
        </w:tc>
        <w:tc>
          <w:tcPr>
            <w:tcW w:w="0" w:type="auto"/>
            <w:tcBorders>
              <w:bottom w:val="single" w:color="auto" w:sz="12" w:space="0"/>
            </w:tcBorders>
            <w:shd w:val="clear" w:color="auto" w:fill="E0E0E0"/>
          </w:tcPr>
          <w:p>
            <w:pPr>
              <w:pStyle w:val="54"/>
            </w:pPr>
            <w:r>
              <w:t>CN</w:t>
            </w:r>
          </w:p>
        </w:tc>
        <w:tc>
          <w:tcPr>
            <w:tcW w:w="0" w:type="auto"/>
            <w:tcBorders>
              <w:bottom w:val="single" w:color="auto" w:sz="12" w:space="0"/>
            </w:tcBorders>
            <w:shd w:val="clear" w:color="auto" w:fill="E0E0E0"/>
          </w:tcPr>
          <w:p>
            <w:pPr>
              <w:pStyle w:val="54"/>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52"/>
              <w:keepNext w:val="0"/>
              <w:ind w:right="-99"/>
              <w:rPr>
                <w:b/>
              </w:rPr>
            </w:pPr>
            <w:r>
              <w:rPr>
                <w:b/>
              </w:rPr>
              <w:t>Yes</w:t>
            </w:r>
          </w:p>
        </w:tc>
        <w:tc>
          <w:tcPr>
            <w:tcW w:w="0" w:type="auto"/>
            <w:tcBorders>
              <w:top w:val="nil"/>
              <w:left w:val="nil"/>
            </w:tcBorders>
          </w:tcPr>
          <w:p>
            <w:pPr>
              <w:pStyle w:val="55"/>
            </w:pPr>
          </w:p>
        </w:tc>
        <w:tc>
          <w:tcPr>
            <w:tcW w:w="0" w:type="auto"/>
            <w:tcBorders>
              <w:top w:val="nil"/>
            </w:tcBorders>
          </w:tcPr>
          <w:p>
            <w:pPr>
              <w:pStyle w:val="55"/>
            </w:pPr>
            <w:r>
              <w:t>X</w:t>
            </w:r>
          </w:p>
        </w:tc>
        <w:tc>
          <w:tcPr>
            <w:tcW w:w="0" w:type="auto"/>
            <w:tcBorders>
              <w:top w:val="nil"/>
            </w:tcBorders>
          </w:tcPr>
          <w:p>
            <w:pPr>
              <w:pStyle w:val="55"/>
            </w:pPr>
            <w:r>
              <w:t>X</w:t>
            </w:r>
          </w:p>
        </w:tc>
        <w:tc>
          <w:tcPr>
            <w:tcW w:w="0" w:type="auto"/>
            <w:tcBorders>
              <w:top w:val="nil"/>
            </w:tcBorders>
          </w:tcPr>
          <w:p>
            <w:pPr>
              <w:pStyle w:val="55"/>
            </w:pPr>
          </w:p>
        </w:tc>
        <w:tc>
          <w:tcPr>
            <w:tcW w:w="0" w:type="auto"/>
            <w:tcBorders>
              <w:top w:val="nil"/>
            </w:tcBorders>
          </w:tcPr>
          <w:p>
            <w:pPr>
              <w:pStyle w:val="5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2"/>
              <w:keepNext w:val="0"/>
              <w:ind w:right="-99"/>
              <w:rPr>
                <w:b/>
              </w:rPr>
            </w:pPr>
            <w:r>
              <w:rPr>
                <w:b/>
              </w:rPr>
              <w:t>No</w:t>
            </w:r>
          </w:p>
        </w:tc>
        <w:tc>
          <w:tcPr>
            <w:tcW w:w="0" w:type="auto"/>
            <w:tcBorders>
              <w:left w:val="nil"/>
            </w:tcBorders>
          </w:tcPr>
          <w:p>
            <w:pPr>
              <w:pStyle w:val="55"/>
            </w:pPr>
            <w:r>
              <w:t>X</w:t>
            </w:r>
          </w:p>
        </w:tc>
        <w:tc>
          <w:tcPr>
            <w:tcW w:w="0" w:type="auto"/>
          </w:tcPr>
          <w:p>
            <w:pPr>
              <w:pStyle w:val="55"/>
            </w:pPr>
          </w:p>
        </w:tc>
        <w:tc>
          <w:tcPr>
            <w:tcW w:w="0" w:type="auto"/>
          </w:tcPr>
          <w:p>
            <w:pPr>
              <w:pStyle w:val="55"/>
            </w:pPr>
          </w:p>
        </w:tc>
        <w:tc>
          <w:tcPr>
            <w:tcW w:w="0" w:type="auto"/>
          </w:tcPr>
          <w:p>
            <w:pPr>
              <w:pStyle w:val="55"/>
            </w:pPr>
            <w:r>
              <w:t>X</w:t>
            </w:r>
          </w:p>
        </w:tc>
        <w:tc>
          <w:tcPr>
            <w:tcW w:w="0" w:type="auto"/>
          </w:tcPr>
          <w:p>
            <w:pPr>
              <w:pStyle w:val="55"/>
            </w:pPr>
            <w:r>
              <w:t>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52"/>
              <w:keepNext w:val="0"/>
              <w:ind w:right="-99"/>
              <w:rPr>
                <w:b/>
              </w:rPr>
            </w:pPr>
            <w:r>
              <w:rPr>
                <w:b/>
              </w:rPr>
              <w:t>Don't know</w:t>
            </w:r>
          </w:p>
        </w:tc>
        <w:tc>
          <w:tcPr>
            <w:tcW w:w="0" w:type="auto"/>
            <w:tcBorders>
              <w:left w:val="nil"/>
            </w:tcBorders>
          </w:tcPr>
          <w:p>
            <w:pPr>
              <w:pStyle w:val="55"/>
            </w:pPr>
          </w:p>
        </w:tc>
        <w:tc>
          <w:tcPr>
            <w:tcW w:w="0" w:type="auto"/>
          </w:tcPr>
          <w:p>
            <w:pPr>
              <w:pStyle w:val="55"/>
            </w:pPr>
          </w:p>
        </w:tc>
        <w:tc>
          <w:tcPr>
            <w:tcW w:w="0" w:type="auto"/>
          </w:tcPr>
          <w:p>
            <w:pPr>
              <w:pStyle w:val="55"/>
            </w:pPr>
          </w:p>
        </w:tc>
        <w:tc>
          <w:tcPr>
            <w:tcW w:w="0" w:type="auto"/>
          </w:tcPr>
          <w:p>
            <w:pPr>
              <w:pStyle w:val="55"/>
            </w:pPr>
          </w:p>
        </w:tc>
        <w:tc>
          <w:tcPr>
            <w:tcW w:w="0" w:type="auto"/>
          </w:tcPr>
          <w:p>
            <w:pPr>
              <w:pStyle w:val="55"/>
            </w:pPr>
          </w:p>
        </w:tc>
      </w:tr>
    </w:tbl>
    <w:p>
      <w:pPr>
        <w:ind w:right="-99"/>
        <w:rPr>
          <w:b/>
        </w:rPr>
      </w:pPr>
    </w:p>
    <w:p>
      <w:pPr>
        <w:pStyle w:val="2"/>
        <w:rPr>
          <w:sz w:val="32"/>
          <w:szCs w:val="32"/>
        </w:rPr>
      </w:pPr>
      <w:r>
        <w:rPr>
          <w:sz w:val="32"/>
          <w:szCs w:val="32"/>
        </w:rPr>
        <w:t>2</w:t>
      </w:r>
      <w:r>
        <w:rPr>
          <w:sz w:val="32"/>
          <w:szCs w:val="32"/>
        </w:rPr>
        <w:tab/>
      </w:r>
      <w:r>
        <w:rPr>
          <w:sz w:val="32"/>
          <w:szCs w:val="32"/>
        </w:rPr>
        <w:t>Classification of the Work Item and linked work items</w:t>
      </w:r>
    </w:p>
    <w:p>
      <w:pPr>
        <w:pStyle w:val="4"/>
      </w:pPr>
      <w:r>
        <w:t>2.1</w:t>
      </w:r>
      <w:r>
        <w:tab/>
      </w:r>
      <w:r>
        <w:t>Primary classification</w:t>
      </w:r>
    </w:p>
    <w:p>
      <w:pPr>
        <w:pStyle w:val="88"/>
        <w:spacing w:before="0" w:beforeAutospacing="0" w:after="0" w:afterAutospacing="0"/>
      </w:pPr>
      <w:r>
        <w:t xml:space="preserve">This description is either a … </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r>
              <w:t>X</w:t>
            </w:r>
          </w:p>
        </w:tc>
        <w:tc>
          <w:tcPr>
            <w:tcW w:w="2917" w:type="dxa"/>
            <w:shd w:val="clear" w:color="auto" w:fill="E0E0E0"/>
          </w:tcPr>
          <w:p>
            <w:pPr>
              <w:pStyle w:val="54"/>
              <w:ind w:right="-99"/>
              <w:jc w:val="left"/>
              <w:rPr>
                <w:bCs/>
              </w:rPr>
            </w:pPr>
            <w:r>
              <w:rPr>
                <w:bCs/>
                <w:sz w:val="20"/>
              </w:rPr>
              <w:t>Study Item</w:t>
            </w:r>
          </w:p>
        </w:tc>
      </w:tr>
    </w:tbl>
    <w:p>
      <w:pPr>
        <w:pStyle w:val="88"/>
        <w:spacing w:before="0" w:beforeAutospacing="0" w:after="0" w:afterAutospacing="0"/>
      </w:pPr>
      <w:r>
        <w:t>or a</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69" w:type="dxa"/>
            <w:gridSpan w:val="2"/>
            <w:shd w:val="pct10" w:color="auto" w:fill="auto"/>
          </w:tcPr>
          <w:p>
            <w:pPr>
              <w:pStyle w:val="54"/>
              <w:ind w:right="-99"/>
              <w:jc w:val="left"/>
              <w:rPr>
                <w:sz w:val="20"/>
              </w:rPr>
            </w:pPr>
            <w:r>
              <w:rPr>
                <w:sz w:val="20"/>
              </w:rPr>
              <w:t>Normative Work Item:</w:t>
            </w:r>
          </w:p>
          <w:p>
            <w:pPr>
              <w:pStyle w:val="54"/>
              <w:ind w:right="-99"/>
              <w:jc w:val="left"/>
              <w:rPr>
                <w:b w:val="0"/>
                <w:bCs/>
                <w:i/>
                <w:iCs/>
                <w:sz w:val="20"/>
              </w:rPr>
            </w:pPr>
            <w:r>
              <w:rPr>
                <w:b w:val="0"/>
                <w:bCs/>
                <w:i/>
                <w:iCs/>
                <w:sz w:val="20"/>
              </w:rPr>
              <w:t>tick applicable boxes below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55"/>
            </w:pPr>
          </w:p>
        </w:tc>
        <w:tc>
          <w:tcPr>
            <w:tcW w:w="2917" w:type="dxa"/>
            <w:shd w:val="clear" w:color="auto" w:fill="E0E0E0"/>
          </w:tcPr>
          <w:p>
            <w:pPr>
              <w:pStyle w:val="54"/>
              <w:ind w:right="-99"/>
              <w:jc w:val="left"/>
              <w:rPr>
                <w:b w:val="0"/>
                <w:bCs/>
              </w:rPr>
            </w:pPr>
            <w:r>
              <w:rPr>
                <w:b w:val="0"/>
                <w:bCs/>
                <w:sz w:val="20"/>
              </w:rPr>
              <w:t>Other (e.g. testing)</w:t>
            </w:r>
          </w:p>
        </w:tc>
      </w:tr>
    </w:tbl>
    <w:p>
      <w:pPr>
        <w:ind w:right="-99"/>
        <w:rPr>
          <w:b/>
        </w:rPr>
      </w:pPr>
    </w:p>
    <w:p>
      <w:pPr>
        <w:pStyle w:val="4"/>
      </w:pPr>
      <w:r>
        <w:t>2.2</w:t>
      </w:r>
      <w:r>
        <w:tab/>
      </w:r>
      <w:r>
        <w:t>Parent Work Item</w:t>
      </w:r>
    </w:p>
    <w:p>
      <w:r>
        <w:t>For a brand-new topic, use “</w:t>
      </w:r>
      <w:bookmarkStart w:id="4" w:name="OLE_LINK7"/>
      <w:r>
        <w:t>N/A</w:t>
      </w:r>
      <w:bookmarkEnd w:id="4"/>
      <w:r>
        <w:t>” in the table below. Otherwise indicate the parent Work Item.</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4"/>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54"/>
              <w:ind w:right="-99"/>
              <w:jc w:val="left"/>
            </w:pPr>
            <w:r>
              <w:t>Acronym</w:t>
            </w:r>
          </w:p>
        </w:tc>
        <w:tc>
          <w:tcPr>
            <w:tcW w:w="1101" w:type="dxa"/>
            <w:shd w:val="clear" w:color="auto" w:fill="E0E0E0"/>
          </w:tcPr>
          <w:p>
            <w:pPr>
              <w:pStyle w:val="54"/>
              <w:ind w:right="-99"/>
              <w:jc w:val="left"/>
            </w:pPr>
            <w:r>
              <w:t>Working Group</w:t>
            </w:r>
          </w:p>
        </w:tc>
        <w:tc>
          <w:tcPr>
            <w:tcW w:w="1101" w:type="dxa"/>
            <w:shd w:val="clear" w:color="auto" w:fill="E0E0E0"/>
          </w:tcPr>
          <w:p>
            <w:pPr>
              <w:pStyle w:val="54"/>
              <w:ind w:right="-99"/>
              <w:jc w:val="left"/>
            </w:pPr>
            <w:r>
              <w:t>Unique ID</w:t>
            </w:r>
          </w:p>
        </w:tc>
        <w:tc>
          <w:tcPr>
            <w:tcW w:w="7011" w:type="dxa"/>
            <w:shd w:val="clear" w:color="auto" w:fill="E0E0E0"/>
          </w:tcPr>
          <w:p>
            <w:pPr>
              <w:pStyle w:val="54"/>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52"/>
            </w:pPr>
            <w:r>
              <w:t>N/A</w:t>
            </w:r>
          </w:p>
        </w:tc>
        <w:tc>
          <w:tcPr>
            <w:tcW w:w="1101" w:type="dxa"/>
          </w:tcPr>
          <w:p>
            <w:pPr>
              <w:pStyle w:val="52"/>
            </w:pPr>
            <w:r>
              <w:t>N/A</w:t>
            </w:r>
          </w:p>
        </w:tc>
        <w:tc>
          <w:tcPr>
            <w:tcW w:w="1101" w:type="dxa"/>
          </w:tcPr>
          <w:p>
            <w:pPr>
              <w:pStyle w:val="52"/>
            </w:pPr>
            <w:bookmarkStart w:id="5" w:name="OLE_LINK8"/>
            <w:r>
              <w:t>N/A</w:t>
            </w:r>
            <w:bookmarkEnd w:id="5"/>
          </w:p>
        </w:tc>
        <w:tc>
          <w:tcPr>
            <w:tcW w:w="7011" w:type="dxa"/>
          </w:tcPr>
          <w:p>
            <w:pPr>
              <w:pStyle w:val="52"/>
            </w:pPr>
            <w:r>
              <w:t>N/A</w:t>
            </w:r>
          </w:p>
        </w:tc>
      </w:tr>
    </w:tbl>
    <w:p>
      <w:pPr>
        <w:ind w:right="-99"/>
        <w:rPr>
          <w:b/>
        </w:rPr>
      </w:pPr>
      <w:r>
        <w:rPr>
          <w:color w:val="0000FF"/>
        </w:rPr>
        <w:t>NOTE:</w:t>
      </w:r>
      <w:r>
        <w:rPr>
          <w:color w:val="0000FF"/>
        </w:rPr>
        <w:tab/>
      </w:r>
      <w:r>
        <w:rPr>
          <w:color w:val="0000FF"/>
        </w:rPr>
        <w:t xml:space="preserve">RAN agreed some time ago, that it describes the feature WI + Core/Perf. part WI or Testing part WI in one </w:t>
      </w:r>
      <w:r>
        <w:rPr>
          <w:color w:val="0000FF"/>
        </w:rPr>
        <w:tab/>
      </w:r>
      <w:r>
        <w:rPr>
          <w:color w:val="0000FF"/>
        </w:rPr>
        <w:t xml:space="preserve">WID. Therefore the table above should include the feature WI data (In case the feature covers Core and Perf. </w:t>
      </w:r>
      <w:r>
        <w:rPr>
          <w:color w:val="0000FF"/>
        </w:rPr>
        <w:tab/>
      </w:r>
      <w:r>
        <w:rPr>
          <w:color w:val="0000FF"/>
        </w:rPr>
        <w:t>part, please list under Working Group the leading WG of the Core part).</w:t>
      </w:r>
    </w:p>
    <w:p>
      <w:pPr>
        <w:pStyle w:val="4"/>
      </w:pPr>
      <w:r>
        <w:t>2.3</w:t>
      </w:r>
      <w:r>
        <w:tab/>
      </w:r>
      <w:r>
        <w:t>Other related Work Items and dependencies</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134"/>
        <w:gridCol w:w="3402"/>
        <w:gridCol w:w="4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54"/>
              <w:ind w:right="-99"/>
              <w:jc w:val="left"/>
            </w:pPr>
            <w:r>
              <w:t>Other related Work/Study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shd w:val="clear" w:color="auto" w:fill="E0E0E0"/>
          </w:tcPr>
          <w:p>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tcPr>
          <w:p>
            <w:pPr>
              <w:pStyle w:val="54"/>
              <w:ind w:right="-99"/>
              <w:jc w:val="left"/>
            </w:pPr>
            <w:r>
              <w:t>Unique ID</w:t>
            </w:r>
          </w:p>
        </w:tc>
        <w:tc>
          <w:tcPr>
            <w:tcW w:w="3402" w:type="dxa"/>
            <w:shd w:val="clear" w:color="auto" w:fill="E0E0E0"/>
          </w:tcPr>
          <w:p>
            <w:pPr>
              <w:pStyle w:val="54"/>
              <w:ind w:right="-99"/>
              <w:jc w:val="left"/>
            </w:pPr>
            <w:r>
              <w:t>Title</w:t>
            </w:r>
          </w:p>
        </w:tc>
        <w:tc>
          <w:tcPr>
            <w:tcW w:w="4536" w:type="dxa"/>
            <w:shd w:val="clear" w:color="auto" w:fill="E0E0E0"/>
          </w:tcPr>
          <w:p>
            <w:pPr>
              <w:pStyle w:val="54"/>
              <w:ind w:right="-99"/>
              <w:jc w:val="left"/>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rPr>
                <w:lang w:val="de-DE"/>
              </w:rPr>
            </w:pPr>
          </w:p>
        </w:tc>
        <w:tc>
          <w:tcPr>
            <w:tcW w:w="1134" w:type="dxa"/>
          </w:tcPr>
          <w:p>
            <w:pPr>
              <w:pStyle w:val="52"/>
            </w:pPr>
          </w:p>
        </w:tc>
        <w:tc>
          <w:tcPr>
            <w:tcW w:w="3402" w:type="dxa"/>
          </w:tcPr>
          <w:p>
            <w:pPr>
              <w:pStyle w:val="52"/>
            </w:pPr>
          </w:p>
        </w:tc>
        <w:tc>
          <w:tcPr>
            <w:tcW w:w="4536" w:type="dxa"/>
          </w:tcPr>
          <w:p>
            <w:pPr>
              <w:pStyle w:val="88"/>
              <w:rPr>
                <w:rFonts w:ascii="Arial" w:hAnsi="Arial" w:cs="Arial"/>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tcPr>
          <w:p>
            <w:pPr>
              <w:pStyle w:val="52"/>
            </w:pPr>
          </w:p>
        </w:tc>
        <w:tc>
          <w:tcPr>
            <w:tcW w:w="1134" w:type="dxa"/>
          </w:tcPr>
          <w:p>
            <w:pPr>
              <w:pStyle w:val="52"/>
            </w:pPr>
          </w:p>
        </w:tc>
        <w:tc>
          <w:tcPr>
            <w:tcW w:w="3402" w:type="dxa"/>
          </w:tcPr>
          <w:p>
            <w:pPr>
              <w:pStyle w:val="52"/>
            </w:pPr>
          </w:p>
        </w:tc>
        <w:tc>
          <w:tcPr>
            <w:tcW w:w="4536" w:type="dxa"/>
          </w:tcPr>
          <w:p>
            <w:pPr>
              <w:pStyle w:val="88"/>
            </w:pPr>
          </w:p>
        </w:tc>
      </w:tr>
    </w:tbl>
    <w:p>
      <w:pPr>
        <w:spacing w:after="0"/>
        <w:ind w:right="-96"/>
        <w:rPr>
          <w:color w:val="0000FF"/>
        </w:rPr>
      </w:pPr>
      <w:r>
        <w:rPr>
          <w:color w:val="0000FF"/>
        </w:rPr>
        <w:t>NOTE:</w:t>
      </w:r>
      <w:r>
        <w:rPr>
          <w:color w:val="0000FF"/>
        </w:rPr>
        <w:tab/>
      </w:r>
      <w:r>
        <w:rPr>
          <w:color w:val="0000FF"/>
        </w:rPr>
        <w:t>Also related or dependent WIs/SIs in other TSGs shall be indicated here.</w:t>
      </w:r>
    </w:p>
    <w:p>
      <w:pPr>
        <w:spacing w:after="0"/>
        <w:ind w:right="-96"/>
        <w:rPr>
          <w:color w:val="0000FF"/>
        </w:rPr>
      </w:pPr>
    </w:p>
    <w:p>
      <w:pPr>
        <w:pStyle w:val="2"/>
        <w:rPr>
          <w:sz w:val="32"/>
          <w:szCs w:val="32"/>
        </w:rPr>
      </w:pPr>
      <w:r>
        <w:rPr>
          <w:sz w:val="32"/>
          <w:szCs w:val="32"/>
        </w:rPr>
        <w:t>3</w:t>
      </w:r>
      <w:r>
        <w:rPr>
          <w:sz w:val="32"/>
          <w:szCs w:val="32"/>
        </w:rPr>
        <w:tab/>
      </w:r>
      <w:r>
        <w:rPr>
          <w:sz w:val="32"/>
          <w:szCs w:val="32"/>
        </w:rPr>
        <w:t>Justification</w:t>
      </w:r>
    </w:p>
    <w:p>
      <w:pPr>
        <w:spacing w:after="0"/>
        <w:ind w:right="-96"/>
        <w:jc w:val="both"/>
      </w:pPr>
      <w:r>
        <w:t xml:space="preserve">RAN4 has introduced numerous NR Carrier Aggregation (CA) </w:t>
      </w:r>
      <w:r>
        <w:rPr>
          <w:rFonts w:hint="eastAsia" w:eastAsia="PMingLiU"/>
          <w:lang w:eastAsia="zh-TW"/>
        </w:rPr>
        <w:t>c</w:t>
      </w:r>
      <w:r>
        <w:rPr>
          <w:rFonts w:eastAsia="PMingLiU"/>
          <w:lang w:eastAsia="zh-TW"/>
        </w:rPr>
        <w:t>onfigurations in past releases. F</w:t>
      </w:r>
      <w:r>
        <w:t xml:space="preserve">ragmented carriers in the same band consuming multiple Rx chains </w:t>
      </w:r>
      <w:r>
        <w:rPr>
          <w:rFonts w:eastAsia="PMingLiU"/>
          <w:lang w:eastAsia="zh-TW"/>
        </w:rPr>
        <w:t>may</w:t>
      </w:r>
      <w:r>
        <w:t xml:space="preserve"> limit the </w:t>
      </w:r>
      <w:bookmarkStart w:id="6" w:name="OLE_LINK10"/>
      <w:r>
        <w:t>UE CA</w:t>
      </w:r>
      <w:bookmarkEnd w:id="6"/>
      <w:r>
        <w:t xml:space="preserve"> capabilities as the maximum supported number of component carriers (CCs) in a CA combination is limited by the number and capabilities of the analog Rx chains as well as the baseband processor capabilities in the UEs. This limitation prevents operators from fully utilizing their fragmented spectrum holdings in a single CA combination. A multi-company proposal was submitted to RAN#102[</w:t>
      </w:r>
      <w:r>
        <w:fldChar w:fldCharType="begin"/>
      </w:r>
      <w:r>
        <w:instrText xml:space="preserve"> HYPERLINK "https://www.3gpp.org/ftp/TSG_RAN/TSG_RAN/TSGR_102/Docs/RP-233374.zip" </w:instrText>
      </w:r>
      <w:r>
        <w:fldChar w:fldCharType="separate"/>
      </w:r>
      <w:r>
        <w:rPr>
          <w:rStyle w:val="49"/>
          <w:lang w:val="en-US"/>
        </w:rPr>
        <w:t>RP-233374</w:t>
      </w:r>
      <w:r>
        <w:rPr>
          <w:rStyle w:val="49"/>
          <w:lang w:val="en-US"/>
        </w:rPr>
        <w:fldChar w:fldCharType="end"/>
      </w:r>
      <w:r>
        <w:t>] and RAN4#110[</w:t>
      </w:r>
      <w:r>
        <w:fldChar w:fldCharType="begin"/>
      </w:r>
      <w:r>
        <w:instrText xml:space="preserve"> HYPERLINK "https://www.3gpp.org/ftp/TSG_RAN/WG4_Radio/TSGR4_110/Docs/R4-2402309.zip" </w:instrText>
      </w:r>
      <w:r>
        <w:fldChar w:fldCharType="separate"/>
      </w:r>
      <w:r>
        <w:rPr>
          <w:rStyle w:val="49"/>
          <w:lang w:val="en-US"/>
        </w:rPr>
        <w:t>R4-2402309</w:t>
      </w:r>
      <w:r>
        <w:rPr>
          <w:rStyle w:val="49"/>
          <w:lang w:val="en-US"/>
        </w:rPr>
        <w:fldChar w:fldCharType="end"/>
      </w:r>
      <w:r>
        <w:t xml:space="preserve">] indicating a potential solution  that could have global impact.  </w:t>
      </w:r>
    </w:p>
    <w:p>
      <w:pPr>
        <w:spacing w:after="0"/>
        <w:ind w:right="-96"/>
        <w:jc w:val="both"/>
      </w:pPr>
    </w:p>
    <w:p>
      <w:pPr>
        <w:spacing w:after="0"/>
        <w:ind w:right="-96"/>
        <w:jc w:val="both"/>
      </w:pPr>
      <w:r>
        <w:t>This study will investigate solutions to address the aforementioned issue, focusing on the use of fewer (shared) Rx chains than the number of carrier fragments in a band.</w:t>
      </w:r>
    </w:p>
    <w:p>
      <w:pPr>
        <w:spacing w:after="0"/>
        <w:ind w:right="-96"/>
        <w:rPr>
          <w:lang w:val="en-US"/>
        </w:rPr>
      </w:pPr>
    </w:p>
    <w:p>
      <w:pPr>
        <w:pStyle w:val="2"/>
        <w:rPr>
          <w:sz w:val="32"/>
          <w:szCs w:val="32"/>
        </w:rPr>
      </w:pPr>
      <w:r>
        <w:rPr>
          <w:sz w:val="32"/>
          <w:szCs w:val="32"/>
        </w:rPr>
        <w:t>4</w:t>
      </w:r>
      <w:r>
        <w:rPr>
          <w:sz w:val="32"/>
          <w:szCs w:val="32"/>
        </w:rPr>
        <w:tab/>
      </w:r>
      <w:r>
        <w:rPr>
          <w:sz w:val="32"/>
          <w:szCs w:val="32"/>
        </w:rPr>
        <w:t>Objective</w:t>
      </w:r>
    </w:p>
    <w:p>
      <w:pPr>
        <w:pStyle w:val="4"/>
        <w:rPr>
          <w:color w:val="0000FF"/>
        </w:rPr>
      </w:pPr>
      <w:r>
        <w:rPr>
          <w:color w:val="0000FF"/>
        </w:rPr>
        <w:t>4.1</w:t>
      </w:r>
      <w:r>
        <w:rPr>
          <w:color w:val="0000FF"/>
        </w:rPr>
        <w:tab/>
      </w:r>
      <w:r>
        <w:rPr>
          <w:color w:val="0000FF"/>
        </w:rPr>
        <w:t>Objective of SI or Core part WI or Testing part WI</w:t>
      </w:r>
    </w:p>
    <w:p>
      <w:pPr>
        <w:rPr>
          <w:iCs/>
        </w:rPr>
      </w:pPr>
      <w:r>
        <w:rPr>
          <w:iCs/>
        </w:rPr>
        <w:t>The objective of this study is as follows:</w:t>
      </w:r>
    </w:p>
    <w:p>
      <w:pPr>
        <w:pStyle w:val="82"/>
      </w:pPr>
      <w:r>
        <w:t>-</w:t>
      </w:r>
      <w:r>
        <w:tab/>
      </w:r>
      <w:r>
        <w:rPr>
          <w:rFonts w:hint="eastAsia"/>
        </w:rPr>
        <w:t xml:space="preserve">Identify methods for </w:t>
      </w:r>
      <w:bookmarkStart w:id="7" w:name="OLE_LINK4"/>
      <w:r>
        <w:rPr>
          <w:rFonts w:hint="eastAsia"/>
        </w:rPr>
        <w:t>reducing</w:t>
      </w:r>
      <w:r>
        <w:t xml:space="preserve"> the</w:t>
      </w:r>
      <w:r>
        <w:rPr>
          <w:rFonts w:hint="eastAsia"/>
        </w:rPr>
        <w:t xml:space="preserve"> number of UE Rx chains</w:t>
      </w:r>
      <w:bookmarkEnd w:id="7"/>
      <w:r>
        <w:rPr>
          <w:rFonts w:hint="eastAsia"/>
        </w:rPr>
        <w:t xml:space="preserve"> (e.g. </w:t>
      </w:r>
      <w:ins w:id="0" w:author="MTK - Ato Yu" w:date="2024-06-17T14:41:00Z">
        <w:r>
          <w:rPr/>
          <w:t xml:space="preserve">from separate RF chains </w:t>
        </w:r>
      </w:ins>
      <w:ins w:id="1" w:author="MTK - Ato Yu" w:date="2024-06-17T17:14:00Z">
        <w:del w:id="2" w:author="Ivo Maljevic" w:date="2024-06-17T20:39:00Z">
          <w:r>
            <w:rPr/>
            <w:delText>[</w:delText>
          </w:r>
        </w:del>
      </w:ins>
      <w:ins w:id="3" w:author="MTK - Ato Yu" w:date="2024-06-17T17:14:00Z">
        <w:r>
          <w:rPr/>
          <w:t>per CC</w:t>
        </w:r>
      </w:ins>
      <w:ins w:id="4" w:author="MTK - Ato Yu" w:date="2024-06-17T17:14:00Z">
        <w:del w:id="5" w:author="Ivo Maljevic" w:date="2024-06-17T20:39:00Z">
          <w:r>
            <w:rPr/>
            <w:delText>]</w:delText>
          </w:r>
        </w:del>
      </w:ins>
      <w:ins w:id="6" w:author="MTK - Ato Yu" w:date="2024-06-17T17:14:00Z">
        <w:r>
          <w:rPr/>
          <w:t xml:space="preserve"> </w:t>
        </w:r>
      </w:ins>
      <w:ins w:id="7" w:author="MTK - Ato Yu" w:date="2024-06-17T14:41:00Z">
        <w:r>
          <w:rPr/>
          <w:t>to shared RF chain</w:t>
        </w:r>
      </w:ins>
      <w:ins w:id="8" w:author="MTK - Ato Yu" w:date="2024-06-17T15:42:00Z">
        <w:r>
          <w:rPr/>
          <w:t>s</w:t>
        </w:r>
      </w:ins>
      <w:ins w:id="9" w:author="MTK - Ato Yu" w:date="2024-06-17T17:14:00Z">
        <w:r>
          <w:rPr/>
          <w:t xml:space="preserve"> </w:t>
        </w:r>
      </w:ins>
      <w:del w:id="10" w:author="MTK - Ato Yu" w:date="2024-06-17T14:41:00Z">
        <w:r>
          <w:rPr>
            <w:rFonts w:hint="eastAsia"/>
          </w:rPr>
          <w:delText>1 or 2</w:delText>
        </w:r>
      </w:del>
      <w:r>
        <w:rPr>
          <w:rFonts w:hint="eastAsia"/>
        </w:rPr>
        <w:t xml:space="preserve">) needed for single DL band </w:t>
      </w:r>
      <w:r>
        <w:t>with frequency span</w:t>
      </w:r>
      <w:r>
        <w:rPr>
          <w:rFonts w:hint="eastAsia"/>
        </w:rPr>
        <w:t xml:space="preserve"> ≤ 100 MHz</w:t>
      </w:r>
      <w:r>
        <w:t>,</w:t>
      </w:r>
      <w:r>
        <w:rPr>
          <w:rFonts w:hint="eastAsia"/>
        </w:rPr>
        <w:t xml:space="preserve"> containing two non-contiguous CCs within a CA combination for the inter-operator co-located scenario, considering: </w:t>
      </w:r>
    </w:p>
    <w:p>
      <w:pPr>
        <w:pStyle w:val="83"/>
      </w:pPr>
      <w:r>
        <w:t>-</w:t>
      </w:r>
      <w:r>
        <w:tab/>
      </w:r>
      <w:r>
        <w:t xml:space="preserve">Which RF requirements could be adjusted for the inter-operator co-located BS scenario, e.g. existing UE RF requirements such as </w:t>
      </w:r>
      <w:ins w:id="11" w:author="MTK - Ato Yu" w:date="2024-06-17T14:36:00Z">
        <w:r>
          <w:rPr>
            <w:rFonts w:cs="Arial"/>
          </w:rPr>
          <w:t>ΔR</w:t>
        </w:r>
      </w:ins>
      <w:ins w:id="12" w:author="MTK - Ato Yu" w:date="2024-06-17T14:36:00Z">
        <w:r>
          <w:rPr>
            <w:rFonts w:cs="Arial"/>
            <w:vertAlign w:val="subscript"/>
          </w:rPr>
          <w:t>IBNC</w:t>
        </w:r>
      </w:ins>
      <w:ins w:id="13" w:author="MTK - Ato Yu" w:date="2024-06-17T14:36:00Z">
        <w:r>
          <w:rPr>
            <w:lang w:eastAsia="zh-CN"/>
          </w:rPr>
          <w:t xml:space="preserve">, </w:t>
        </w:r>
      </w:ins>
      <w:r>
        <w:t xml:space="preserve">ACS </w:t>
      </w:r>
      <w:ins w:id="14" w:author="MTK - Ato Yu" w:date="2024-06-17T14:36:00Z">
        <w:r>
          <w:rPr>
            <w:lang w:eastAsia="zh-CN"/>
          </w:rPr>
          <w:t>and in-band blocking</w:t>
        </w:r>
      </w:ins>
      <w:ins w:id="15" w:author="MTK - Ato Yu" w:date="2024-06-17T14:36:00Z">
        <w:r>
          <w:rPr/>
          <w:t xml:space="preserve"> </w:t>
        </w:r>
      </w:ins>
      <w:r>
        <w:t>[RAN4];</w:t>
      </w:r>
    </w:p>
    <w:p>
      <w:pPr>
        <w:pStyle w:val="83"/>
      </w:pPr>
      <w:r>
        <w:t>-</w:t>
      </w:r>
      <w:r>
        <w:tab/>
      </w:r>
      <w:r>
        <w:t xml:space="preserve">The ability to semi-statically switch hardware resources (i.e. Rx chains) </w:t>
      </w:r>
      <w:del w:id="16" w:author="MTK - Ato Yu" w:date="2024-06-17T15:55:00Z">
        <w:r>
          <w:rPr/>
          <w:delText xml:space="preserve">between bands </w:delText>
        </w:r>
      </w:del>
      <w:r>
        <w:t>[RAN4, RAN2 – See note 2];</w:t>
      </w:r>
    </w:p>
    <w:p>
      <w:pPr>
        <w:pStyle w:val="83"/>
        <w:rPr>
          <w:ins w:id="17" w:author="MTK - Ato Yu" w:date="2024-06-17T14:56:00Z"/>
        </w:rPr>
      </w:pPr>
      <w:bookmarkStart w:id="8" w:name="OLE_LINK12"/>
      <w:r>
        <w:t>-</w:t>
      </w:r>
      <w:r>
        <w:tab/>
      </w:r>
      <w:bookmarkEnd w:id="8"/>
      <w:r>
        <w:t xml:space="preserve">Up to 6 dB DL </w:t>
      </w:r>
      <w:ins w:id="18" w:author="Ivo Maljevic" w:date="2024-06-17T20:39:00Z">
        <w:bookmarkStart w:id="9" w:name="OLE_LINK9"/>
        <w:r>
          <w:rPr/>
          <w:t xml:space="preserve">received </w:t>
        </w:r>
      </w:ins>
      <w:r>
        <w:t xml:space="preserve">power </w:t>
      </w:r>
      <w:del w:id="19" w:author="MTK - Ato Yu" w:date="2024-06-17T15:39:00Z">
        <w:r>
          <w:rPr>
            <w:rFonts w:hint="eastAsia" w:eastAsia="PMingLiU"/>
            <w:lang w:eastAsia="zh-TW"/>
          </w:rPr>
          <w:delText>s</w:delText>
        </w:r>
      </w:del>
      <w:del w:id="20" w:author="MTK - Ato Yu" w:date="2024-06-17T15:39:00Z">
        <w:r>
          <w:rPr>
            <w:rFonts w:eastAsia="PMingLiU"/>
            <w:lang w:eastAsia="zh-TW"/>
          </w:rPr>
          <w:delText>pectral density</w:delText>
        </w:r>
      </w:del>
      <w:del w:id="21" w:author="MTK - Ato Yu" w:date="2024-06-17T15:39:00Z">
        <w:r>
          <w:rPr/>
          <w:delText xml:space="preserve"> </w:delText>
        </w:r>
      </w:del>
      <w:r>
        <w:t>imbalance</w:t>
      </w:r>
      <w:bookmarkEnd w:id="9"/>
      <w:r>
        <w:t xml:space="preserve"> between the two non-contiguous CCs [RAN4];</w:t>
      </w:r>
    </w:p>
    <w:p>
      <w:pPr>
        <w:pStyle w:val="83"/>
      </w:pPr>
      <w:ins w:id="22" w:author="MTK - Ato Yu" w:date="2024-06-17T16:37:00Z">
        <w:r>
          <w:rPr/>
          <w:t>-</w:t>
        </w:r>
      </w:ins>
      <w:ins w:id="23" w:author="MTK - Ato Yu" w:date="2024-06-17T16:37:00Z">
        <w:r>
          <w:rPr/>
          <w:tab/>
        </w:r>
      </w:ins>
      <w:ins w:id="24" w:author="MTK - Ato Yu" w:date="2024-06-17T14:58:00Z">
        <w:del w:id="25" w:author="Ivo Maljevic" w:date="2024-06-17T20:40:00Z">
          <w:r>
            <w:rPr/>
            <w:delText>[</w:delText>
          </w:r>
        </w:del>
      </w:ins>
      <w:ins w:id="26" w:author="MTK - Ato Yu" w:date="2024-06-17T14:57:00Z">
        <w:r>
          <w:rPr/>
          <w:t xml:space="preserve">Study </w:t>
        </w:r>
      </w:ins>
      <w:ins w:id="27" w:author="MTK - Ato Yu" w:date="2024-06-17T15:19:00Z">
        <w:r>
          <w:rPr/>
          <w:t>whether to</w:t>
        </w:r>
      </w:ins>
      <w:ins w:id="28" w:author="MTK - Ato Yu" w:date="2024-06-17T14:57:00Z">
        <w:r>
          <w:rPr/>
          <w:t xml:space="preserve"> </w:t>
        </w:r>
      </w:ins>
      <w:ins w:id="29" w:author="MTK - Ato Yu" w:date="2024-06-17T14:58:00Z">
        <w:r>
          <w:rPr/>
          <w:t>consider</w:t>
        </w:r>
      </w:ins>
      <w:ins w:id="30" w:author="MTK - Ato Yu" w:date="2024-06-17T14:57:00Z">
        <w:r>
          <w:rPr/>
          <w:t xml:space="preserve"> </w:t>
        </w:r>
      </w:ins>
      <w:ins w:id="31" w:author="MTK - Ato Yu" w:date="2024-06-17T14:58:00Z">
        <w:r>
          <w:rPr/>
          <w:t xml:space="preserve">maximum </w:t>
        </w:r>
      </w:ins>
      <w:ins w:id="32" w:author="MTK - Ato Yu" w:date="2024-06-17T15:17:00Z">
        <w:r>
          <w:rPr/>
          <w:t>power imbalance</w:t>
        </w:r>
      </w:ins>
      <w:ins w:id="33" w:author="MTK - Ato Yu" w:date="2024-06-17T15:18:00Z">
        <w:r>
          <w:rPr/>
          <w:t xml:space="preserve"> among </w:t>
        </w:r>
      </w:ins>
      <w:ins w:id="34" w:author="MTK - Ato Yu" w:date="2024-06-17T15:19:00Z">
        <w:r>
          <w:rPr/>
          <w:t>inter-operator carriers</w:t>
        </w:r>
      </w:ins>
      <w:ins w:id="35" w:author="MTK - Ato Yu" w:date="2024-06-17T14:58:00Z">
        <w:del w:id="36" w:author="Ivo Maljevic" w:date="2024-06-17T20:40:00Z">
          <w:r>
            <w:rPr/>
            <w:delText>]</w:delText>
          </w:r>
        </w:del>
      </w:ins>
    </w:p>
    <w:p>
      <w:pPr>
        <w:pStyle w:val="83"/>
        <w:rPr>
          <w:ins w:id="37" w:author="MTK - Ato Yu" w:date="2024-06-17T14:37:00Z"/>
        </w:rPr>
      </w:pPr>
      <w:r>
        <w:t>-</w:t>
      </w:r>
      <w:r>
        <w:tab/>
      </w:r>
      <w:r>
        <w:t>Impacts on DL performance [RAN4] ;</w:t>
      </w:r>
    </w:p>
    <w:p>
      <w:pPr>
        <w:pStyle w:val="83"/>
        <w:numPr>
          <w:ilvl w:val="0"/>
          <w:numId w:val="1"/>
        </w:numPr>
      </w:pPr>
      <w:ins w:id="38" w:author="MTK - Ato Yu" w:date="2024-06-17T14:37:00Z">
        <w:bookmarkStart w:id="10" w:name="OLE_LINK5"/>
        <w:r>
          <w:rPr/>
          <w:t>E.g. REFSENS degradation due to shared Rx chain</w:t>
        </w:r>
      </w:ins>
    </w:p>
    <w:bookmarkEnd w:id="10"/>
    <w:p>
      <w:pPr>
        <w:pStyle w:val="83"/>
        <w:rPr>
          <w:bCs/>
        </w:rPr>
      </w:pPr>
      <w:bookmarkStart w:id="11" w:name="OLE_LINK1"/>
      <w:r>
        <w:t>-</w:t>
      </w:r>
      <w:r>
        <w:tab/>
      </w:r>
      <w:bookmarkEnd w:id="11"/>
      <w:r>
        <w:t>Means for a UE to inform the network of new CA configuration it can support with adjusted RF requirements [RAN4, RAN2 – See note 2].</w:t>
      </w:r>
    </w:p>
    <w:p>
      <w:pPr>
        <w:pStyle w:val="94"/>
        <w:spacing w:after="0"/>
        <w:ind w:left="960" w:leftChars="0"/>
        <w:rPr>
          <w:bCs/>
        </w:rPr>
      </w:pPr>
    </w:p>
    <w:p>
      <w:pPr>
        <w:pStyle w:val="63"/>
        <w:rPr>
          <w:lang w:eastAsia="zh-TW"/>
        </w:rPr>
      </w:pPr>
      <w:r>
        <w:rPr>
          <w:lang w:eastAsia="zh-TW"/>
        </w:rPr>
        <w:t>NOTE 1:</w:t>
      </w:r>
      <w:r>
        <w:rPr>
          <w:lang w:eastAsia="zh-TW"/>
        </w:rPr>
        <w:tab/>
      </w:r>
      <w:r>
        <w:rPr>
          <w:lang w:eastAsia="zh-TW"/>
        </w:rPr>
        <w:t>No RAN1 impact is foreseen</w:t>
      </w:r>
    </w:p>
    <w:p>
      <w:pPr>
        <w:pStyle w:val="63"/>
        <w:rPr>
          <w:del w:id="39" w:author="MTK - Ato Yu" w:date="2024-06-17T14:34:00Z"/>
          <w:lang w:eastAsia="zh-TW"/>
        </w:rPr>
      </w:pPr>
      <w:r>
        <w:rPr>
          <w:lang w:eastAsia="zh-TW"/>
        </w:rPr>
        <w:t>NOTE 2:</w:t>
      </w:r>
      <w:r>
        <w:rPr>
          <w:lang w:eastAsia="zh-TW"/>
        </w:rPr>
        <w:tab/>
      </w:r>
      <w:r>
        <w:rPr>
          <w:lang w:eastAsia="zh-TW"/>
        </w:rPr>
        <w:t>RAN2 work, if necessary, will be triggered by RAN4 LS</w:t>
      </w:r>
    </w:p>
    <w:p>
      <w:pPr>
        <w:pStyle w:val="63"/>
        <w:rPr>
          <w:ins w:id="40" w:author="MTK - Ato Yu" w:date="2024-06-17T14:37:00Z"/>
          <w:rFonts w:eastAsia="PMingLiU"/>
          <w:lang w:eastAsia="zh-TW"/>
        </w:rPr>
      </w:pPr>
      <w:ins w:id="41" w:author="MTK - Ato Yu" w:date="2024-06-17T14:37:00Z">
        <w:r>
          <w:rPr>
            <w:rFonts w:hint="eastAsia" w:eastAsia="PMingLiU"/>
            <w:lang w:eastAsia="zh-TW"/>
          </w:rPr>
          <w:t>N</w:t>
        </w:r>
      </w:ins>
      <w:ins w:id="42" w:author="MTK - Ato Yu" w:date="2024-06-17T14:37:00Z">
        <w:r>
          <w:rPr>
            <w:rFonts w:eastAsia="PMingLiU"/>
            <w:lang w:eastAsia="zh-TW"/>
          </w:rPr>
          <w:t>OTE 3:</w:t>
        </w:r>
      </w:ins>
      <w:ins w:id="43" w:author="MTK - Ato Yu" w:date="2024-06-17T14:38:00Z">
        <w:r>
          <w:rPr>
            <w:rFonts w:eastAsia="PMingLiU"/>
            <w:lang w:eastAsia="zh-TW"/>
          </w:rPr>
          <w:tab/>
        </w:r>
      </w:ins>
      <w:ins w:id="44" w:author="MTK - Ato Yu" w:date="2024-06-17T14:38:00Z">
        <w:r>
          <w:rPr>
            <w:rFonts w:eastAsia="PMingLiU"/>
            <w:lang w:eastAsia="zh-TW"/>
          </w:rPr>
          <w:t>This study starts from single DL band</w:t>
        </w:r>
      </w:ins>
      <w:ins w:id="45" w:author="MTK - Ato Yu" w:date="2024-06-17T14:41:00Z">
        <w:r>
          <w:rPr>
            <w:rFonts w:eastAsia="PMingLiU"/>
            <w:lang w:eastAsia="zh-TW"/>
          </w:rPr>
          <w:t>.</w:t>
        </w:r>
      </w:ins>
      <w:ins w:id="46" w:author="MTK - Ato Yu" w:date="2024-06-17T14:38:00Z">
        <w:r>
          <w:rPr>
            <w:rFonts w:eastAsia="PMingLiU"/>
            <w:lang w:eastAsia="zh-TW"/>
          </w:rPr>
          <w:t xml:space="preserve"> </w:t>
        </w:r>
      </w:ins>
      <w:ins w:id="47" w:author="MTK - Ato Yu" w:date="2024-06-17T15:30:00Z">
        <w:r>
          <w:rPr>
            <w:rFonts w:eastAsia="PMingLiU"/>
            <w:lang w:eastAsia="zh-TW"/>
          </w:rPr>
          <w:t xml:space="preserve">Sharing RF chain is not considered among inter-band </w:t>
        </w:r>
      </w:ins>
      <w:ins w:id="48" w:author="MTK - Ato Yu" w:date="2024-06-17T15:31:00Z">
        <w:r>
          <w:rPr>
            <w:rFonts w:eastAsia="PMingLiU"/>
            <w:lang w:eastAsia="zh-TW"/>
          </w:rPr>
          <w:t xml:space="preserve">DL </w:t>
        </w:r>
      </w:ins>
      <w:ins w:id="49" w:author="MTK - Ato Yu" w:date="2024-06-17T15:30:00Z">
        <w:r>
          <w:rPr>
            <w:rFonts w:eastAsia="PMingLiU"/>
            <w:lang w:eastAsia="zh-TW"/>
          </w:rPr>
          <w:t>carriers</w:t>
        </w:r>
      </w:ins>
      <w:ins w:id="50" w:author="MTK - Ato Yu" w:date="2024-06-17T14:39:00Z">
        <w:r>
          <w:rPr>
            <w:rFonts w:eastAsia="PMingLiU"/>
            <w:lang w:eastAsia="zh-TW"/>
          </w:rPr>
          <w:t>.</w:t>
        </w:r>
      </w:ins>
      <w:ins w:id="51" w:author="MTK - Ato Yu" w:date="2024-06-17T15:34:00Z">
        <w:r>
          <w:rPr>
            <w:rFonts w:eastAsia="PMingLiU"/>
            <w:lang w:eastAsia="zh-TW"/>
          </w:rPr>
          <w:t xml:space="preserve"> </w:t>
        </w:r>
      </w:ins>
      <w:ins w:id="52" w:author="MTK - Ato Yu" w:date="2024-06-17T18:12:00Z">
        <w:r>
          <w:rPr>
            <w:rFonts w:eastAsia="PMingLiU"/>
            <w:lang w:eastAsia="zh-TW"/>
          </w:rPr>
          <w:t>[</w:t>
        </w:r>
      </w:ins>
      <w:ins w:id="53" w:author="MTK - Ato Yu" w:date="2024-06-17T15:34:00Z">
        <w:r>
          <w:rPr>
            <w:rFonts w:eastAsia="PMingLiU"/>
            <w:lang w:eastAsia="zh-TW"/>
          </w:rPr>
          <w:t>Higher order band combinations</w:t>
        </w:r>
      </w:ins>
      <w:ins w:id="54" w:author="MTK - Ato Yu" w:date="2024-06-17T15:35:00Z">
        <w:r>
          <w:rPr>
            <w:rFonts w:eastAsia="PMingLiU"/>
            <w:lang w:eastAsia="zh-TW"/>
          </w:rPr>
          <w:t xml:space="preserve"> can be considered after RAN#106.</w:t>
        </w:r>
      </w:ins>
      <w:ins w:id="55" w:author="MTK - Ato Yu" w:date="2024-06-17T18:12:00Z">
        <w:r>
          <w:rPr>
            <w:rFonts w:eastAsia="PMingLiU"/>
            <w:lang w:eastAsia="zh-TW"/>
          </w:rPr>
          <w:t>]</w:t>
        </w:r>
      </w:ins>
    </w:p>
    <w:p>
      <w:pPr>
        <w:pStyle w:val="63"/>
        <w:rPr>
          <w:lang w:eastAsia="zh-TW"/>
        </w:rPr>
      </w:pPr>
      <w:del w:id="56" w:author="MTK - Ato Yu" w:date="2024-06-17T14:34:00Z">
        <w:r>
          <w:rPr>
            <w:lang w:eastAsia="zh-TW"/>
          </w:rPr>
          <w:delText xml:space="preserve">NOTE 3: </w:delText>
        </w:r>
      </w:del>
      <w:del w:id="57" w:author="MTK - Ato Yu" w:date="2024-06-17T14:34:00Z">
        <w:r>
          <w:rPr>
            <w:lang w:eastAsia="zh-TW"/>
          </w:rPr>
          <w:tab/>
        </w:r>
      </w:del>
      <w:del w:id="58" w:author="MTK - Ato Yu" w:date="2024-06-17T14:34:00Z">
        <w:r>
          <w:rPr>
            <w:lang w:eastAsia="zh-TW"/>
          </w:rPr>
          <w:delText>When the study is complete, consider normative work to define core requirements using the identified solution</w:delText>
        </w:r>
      </w:del>
    </w:p>
    <w:p>
      <w:pPr>
        <w:spacing w:after="0"/>
        <w:rPr>
          <w:bCs/>
        </w:rPr>
      </w:pPr>
    </w:p>
    <w:p>
      <w:pPr>
        <w:pStyle w:val="4"/>
        <w:rPr>
          <w:color w:val="0000FF"/>
        </w:rPr>
      </w:pPr>
      <w:r>
        <w:rPr>
          <w:color w:val="0000FF"/>
        </w:rPr>
        <w:t>4.2</w:t>
      </w:r>
      <w:r>
        <w:rPr>
          <w:color w:val="0000FF"/>
        </w:rPr>
        <w:tab/>
      </w:r>
      <w:r>
        <w:rPr>
          <w:color w:val="0000FF"/>
        </w:rPr>
        <w:t>Objective of Performance part WI</w:t>
      </w:r>
    </w:p>
    <w:p>
      <w:pPr>
        <w:pStyle w:val="63"/>
        <w:rPr>
          <w:color w:val="0000FF"/>
        </w:rPr>
      </w:pPr>
      <w:r>
        <w:rPr>
          <w:color w:val="0000FF"/>
        </w:rPr>
        <w:t>NOTE:</w:t>
      </w:r>
      <w:r>
        <w:rPr>
          <w:color w:val="0000FF"/>
        </w:rPr>
        <w:tab/>
      </w:r>
      <w:r>
        <w:rPr>
          <w:color w:val="0000FF"/>
        </w:rPr>
        <w:t>Leave empty if the WI proposal does not contain a RAN performance part.</w:t>
      </w:r>
    </w:p>
    <w:p>
      <w:pPr>
        <w:spacing w:after="0"/>
      </w:pPr>
    </w:p>
    <w:p>
      <w:pPr>
        <w:spacing w:after="0"/>
      </w:pPr>
    </w:p>
    <w:p>
      <w:pPr>
        <w:spacing w:after="0"/>
      </w:pPr>
    </w:p>
    <w:p>
      <w:pPr>
        <w:pStyle w:val="4"/>
        <w:rPr>
          <w:color w:val="0000FF"/>
        </w:rPr>
      </w:pPr>
      <w:r>
        <w:rPr>
          <w:color w:val="0000FF"/>
        </w:rPr>
        <w:t>4.3</w:t>
      </w:r>
      <w:r>
        <w:rPr>
          <w:color w:val="0000FF"/>
        </w:rPr>
        <w:tab/>
      </w:r>
      <w:r>
        <w:rPr>
          <w:color w:val="0000FF"/>
        </w:rPr>
        <w:t>RAN time budget request (not applicable to RAN5 WIs/SIs)</w:t>
      </w:r>
    </w:p>
    <w:p>
      <w:pPr>
        <w:pStyle w:val="63"/>
        <w:rPr>
          <w:color w:val="0000FF"/>
        </w:rPr>
      </w:pPr>
      <w:r>
        <w:rPr>
          <w:color w:val="0000FF"/>
        </w:rPr>
        <w:t>NOTE:</w:t>
      </w:r>
      <w:r>
        <w:rPr>
          <w:color w:val="0000FF"/>
        </w:rPr>
        <w:tab/>
      </w:r>
      <w:r>
        <w:rPr>
          <w:color w:val="0000FF"/>
        </w:rPr>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ype="textWrapping"/>
      </w:r>
      <w:r>
        <w:rPr>
          <w:color w:val="0000FF"/>
        </w:rPr>
        <w:t>The Excel table has to be filled out for all affected RAN WGs and up to the target date of the WI/SI.</w:t>
      </w:r>
      <w:r>
        <w:rPr>
          <w:color w:val="0000FF"/>
        </w:rPr>
        <w:br w:type="textWrapping"/>
      </w:r>
      <w:r>
        <w:rPr>
          <w:color w:val="0000FF"/>
        </w:rPr>
        <w:t>One time unit (TU) corresponds to ~ 2 hours in the meeting.</w:t>
      </w:r>
      <w:r>
        <w:rPr>
          <w:color w:val="0000FF"/>
        </w:rPr>
        <w:br w:type="textWrapping"/>
      </w:r>
      <w:r>
        <w:rPr>
          <w:color w:val="0000FF"/>
        </w:rPr>
        <w:t>If no TU is needed, then leave the field empty otherwise enter a number &gt;0 in the field.</w:t>
      </w:r>
    </w:p>
    <w:p>
      <w:pPr>
        <w:pStyle w:val="63"/>
        <w:rPr>
          <w:color w:val="0000FF"/>
        </w:rPr>
      </w:pPr>
      <w:r>
        <w:rPr>
          <w:color w:val="0000FF"/>
        </w:rPr>
        <w:tab/>
      </w:r>
      <w:r>
        <w:rPr>
          <w:color w:val="0000FF"/>
        </w:rPr>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pPr>
        <w:pStyle w:val="63"/>
        <w:rPr>
          <w:color w:val="0000FF"/>
        </w:rPr>
      </w:pPr>
      <w:r>
        <w:rPr>
          <w:color w:val="0000FF"/>
        </w:rPr>
        <w:tab/>
      </w:r>
      <w:r>
        <w:rPr>
          <w:color w:val="0000FF"/>
        </w:rPr>
        <w:t>If this WID is covering Core and Performance part, then please fill out one line for each part in the attached Excel table.</w:t>
      </w:r>
    </w:p>
    <w:p>
      <w:pPr>
        <w:ind w:right="-99"/>
        <w:rPr>
          <w:b/>
          <w:bCs/>
          <w:color w:val="0000FF"/>
        </w:rPr>
      </w:pPr>
      <w:r>
        <w:rPr>
          <w:b/>
          <w:bCs/>
          <w:color w:val="0000FF"/>
        </w:rPr>
        <w:t>additional comments to the time budget request in the attached Excel table:</w:t>
      </w:r>
    </w:p>
    <w:p>
      <w:pPr>
        <w:spacing w:after="0"/>
      </w:pPr>
    </w:p>
    <w:p>
      <w:pPr>
        <w:rPr>
          <w:i/>
        </w:rPr>
      </w:pPr>
    </w:p>
    <w:p>
      <w:pPr>
        <w:pStyle w:val="2"/>
        <w:rPr>
          <w:sz w:val="32"/>
          <w:szCs w:val="32"/>
        </w:rPr>
      </w:pPr>
      <w:r>
        <w:rPr>
          <w:sz w:val="32"/>
          <w:szCs w:val="32"/>
        </w:rPr>
        <w:t>5</w:t>
      </w:r>
      <w:r>
        <w:rPr>
          <w:sz w:val="32"/>
          <w:szCs w:val="32"/>
        </w:rPr>
        <w:tab/>
      </w:r>
      <w:r>
        <w:rPr>
          <w:sz w:val="32"/>
          <w:szCs w:val="32"/>
        </w:rPr>
        <w:t>Expected Output and Time scale</w:t>
      </w:r>
    </w:p>
    <w:tbl>
      <w:tblPr>
        <w:tblStyle w:val="4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52"/>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pPr>
              <w:spacing w:after="0"/>
              <w:ind w:right="-99"/>
            </w:pPr>
            <w:r>
              <w:rPr>
                <w:sz w:val="16"/>
                <w:szCs w:val="16"/>
              </w:rPr>
              <w:t>TS/TR number</w:t>
            </w:r>
          </w:p>
        </w:tc>
        <w:tc>
          <w:tcPr>
            <w:tcW w:w="2409"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074"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pPr>
              <w:spacing w:after="0"/>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after="0"/>
              <w:rPr>
                <w:iCs/>
              </w:rPr>
            </w:pPr>
            <w:r>
              <w:rPr>
                <w:iCs/>
              </w:rPr>
              <w:t>Internal TR</w:t>
            </w:r>
          </w:p>
        </w:tc>
        <w:tc>
          <w:tcPr>
            <w:tcW w:w="1134" w:type="dxa"/>
          </w:tcPr>
          <w:p>
            <w:pPr>
              <w:spacing w:after="0"/>
              <w:rPr>
                <w:iCs/>
              </w:rPr>
            </w:pPr>
            <w:r>
              <w:rPr>
                <w:iCs/>
              </w:rPr>
              <w:t>TR 38.xyz</w:t>
            </w:r>
          </w:p>
        </w:tc>
        <w:tc>
          <w:tcPr>
            <w:tcW w:w="2409" w:type="dxa"/>
          </w:tcPr>
          <w:p>
            <w:pPr>
              <w:spacing w:after="0"/>
              <w:rPr>
                <w:i/>
              </w:rPr>
            </w:pPr>
            <w:r>
              <w:rPr>
                <w:i/>
              </w:rPr>
              <w:t>Study on NR FR1 Fragmented Carriers</w:t>
            </w:r>
          </w:p>
        </w:tc>
        <w:tc>
          <w:tcPr>
            <w:tcW w:w="993" w:type="dxa"/>
          </w:tcPr>
          <w:p>
            <w:pPr>
              <w:spacing w:after="0"/>
              <w:rPr>
                <w:i/>
              </w:rPr>
            </w:pPr>
            <w:r>
              <w:rPr>
                <w:i/>
              </w:rPr>
              <w:t>N/A</w:t>
            </w:r>
          </w:p>
        </w:tc>
        <w:tc>
          <w:tcPr>
            <w:tcW w:w="1074" w:type="dxa"/>
          </w:tcPr>
          <w:p>
            <w:pPr>
              <w:spacing w:after="0"/>
              <w:rPr>
                <w:i/>
              </w:rPr>
            </w:pPr>
            <w:r>
              <w:rPr>
                <w:i/>
              </w:rPr>
              <w:t>TSG #108 / Jun 2025</w:t>
            </w:r>
          </w:p>
        </w:tc>
        <w:tc>
          <w:tcPr>
            <w:tcW w:w="2186" w:type="dxa"/>
          </w:tcPr>
          <w:p>
            <w:pPr>
              <w:spacing w:after="0"/>
              <w:rPr>
                <w:i/>
              </w:rPr>
            </w:pPr>
            <w:r>
              <w:rPr>
                <w:i/>
              </w:rPr>
              <w:t>One-step approval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pStyle w:val="52"/>
            </w:pPr>
          </w:p>
        </w:tc>
        <w:tc>
          <w:tcPr>
            <w:tcW w:w="1134" w:type="dxa"/>
          </w:tcPr>
          <w:p>
            <w:pPr>
              <w:pStyle w:val="52"/>
            </w:pPr>
          </w:p>
        </w:tc>
        <w:tc>
          <w:tcPr>
            <w:tcW w:w="2409" w:type="dxa"/>
          </w:tcPr>
          <w:p>
            <w:pPr>
              <w:pStyle w:val="52"/>
            </w:pPr>
          </w:p>
        </w:tc>
        <w:tc>
          <w:tcPr>
            <w:tcW w:w="993" w:type="dxa"/>
          </w:tcPr>
          <w:p>
            <w:pPr>
              <w:pStyle w:val="52"/>
            </w:pPr>
          </w:p>
        </w:tc>
        <w:tc>
          <w:tcPr>
            <w:tcW w:w="1074" w:type="dxa"/>
          </w:tcPr>
          <w:p>
            <w:pPr>
              <w:pStyle w:val="52"/>
            </w:pPr>
          </w:p>
        </w:tc>
        <w:tc>
          <w:tcPr>
            <w:tcW w:w="2186" w:type="dxa"/>
          </w:tcPr>
          <w:p>
            <w:pPr>
              <w:pStyle w:val="52"/>
            </w:pPr>
          </w:p>
        </w:tc>
      </w:tr>
    </w:tbl>
    <w:p>
      <w:pPr>
        <w:pStyle w:val="63"/>
        <w:rPr>
          <w:i/>
        </w:rPr>
      </w:pPr>
      <w:r>
        <w:rPr>
          <w:i/>
        </w:rPr>
        <w:t>{Note 1: Only TSs may contain normative provisions. Study Items shall create or impact only TRs.</w:t>
      </w:r>
      <w:r>
        <w:rPr>
          <w:i/>
        </w:rPr>
        <w:br w:type="textWrapping"/>
      </w:r>
      <w:r>
        <w:rPr>
          <w:i/>
        </w:rPr>
        <w:t>"Internal TR" is intended for 3GPP internal use only whereas "External TR" may be transposed by OPs.}</w:t>
      </w:r>
    </w:p>
    <w:p>
      <w:pPr>
        <w:pStyle w:val="63"/>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By default a new specs can only be new for one of both parts.</w:t>
      </w:r>
    </w:p>
    <w:p>
      <w:pPr>
        <w:pStyle w:val="63"/>
      </w:pPr>
    </w:p>
    <w:tbl>
      <w:tblPr>
        <w:tblStyle w:val="44"/>
        <w:tblW w:w="0" w:type="auto"/>
        <w:tblInd w:w="0" w:type="dxa"/>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p>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52"/>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52"/>
              <w:ind w:right="-99"/>
              <w:rPr>
                <w:sz w:val="16"/>
                <w:szCs w:val="16"/>
              </w:rPr>
            </w:pPr>
            <w:r>
              <w:rPr>
                <w:sz w:val="16"/>
                <w:szCs w:val="16"/>
              </w:rPr>
              <w:t>Remarks</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spacing w:after="0"/>
              <w:rPr>
                <w:i/>
              </w:rPr>
            </w:pPr>
            <w:r>
              <w:rPr>
                <w:i/>
              </w:rPr>
              <w:t>{E.g. "22.281"}</w:t>
            </w:r>
          </w:p>
        </w:tc>
        <w:tc>
          <w:tcPr>
            <w:tcW w:w="4344" w:type="dxa"/>
            <w:tcBorders>
              <w:top w:val="single" w:color="auto" w:sz="4" w:space="0"/>
              <w:left w:val="single" w:color="auto" w:sz="4" w:space="0"/>
              <w:bottom w:val="single" w:color="auto" w:sz="4" w:space="0"/>
              <w:right w:val="single" w:color="auto" w:sz="4" w:space="0"/>
            </w:tcBorders>
          </w:tcPr>
          <w:p>
            <w:pPr>
              <w:spacing w:after="0"/>
              <w:rPr>
                <w:i/>
              </w:rPr>
            </w:pPr>
            <w:r>
              <w:rPr>
                <w:i/>
              </w:rPr>
              <w:t xml:space="preserve">{Possible values: </w:t>
            </w:r>
          </w:p>
          <w:p>
            <w:pPr>
              <w:spacing w:after="0"/>
              <w:rPr>
                <w:i/>
              </w:rPr>
            </w:pPr>
            <w:r>
              <w:rPr>
                <w:i/>
              </w:rPr>
              <w:t xml:space="preserve">- either free text (e.g. “CS aspects to be removed") </w:t>
            </w:r>
            <w:r>
              <w:rPr>
                <w:i/>
              </w:rPr>
              <w:br w:type="textWrapping"/>
            </w:r>
            <w:r>
              <w:rPr>
                <w:i/>
              </w:rPr>
              <w:t>- or “Specification to be withdrawn”}</w:t>
            </w:r>
          </w:p>
        </w:tc>
        <w:tc>
          <w:tcPr>
            <w:tcW w:w="1417" w:type="dxa"/>
            <w:tcBorders>
              <w:top w:val="single" w:color="auto" w:sz="4" w:space="0"/>
              <w:left w:val="single" w:color="auto" w:sz="4" w:space="0"/>
              <w:bottom w:val="single" w:color="auto" w:sz="4" w:space="0"/>
              <w:right w:val="single" w:color="auto" w:sz="4" w:space="0"/>
            </w:tcBorders>
          </w:tcPr>
          <w:p>
            <w:pPr>
              <w:spacing w:after="0"/>
              <w:rPr>
                <w:i/>
              </w:rPr>
            </w:pPr>
            <w:r>
              <w:rPr>
                <w:i/>
              </w:rPr>
              <w:t>{E.g. "TSG#89"}</w:t>
            </w:r>
          </w:p>
        </w:tc>
        <w:tc>
          <w:tcPr>
            <w:tcW w:w="2101" w:type="dxa"/>
            <w:tcBorders>
              <w:top w:val="single" w:color="auto" w:sz="4" w:space="0"/>
              <w:left w:val="single" w:color="auto" w:sz="4" w:space="0"/>
              <w:bottom w:val="single" w:color="auto" w:sz="4" w:space="0"/>
              <w:right w:val="single" w:color="auto" w:sz="4" w:space="0"/>
            </w:tcBorders>
          </w:tcPr>
          <w:p>
            <w:pPr>
              <w:spacing w:after="0"/>
              <w:rPr>
                <w:i/>
              </w:rPr>
            </w:pPr>
            <w:r>
              <w:rPr>
                <w:i/>
              </w:rPr>
              <w:t>{Free text, e.g. "This TS covers Stage 2" or "This TS covers Stage 3" or "This TS covers both stages 2 and 3"}</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tcPr>
          <w:p>
            <w:pPr>
              <w:pStyle w:val="52"/>
            </w:pPr>
          </w:p>
        </w:tc>
        <w:tc>
          <w:tcPr>
            <w:tcW w:w="4344" w:type="dxa"/>
            <w:tcBorders>
              <w:top w:val="single" w:color="auto" w:sz="4" w:space="0"/>
              <w:left w:val="single" w:color="auto" w:sz="4" w:space="0"/>
              <w:bottom w:val="single" w:color="auto" w:sz="4" w:space="0"/>
              <w:right w:val="single" w:color="auto" w:sz="4" w:space="0"/>
            </w:tcBorders>
          </w:tcPr>
          <w:p>
            <w:pPr>
              <w:pStyle w:val="52"/>
            </w:pPr>
          </w:p>
        </w:tc>
        <w:tc>
          <w:tcPr>
            <w:tcW w:w="1417" w:type="dxa"/>
            <w:tcBorders>
              <w:top w:val="single" w:color="auto" w:sz="4" w:space="0"/>
              <w:left w:val="single" w:color="auto" w:sz="4" w:space="0"/>
              <w:bottom w:val="single" w:color="auto" w:sz="4" w:space="0"/>
              <w:right w:val="single" w:color="auto" w:sz="4" w:space="0"/>
            </w:tcBorders>
          </w:tcPr>
          <w:p>
            <w:pPr>
              <w:pStyle w:val="52"/>
            </w:pPr>
          </w:p>
        </w:tc>
        <w:tc>
          <w:tcPr>
            <w:tcW w:w="2101" w:type="dxa"/>
            <w:tcBorders>
              <w:top w:val="single" w:color="auto" w:sz="4" w:space="0"/>
              <w:left w:val="single" w:color="auto" w:sz="4" w:space="0"/>
              <w:bottom w:val="single" w:color="auto" w:sz="4" w:space="0"/>
              <w:right w:val="single" w:color="auto" w:sz="4" w:space="0"/>
            </w:tcBorders>
          </w:tcPr>
          <w:p>
            <w:pPr>
              <w:pStyle w:val="52"/>
            </w:pPr>
          </w:p>
        </w:tc>
      </w:tr>
    </w:tbl>
    <w:p>
      <w:pPr>
        <w:pStyle w:val="63"/>
        <w:spacing w:before="120"/>
        <w:rPr>
          <w:color w:val="0000FF"/>
        </w:rPr>
      </w:pPr>
      <w:r>
        <w:rPr>
          <w:color w:val="0000FF"/>
        </w:rPr>
        <w:t>NOTE:</w:t>
      </w:r>
      <w:r>
        <w:rPr>
          <w:color w:val="0000FF"/>
        </w:rPr>
        <w:tab/>
      </w:r>
      <w:r>
        <w:rPr>
          <w:color w:val="0000FF"/>
        </w:rPr>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ype="textWrapping"/>
      </w:r>
      <w:r>
        <w:rPr>
          <w:color w:val="0000FF"/>
        </w:rPr>
        <w:t>If an existing spec is affected by both (Core part and Perf. part), then it has to be listed twice with appropriate approval dates.</w:t>
      </w:r>
    </w:p>
    <w:p/>
    <w:p>
      <w:pPr>
        <w:pStyle w:val="2"/>
        <w:rPr>
          <w:sz w:val="32"/>
          <w:szCs w:val="32"/>
        </w:rPr>
      </w:pPr>
      <w:r>
        <w:rPr>
          <w:sz w:val="32"/>
          <w:szCs w:val="32"/>
        </w:rPr>
        <w:t>6</w:t>
      </w:r>
      <w:r>
        <w:rPr>
          <w:sz w:val="32"/>
          <w:szCs w:val="32"/>
        </w:rPr>
        <w:tab/>
      </w:r>
      <w:r>
        <w:rPr>
          <w:sz w:val="32"/>
          <w:szCs w:val="32"/>
        </w:rPr>
        <w:t>Work item Rapporteur(s)</w:t>
      </w:r>
    </w:p>
    <w:p>
      <w:pPr>
        <w:ind w:right="-99"/>
        <w:rPr>
          <w:color w:val="0000FF"/>
        </w:rPr>
      </w:pPr>
      <w:r>
        <w:rPr>
          <w:iCs/>
          <w:color w:val="000000" w:themeColor="text1"/>
          <w14:textFill>
            <w14:solidFill>
              <w14:schemeClr w14:val="tx1"/>
            </w14:solidFill>
          </w14:textFill>
        </w:rPr>
        <w:t>Huanren (Henry) Fu, MediaTek Inc., huanren.fu@mediatek.com</w:t>
      </w:r>
    </w:p>
    <w:p>
      <w:pPr>
        <w:pStyle w:val="63"/>
        <w:spacing w:before="120"/>
        <w:rPr>
          <w:color w:val="0000FF"/>
        </w:rPr>
      </w:pPr>
      <w:r>
        <w:rPr>
          <w:color w:val="0000FF"/>
        </w:rPr>
        <w:t>NOTE:</w:t>
      </w:r>
      <w:r>
        <w:rPr>
          <w:color w:val="0000FF"/>
        </w:rPr>
        <w:tab/>
      </w:r>
      <w:r>
        <w:rPr>
          <w:color w:val="0000FF"/>
        </w:rPr>
        <w:t>The first listed Rapporteur has the overall responsibility for this WI (incl all secondary tasks).</w:t>
      </w:r>
    </w:p>
    <w:p>
      <w:pPr>
        <w:pStyle w:val="2"/>
        <w:rPr>
          <w:sz w:val="32"/>
          <w:szCs w:val="32"/>
        </w:rPr>
      </w:pPr>
      <w:r>
        <w:rPr>
          <w:sz w:val="32"/>
          <w:szCs w:val="32"/>
        </w:rPr>
        <w:t>7</w:t>
      </w:r>
      <w:r>
        <w:rPr>
          <w:sz w:val="32"/>
          <w:szCs w:val="32"/>
        </w:rPr>
        <w:tab/>
      </w:r>
      <w:r>
        <w:rPr>
          <w:sz w:val="32"/>
          <w:szCs w:val="32"/>
        </w:rPr>
        <w:t>Work item leadership</w:t>
      </w:r>
    </w:p>
    <w:p>
      <w:pPr>
        <w:ind w:right="-99"/>
        <w:rPr>
          <w:iCs/>
        </w:rPr>
      </w:pPr>
      <w:r>
        <w:rPr>
          <w:iCs/>
        </w:rPr>
        <w:t>RAN WG4</w:t>
      </w:r>
    </w:p>
    <w:p>
      <w:pPr>
        <w:pStyle w:val="2"/>
        <w:rPr>
          <w:sz w:val="32"/>
          <w:szCs w:val="32"/>
        </w:rPr>
      </w:pPr>
      <w:r>
        <w:rPr>
          <w:sz w:val="32"/>
          <w:szCs w:val="32"/>
        </w:rPr>
        <w:t>8</w:t>
      </w:r>
      <w:r>
        <w:rPr>
          <w:sz w:val="32"/>
          <w:szCs w:val="32"/>
        </w:rPr>
        <w:tab/>
      </w:r>
      <w:r>
        <w:rPr>
          <w:sz w:val="32"/>
          <w:szCs w:val="32"/>
        </w:rPr>
        <w:t>Aspects that involve other WGs</w:t>
      </w:r>
    </w:p>
    <w:p>
      <w:pPr>
        <w:pStyle w:val="90"/>
        <w:rPr>
          <w:i w:val="0"/>
        </w:rPr>
      </w:pPr>
      <w:r>
        <w:rPr>
          <w:i w:val="0"/>
        </w:rPr>
        <w:t>None</w:t>
      </w:r>
    </w:p>
    <w:p>
      <w:pPr>
        <w:pStyle w:val="63"/>
        <w:rPr>
          <w:color w:val="0000FF"/>
        </w:rPr>
      </w:pPr>
      <w:r>
        <w:rPr>
          <w:color w:val="0000FF"/>
        </w:rPr>
        <w:t>NOTE:</w:t>
      </w:r>
      <w:r>
        <w:rPr>
          <w:color w:val="0000FF"/>
        </w:rPr>
        <w:tab/>
      </w:r>
      <w:r>
        <w:rPr>
          <w:color w:val="0000FF"/>
        </w:rPr>
        <w:t xml:space="preserve">For RAN WIs: Section 8 applies only toWGs </w:t>
      </w:r>
      <w:r>
        <w:rPr>
          <w:color w:val="0000FF"/>
          <w:u w:val="single"/>
        </w:rPr>
        <w:t>outside</w:t>
      </w:r>
      <w:r>
        <w:rPr>
          <w:color w:val="0000FF"/>
        </w:rPr>
        <w:t xml:space="preserve"> of TSG RAN because all RAN WG aspects have to be covered in section 4.</w:t>
      </w:r>
    </w:p>
    <w:p/>
    <w:p>
      <w:pPr>
        <w:pStyle w:val="2"/>
        <w:rPr>
          <w:sz w:val="32"/>
          <w:szCs w:val="32"/>
        </w:rPr>
      </w:pPr>
      <w:r>
        <w:rPr>
          <w:sz w:val="32"/>
          <w:szCs w:val="32"/>
        </w:rPr>
        <w:t>9</w:t>
      </w:r>
      <w:r>
        <w:rPr>
          <w:sz w:val="32"/>
          <w:szCs w:val="32"/>
        </w:rPr>
        <w:tab/>
      </w:r>
      <w:r>
        <w:rPr>
          <w:sz w:val="32"/>
          <w:szCs w:val="32"/>
        </w:rPr>
        <w:t>Supporting Individual Members</w:t>
      </w:r>
    </w:p>
    <w:p>
      <w:pPr>
        <w:ind w:right="-99"/>
        <w:rPr>
          <w:i/>
        </w:rPr>
      </w:pPr>
      <w:r>
        <w:rPr>
          <w:i/>
        </w:rP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E0E0E0"/>
          </w:tcPr>
          <w:p>
            <w:pPr>
              <w:pStyle w:val="54"/>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r>
              <w:t>TELUS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val="it-IT" w:eastAsia="zh-TW"/>
              </w:rPr>
              <w:t>Bell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val="it-IT" w:eastAsia="zh-TW"/>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eastAsia="zh-TW"/>
              </w:rPr>
              <w:t>Telstra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del w:id="59" w:author="MTK - Ato Yu" w:date="2024-06-17T14:33:00Z">
              <w:r>
                <w:rPr>
                  <w:rFonts w:hint="eastAsia" w:eastAsia="PMingLiU"/>
                  <w:lang w:eastAsia="zh-TW"/>
                </w:rPr>
                <w:delText>[</w:delText>
              </w:r>
            </w:del>
            <w:r>
              <w:rPr>
                <w:rFonts w:eastAsia="PMingLiU"/>
                <w:lang w:val="it-IT" w:eastAsia="zh-TW"/>
              </w:rPr>
              <w:t>T-Mobile USA</w:t>
            </w:r>
            <w:del w:id="60" w:author="MTK - Ato Yu" w:date="2024-06-17T14:33:00Z">
              <w:r>
                <w:rPr>
                  <w:rFonts w:eastAsia="PMingLiU"/>
                  <w:lang w:val="it-IT" w:eastAsia="zh-TW"/>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hint="eastAsia" w:eastAsia="PMingLiU"/>
                <w:lang w:eastAsia="zh-TW"/>
              </w:rPr>
              <w:t>[</w:t>
            </w:r>
            <w:r>
              <w:rPr>
                <w:rFonts w:eastAsia="PMingLiU"/>
                <w:lang w:val="it-IT" w:eastAsia="zh-TW"/>
              </w:rPr>
              <w:t>US Cellular]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val="it-IT" w:eastAsia="zh-TW"/>
              </w:rPr>
              <w:t>Spark NZ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hint="eastAsia" w:eastAsia="PMingLiU"/>
                <w:lang w:eastAsia="zh-TW"/>
              </w:rPr>
              <w:t>[</w:t>
            </w:r>
            <w:r>
              <w:rPr>
                <w:rFonts w:eastAsia="PMingLiU"/>
                <w:lang w:val="it-IT" w:eastAsia="zh-TW"/>
              </w:rPr>
              <w:t>Southern Linc]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eastAsia="zh-TW"/>
              </w:rPr>
              <w:t>AT&amp;T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val="it-IT" w:eastAsia="zh-TW"/>
              </w:rPr>
              <w:t>Verizon Wireless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hint="eastAsia" w:eastAsia="PMingLiU"/>
                <w:lang w:eastAsia="zh-TW"/>
              </w:rPr>
              <w:t>[</w:t>
            </w:r>
            <w:r>
              <w:rPr>
                <w:rFonts w:eastAsia="PMingLiU"/>
                <w:lang w:val="it-IT" w:eastAsia="zh-TW"/>
              </w:rPr>
              <w:t>CableLabs]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val="it-IT" w:eastAsia="zh-TW"/>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eastAsia="zh-TW"/>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hint="eastAsia" w:eastAsia="PMingLiU"/>
                <w:lang w:eastAsia="zh-TW"/>
              </w:rPr>
              <w:t>[</w:t>
            </w:r>
            <w:r>
              <w:rPr>
                <w:rFonts w:eastAsia="PMingLiU"/>
                <w:lang w:eastAsia="zh-TW"/>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eastAsia="zh-TW"/>
              </w:rPr>
              <w:t>CHTTL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rPr>
                <w:rFonts w:eastAsia="PMingLiU"/>
                <w:lang w:eastAsia="zh-TW"/>
              </w:rPr>
            </w:pPr>
            <w:r>
              <w:rPr>
                <w:rFonts w:eastAsia="PMingLiU"/>
                <w:lang w:eastAsia="zh-TW"/>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2"/>
            </w:pPr>
            <w:ins w:id="61" w:author="MTK - Ato Yu" w:date="2024-06-17T15:58:00Z">
              <w:r>
                <w:rPr/>
                <w:t>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2" w:author="zhoulei" w:date="2024-06-18T09:35:28Z"/>
        </w:trPr>
        <w:tc>
          <w:tcPr>
            <w:tcW w:w="0" w:type="auto"/>
            <w:shd w:val="clear" w:color="auto" w:fill="auto"/>
          </w:tcPr>
          <w:p>
            <w:pPr>
              <w:pStyle w:val="52"/>
              <w:rPr>
                <w:ins w:id="63" w:author="zhoulei" w:date="2024-06-18T09:35:28Z"/>
                <w:rFonts w:hint="default" w:eastAsiaTheme="minorEastAsia"/>
                <w:lang w:val="en-US" w:eastAsia="zh-CN"/>
              </w:rPr>
            </w:pPr>
            <w:ins w:id="64" w:author="zhoulei" w:date="2024-06-18T09:35:31Z">
              <w:r>
                <w:rPr>
                  <w:rFonts w:hint="eastAsia"/>
                  <w:lang w:val="en-US" w:eastAsia="zh-CN"/>
                </w:rPr>
                <w:t>New</w:t>
              </w:r>
            </w:ins>
            <w:ins w:id="65" w:author="zhoulei" w:date="2024-06-18T09:35:32Z">
              <w:r>
                <w:rPr>
                  <w:rFonts w:hint="eastAsia"/>
                  <w:lang w:val="en-US" w:eastAsia="zh-CN"/>
                </w:rPr>
                <w:t xml:space="preserve"> H3</w:t>
              </w:r>
            </w:ins>
            <w:ins w:id="66" w:author="zhoulei" w:date="2024-06-18T09:35:33Z">
              <w:r>
                <w:rPr>
                  <w:rFonts w:hint="eastAsia"/>
                  <w:lang w:val="en-US" w:eastAsia="zh-CN"/>
                </w:rPr>
                <w:t>C</w:t>
              </w:r>
            </w:ins>
          </w:p>
        </w:tc>
      </w:tr>
    </w:tbl>
    <w:p>
      <w:bookmarkStart w:id="12" w:name="_GoBack"/>
      <w:bookmarkEnd w:id="12"/>
    </w:p>
    <w:sectPr>
      <w:footerReference r:id="rId4" w:type="default"/>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7230C"/>
    <w:multiLevelType w:val="multilevel"/>
    <w:tmpl w:val="6BF7230C"/>
    <w:lvl w:ilvl="0" w:tentative="0">
      <w:start w:val="1"/>
      <w:numFmt w:val="bullet"/>
      <w:lvlText w:val=""/>
      <w:lvlJc w:val="left"/>
      <w:pPr>
        <w:ind w:left="1331" w:hanging="480"/>
      </w:pPr>
      <w:rPr>
        <w:rFonts w:hint="default" w:ascii="Wingdings" w:hAnsi="Wingdings"/>
      </w:rPr>
    </w:lvl>
    <w:lvl w:ilvl="1" w:tentative="0">
      <w:start w:val="1"/>
      <w:numFmt w:val="bullet"/>
      <w:lvlText w:val=""/>
      <w:lvlJc w:val="left"/>
      <w:pPr>
        <w:ind w:left="1811" w:hanging="480"/>
      </w:pPr>
      <w:rPr>
        <w:rFonts w:hint="default" w:ascii="Wingdings" w:hAnsi="Wingdings"/>
      </w:rPr>
    </w:lvl>
    <w:lvl w:ilvl="2" w:tentative="0">
      <w:start w:val="1"/>
      <w:numFmt w:val="bullet"/>
      <w:lvlText w:val=""/>
      <w:lvlJc w:val="left"/>
      <w:pPr>
        <w:ind w:left="2291" w:hanging="480"/>
      </w:pPr>
      <w:rPr>
        <w:rFonts w:hint="default" w:ascii="Wingdings" w:hAnsi="Wingdings"/>
      </w:rPr>
    </w:lvl>
    <w:lvl w:ilvl="3" w:tentative="0">
      <w:start w:val="1"/>
      <w:numFmt w:val="bullet"/>
      <w:lvlText w:val=""/>
      <w:lvlJc w:val="left"/>
      <w:pPr>
        <w:ind w:left="2771" w:hanging="480"/>
      </w:pPr>
      <w:rPr>
        <w:rFonts w:hint="default" w:ascii="Wingdings" w:hAnsi="Wingdings"/>
      </w:rPr>
    </w:lvl>
    <w:lvl w:ilvl="4" w:tentative="0">
      <w:start w:val="1"/>
      <w:numFmt w:val="bullet"/>
      <w:lvlText w:val=""/>
      <w:lvlJc w:val="left"/>
      <w:pPr>
        <w:ind w:left="3251" w:hanging="480"/>
      </w:pPr>
      <w:rPr>
        <w:rFonts w:hint="default" w:ascii="Wingdings" w:hAnsi="Wingdings"/>
      </w:rPr>
    </w:lvl>
    <w:lvl w:ilvl="5" w:tentative="0">
      <w:start w:val="1"/>
      <w:numFmt w:val="bullet"/>
      <w:lvlText w:val=""/>
      <w:lvlJc w:val="left"/>
      <w:pPr>
        <w:ind w:left="3731" w:hanging="480"/>
      </w:pPr>
      <w:rPr>
        <w:rFonts w:hint="default" w:ascii="Wingdings" w:hAnsi="Wingdings"/>
      </w:rPr>
    </w:lvl>
    <w:lvl w:ilvl="6" w:tentative="0">
      <w:start w:val="1"/>
      <w:numFmt w:val="bullet"/>
      <w:lvlText w:val=""/>
      <w:lvlJc w:val="left"/>
      <w:pPr>
        <w:ind w:left="4211" w:hanging="480"/>
      </w:pPr>
      <w:rPr>
        <w:rFonts w:hint="default" w:ascii="Wingdings" w:hAnsi="Wingdings"/>
      </w:rPr>
    </w:lvl>
    <w:lvl w:ilvl="7" w:tentative="0">
      <w:start w:val="1"/>
      <w:numFmt w:val="bullet"/>
      <w:lvlText w:val=""/>
      <w:lvlJc w:val="left"/>
      <w:pPr>
        <w:ind w:left="4691" w:hanging="480"/>
      </w:pPr>
      <w:rPr>
        <w:rFonts w:hint="default" w:ascii="Wingdings" w:hAnsi="Wingdings"/>
      </w:rPr>
    </w:lvl>
    <w:lvl w:ilvl="8" w:tentative="0">
      <w:start w:val="1"/>
      <w:numFmt w:val="bullet"/>
      <w:lvlText w:val=""/>
      <w:lvlJc w:val="left"/>
      <w:pPr>
        <w:ind w:left="5171" w:hanging="48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TK - Ato Yu">
    <w15:presenceInfo w15:providerId="None" w15:userId="MTK - Ato Yu"/>
  </w15:person>
  <w15:person w15:author="Ivo Maljevic">
    <w15:presenceInfo w15:providerId="None" w15:userId="Ivo Maljevic"/>
  </w15:person>
  <w15:person w15:author="zhoulei">
    <w15:presenceInfo w15:providerId="None" w15:userId="zhou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F4338D"/>
    <w:rsid w:val="00003B9A"/>
    <w:rsid w:val="00005179"/>
    <w:rsid w:val="00006EF7"/>
    <w:rsid w:val="00011074"/>
    <w:rsid w:val="0001220A"/>
    <w:rsid w:val="000132D1"/>
    <w:rsid w:val="00017F39"/>
    <w:rsid w:val="000205C5"/>
    <w:rsid w:val="00025316"/>
    <w:rsid w:val="0002698D"/>
    <w:rsid w:val="00034861"/>
    <w:rsid w:val="00037C06"/>
    <w:rsid w:val="00044DAE"/>
    <w:rsid w:val="000458E9"/>
    <w:rsid w:val="00052BF8"/>
    <w:rsid w:val="00052D8A"/>
    <w:rsid w:val="00057116"/>
    <w:rsid w:val="00057158"/>
    <w:rsid w:val="00064CB2"/>
    <w:rsid w:val="000664EF"/>
    <w:rsid w:val="00066954"/>
    <w:rsid w:val="00067741"/>
    <w:rsid w:val="00072A56"/>
    <w:rsid w:val="00075FF4"/>
    <w:rsid w:val="00082CCB"/>
    <w:rsid w:val="00090661"/>
    <w:rsid w:val="000A3125"/>
    <w:rsid w:val="000B0519"/>
    <w:rsid w:val="000B1ABD"/>
    <w:rsid w:val="000B422E"/>
    <w:rsid w:val="000B61FD"/>
    <w:rsid w:val="000C0BF7"/>
    <w:rsid w:val="000C5FE3"/>
    <w:rsid w:val="000D122A"/>
    <w:rsid w:val="000D48FB"/>
    <w:rsid w:val="000D5D45"/>
    <w:rsid w:val="000E55AD"/>
    <w:rsid w:val="000E630D"/>
    <w:rsid w:val="001001BD"/>
    <w:rsid w:val="00101936"/>
    <w:rsid w:val="00102222"/>
    <w:rsid w:val="00120541"/>
    <w:rsid w:val="00120D4E"/>
    <w:rsid w:val="001211F3"/>
    <w:rsid w:val="00127B5D"/>
    <w:rsid w:val="00163676"/>
    <w:rsid w:val="00166818"/>
    <w:rsid w:val="00171925"/>
    <w:rsid w:val="00173998"/>
    <w:rsid w:val="00174617"/>
    <w:rsid w:val="001759A7"/>
    <w:rsid w:val="001808F9"/>
    <w:rsid w:val="001A4192"/>
    <w:rsid w:val="001A6FE7"/>
    <w:rsid w:val="001B3BF0"/>
    <w:rsid w:val="001C5C86"/>
    <w:rsid w:val="001C6B14"/>
    <w:rsid w:val="001C718D"/>
    <w:rsid w:val="001E14C4"/>
    <w:rsid w:val="001E3CB9"/>
    <w:rsid w:val="001F7EB4"/>
    <w:rsid w:val="002000C2"/>
    <w:rsid w:val="00204DCA"/>
    <w:rsid w:val="00205F25"/>
    <w:rsid w:val="00221B1E"/>
    <w:rsid w:val="00236F70"/>
    <w:rsid w:val="00240DCD"/>
    <w:rsid w:val="0024138F"/>
    <w:rsid w:val="0024230F"/>
    <w:rsid w:val="0024786B"/>
    <w:rsid w:val="00251D80"/>
    <w:rsid w:val="00254209"/>
    <w:rsid w:val="00254FB5"/>
    <w:rsid w:val="00256235"/>
    <w:rsid w:val="002640E5"/>
    <w:rsid w:val="0026436F"/>
    <w:rsid w:val="0026606E"/>
    <w:rsid w:val="00270BDC"/>
    <w:rsid w:val="0027206B"/>
    <w:rsid w:val="002723FE"/>
    <w:rsid w:val="0027433E"/>
    <w:rsid w:val="00276403"/>
    <w:rsid w:val="002812AF"/>
    <w:rsid w:val="002847C3"/>
    <w:rsid w:val="00297343"/>
    <w:rsid w:val="002C1C50"/>
    <w:rsid w:val="002D1D1C"/>
    <w:rsid w:val="002D5886"/>
    <w:rsid w:val="002E6A7D"/>
    <w:rsid w:val="002E7A9E"/>
    <w:rsid w:val="002F3C41"/>
    <w:rsid w:val="002F6C5C"/>
    <w:rsid w:val="0030045C"/>
    <w:rsid w:val="00306A92"/>
    <w:rsid w:val="003205AD"/>
    <w:rsid w:val="0033027D"/>
    <w:rsid w:val="00335FB2"/>
    <w:rsid w:val="00344158"/>
    <w:rsid w:val="00347B74"/>
    <w:rsid w:val="003531DC"/>
    <w:rsid w:val="00355CB6"/>
    <w:rsid w:val="003561CC"/>
    <w:rsid w:val="0035787E"/>
    <w:rsid w:val="00366257"/>
    <w:rsid w:val="00375C80"/>
    <w:rsid w:val="00376376"/>
    <w:rsid w:val="0038516D"/>
    <w:rsid w:val="003869D7"/>
    <w:rsid w:val="003A02A3"/>
    <w:rsid w:val="003A08AA"/>
    <w:rsid w:val="003A1EB0"/>
    <w:rsid w:val="003A6A5C"/>
    <w:rsid w:val="003A7ED5"/>
    <w:rsid w:val="003B023B"/>
    <w:rsid w:val="003B3A93"/>
    <w:rsid w:val="003B5CB1"/>
    <w:rsid w:val="003C0F14"/>
    <w:rsid w:val="003C2DA6"/>
    <w:rsid w:val="003C3E06"/>
    <w:rsid w:val="003C6DA6"/>
    <w:rsid w:val="003D2781"/>
    <w:rsid w:val="003D2F3D"/>
    <w:rsid w:val="003D62A9"/>
    <w:rsid w:val="003F04C7"/>
    <w:rsid w:val="003F268E"/>
    <w:rsid w:val="003F7142"/>
    <w:rsid w:val="003F7B3D"/>
    <w:rsid w:val="0040240E"/>
    <w:rsid w:val="00411698"/>
    <w:rsid w:val="00414164"/>
    <w:rsid w:val="004158AE"/>
    <w:rsid w:val="004164E7"/>
    <w:rsid w:val="0041789B"/>
    <w:rsid w:val="00417EC5"/>
    <w:rsid w:val="004260A5"/>
    <w:rsid w:val="00432283"/>
    <w:rsid w:val="00436E16"/>
    <w:rsid w:val="0043745F"/>
    <w:rsid w:val="00437F58"/>
    <w:rsid w:val="0044029F"/>
    <w:rsid w:val="00440BC9"/>
    <w:rsid w:val="00442F59"/>
    <w:rsid w:val="00454609"/>
    <w:rsid w:val="00455DE4"/>
    <w:rsid w:val="0048267C"/>
    <w:rsid w:val="004876B9"/>
    <w:rsid w:val="00493A79"/>
    <w:rsid w:val="00495840"/>
    <w:rsid w:val="004A40BE"/>
    <w:rsid w:val="004A4E07"/>
    <w:rsid w:val="004A5443"/>
    <w:rsid w:val="004A6A60"/>
    <w:rsid w:val="004A728E"/>
    <w:rsid w:val="004B2F10"/>
    <w:rsid w:val="004B46DA"/>
    <w:rsid w:val="004C0726"/>
    <w:rsid w:val="004C594F"/>
    <w:rsid w:val="004C634D"/>
    <w:rsid w:val="004D24B9"/>
    <w:rsid w:val="004E2CE2"/>
    <w:rsid w:val="004E5172"/>
    <w:rsid w:val="004E6F8A"/>
    <w:rsid w:val="00500D43"/>
    <w:rsid w:val="00501091"/>
    <w:rsid w:val="00502CD2"/>
    <w:rsid w:val="00504E33"/>
    <w:rsid w:val="00505837"/>
    <w:rsid w:val="00525731"/>
    <w:rsid w:val="00550330"/>
    <w:rsid w:val="0055216E"/>
    <w:rsid w:val="00552C2C"/>
    <w:rsid w:val="005555B7"/>
    <w:rsid w:val="005562A8"/>
    <w:rsid w:val="0055700D"/>
    <w:rsid w:val="005573BB"/>
    <w:rsid w:val="00557B2E"/>
    <w:rsid w:val="00561267"/>
    <w:rsid w:val="00566283"/>
    <w:rsid w:val="005669D8"/>
    <w:rsid w:val="00571E3F"/>
    <w:rsid w:val="00574059"/>
    <w:rsid w:val="00581E21"/>
    <w:rsid w:val="00586951"/>
    <w:rsid w:val="00590087"/>
    <w:rsid w:val="005939D1"/>
    <w:rsid w:val="00594985"/>
    <w:rsid w:val="00597882"/>
    <w:rsid w:val="005A032D"/>
    <w:rsid w:val="005A1B8C"/>
    <w:rsid w:val="005C29F7"/>
    <w:rsid w:val="005C4F58"/>
    <w:rsid w:val="005C5E8D"/>
    <w:rsid w:val="005C78F2"/>
    <w:rsid w:val="005D057C"/>
    <w:rsid w:val="005D0C52"/>
    <w:rsid w:val="005D3FEC"/>
    <w:rsid w:val="005D44BE"/>
    <w:rsid w:val="005E088B"/>
    <w:rsid w:val="005F5136"/>
    <w:rsid w:val="00611EC4"/>
    <w:rsid w:val="00612542"/>
    <w:rsid w:val="006146D2"/>
    <w:rsid w:val="00620B3F"/>
    <w:rsid w:val="006239E7"/>
    <w:rsid w:val="006254C4"/>
    <w:rsid w:val="006323BE"/>
    <w:rsid w:val="0063727B"/>
    <w:rsid w:val="0063745E"/>
    <w:rsid w:val="006418C6"/>
    <w:rsid w:val="00641ED8"/>
    <w:rsid w:val="00654893"/>
    <w:rsid w:val="006633A4"/>
    <w:rsid w:val="00667DD2"/>
    <w:rsid w:val="00671BBB"/>
    <w:rsid w:val="00682237"/>
    <w:rsid w:val="006A0EF8"/>
    <w:rsid w:val="006A45BA"/>
    <w:rsid w:val="006B17DC"/>
    <w:rsid w:val="006B3170"/>
    <w:rsid w:val="006B4280"/>
    <w:rsid w:val="006B49EA"/>
    <w:rsid w:val="006B4B1C"/>
    <w:rsid w:val="006B6EAA"/>
    <w:rsid w:val="006C30AE"/>
    <w:rsid w:val="006C3854"/>
    <w:rsid w:val="006C4991"/>
    <w:rsid w:val="006D7B9F"/>
    <w:rsid w:val="006E0F19"/>
    <w:rsid w:val="006E1FDA"/>
    <w:rsid w:val="006E5E87"/>
    <w:rsid w:val="006F2155"/>
    <w:rsid w:val="006F6673"/>
    <w:rsid w:val="00706A1A"/>
    <w:rsid w:val="00707673"/>
    <w:rsid w:val="007162BE"/>
    <w:rsid w:val="00722267"/>
    <w:rsid w:val="00723000"/>
    <w:rsid w:val="00733570"/>
    <w:rsid w:val="00734360"/>
    <w:rsid w:val="00740CA6"/>
    <w:rsid w:val="00746F46"/>
    <w:rsid w:val="0075252A"/>
    <w:rsid w:val="0075790C"/>
    <w:rsid w:val="0076388B"/>
    <w:rsid w:val="00764B84"/>
    <w:rsid w:val="00765028"/>
    <w:rsid w:val="0078034D"/>
    <w:rsid w:val="00790BCC"/>
    <w:rsid w:val="00793BE3"/>
    <w:rsid w:val="00794C29"/>
    <w:rsid w:val="00795CEE"/>
    <w:rsid w:val="00796F94"/>
    <w:rsid w:val="007974F5"/>
    <w:rsid w:val="007A5AA5"/>
    <w:rsid w:val="007A6136"/>
    <w:rsid w:val="007B0F49"/>
    <w:rsid w:val="007C2DE4"/>
    <w:rsid w:val="007C3AC0"/>
    <w:rsid w:val="007C7E14"/>
    <w:rsid w:val="007D03D2"/>
    <w:rsid w:val="007D1AB2"/>
    <w:rsid w:val="007D36CF"/>
    <w:rsid w:val="007E3B01"/>
    <w:rsid w:val="007F0946"/>
    <w:rsid w:val="007F3047"/>
    <w:rsid w:val="007F522E"/>
    <w:rsid w:val="007F721C"/>
    <w:rsid w:val="007F7421"/>
    <w:rsid w:val="007F7F2C"/>
    <w:rsid w:val="00801F7F"/>
    <w:rsid w:val="00811A22"/>
    <w:rsid w:val="00813C1F"/>
    <w:rsid w:val="00816136"/>
    <w:rsid w:val="008234C6"/>
    <w:rsid w:val="00834A60"/>
    <w:rsid w:val="00835AB0"/>
    <w:rsid w:val="008451D3"/>
    <w:rsid w:val="00856571"/>
    <w:rsid w:val="00863E89"/>
    <w:rsid w:val="00866E4B"/>
    <w:rsid w:val="00872B3B"/>
    <w:rsid w:val="0088222A"/>
    <w:rsid w:val="008835FC"/>
    <w:rsid w:val="00884A5B"/>
    <w:rsid w:val="0088770C"/>
    <w:rsid w:val="008901F6"/>
    <w:rsid w:val="00896C03"/>
    <w:rsid w:val="008A05BF"/>
    <w:rsid w:val="008A3521"/>
    <w:rsid w:val="008A495D"/>
    <w:rsid w:val="008A76FD"/>
    <w:rsid w:val="008B114B"/>
    <w:rsid w:val="008B1241"/>
    <w:rsid w:val="008B2D09"/>
    <w:rsid w:val="008B519F"/>
    <w:rsid w:val="008C0E78"/>
    <w:rsid w:val="008C537F"/>
    <w:rsid w:val="008D52CF"/>
    <w:rsid w:val="008D658B"/>
    <w:rsid w:val="008E1D8D"/>
    <w:rsid w:val="008F49A6"/>
    <w:rsid w:val="00915DDF"/>
    <w:rsid w:val="00922FCB"/>
    <w:rsid w:val="00930734"/>
    <w:rsid w:val="0093077E"/>
    <w:rsid w:val="00935CB0"/>
    <w:rsid w:val="009428A9"/>
    <w:rsid w:val="009437A2"/>
    <w:rsid w:val="00944B28"/>
    <w:rsid w:val="00946252"/>
    <w:rsid w:val="00950560"/>
    <w:rsid w:val="00953E83"/>
    <w:rsid w:val="00960ABA"/>
    <w:rsid w:val="00967838"/>
    <w:rsid w:val="0097062D"/>
    <w:rsid w:val="00982CD6"/>
    <w:rsid w:val="00985B73"/>
    <w:rsid w:val="009870A7"/>
    <w:rsid w:val="00992266"/>
    <w:rsid w:val="00994A54"/>
    <w:rsid w:val="009A0B51"/>
    <w:rsid w:val="009A1BA4"/>
    <w:rsid w:val="009A3BC4"/>
    <w:rsid w:val="009A527F"/>
    <w:rsid w:val="009A6092"/>
    <w:rsid w:val="009B1936"/>
    <w:rsid w:val="009B314C"/>
    <w:rsid w:val="009B493F"/>
    <w:rsid w:val="009C2977"/>
    <w:rsid w:val="009C2DCC"/>
    <w:rsid w:val="009D23B2"/>
    <w:rsid w:val="009D60F5"/>
    <w:rsid w:val="009E2C59"/>
    <w:rsid w:val="009E6C21"/>
    <w:rsid w:val="009F1F53"/>
    <w:rsid w:val="009F7959"/>
    <w:rsid w:val="00A01CFF"/>
    <w:rsid w:val="00A10539"/>
    <w:rsid w:val="00A15763"/>
    <w:rsid w:val="00A22254"/>
    <w:rsid w:val="00A226C6"/>
    <w:rsid w:val="00A2297F"/>
    <w:rsid w:val="00A27912"/>
    <w:rsid w:val="00A338A3"/>
    <w:rsid w:val="00A339CF"/>
    <w:rsid w:val="00A35110"/>
    <w:rsid w:val="00A36378"/>
    <w:rsid w:val="00A3721F"/>
    <w:rsid w:val="00A40015"/>
    <w:rsid w:val="00A42B8C"/>
    <w:rsid w:val="00A42BEE"/>
    <w:rsid w:val="00A47445"/>
    <w:rsid w:val="00A50960"/>
    <w:rsid w:val="00A5595A"/>
    <w:rsid w:val="00A6656B"/>
    <w:rsid w:val="00A70E1E"/>
    <w:rsid w:val="00A73257"/>
    <w:rsid w:val="00A75A30"/>
    <w:rsid w:val="00A9081F"/>
    <w:rsid w:val="00A9188C"/>
    <w:rsid w:val="00A92789"/>
    <w:rsid w:val="00A93370"/>
    <w:rsid w:val="00A9489E"/>
    <w:rsid w:val="00A960BD"/>
    <w:rsid w:val="00A97002"/>
    <w:rsid w:val="00A97A52"/>
    <w:rsid w:val="00AA0D6A"/>
    <w:rsid w:val="00AA3A48"/>
    <w:rsid w:val="00AA3CCC"/>
    <w:rsid w:val="00AB4D27"/>
    <w:rsid w:val="00AB58BF"/>
    <w:rsid w:val="00AC0907"/>
    <w:rsid w:val="00AC3D57"/>
    <w:rsid w:val="00AD0751"/>
    <w:rsid w:val="00AD5B02"/>
    <w:rsid w:val="00AD77C4"/>
    <w:rsid w:val="00AE25BF"/>
    <w:rsid w:val="00AF0C13"/>
    <w:rsid w:val="00AF2E08"/>
    <w:rsid w:val="00B01ACB"/>
    <w:rsid w:val="00B03AF5"/>
    <w:rsid w:val="00B03C01"/>
    <w:rsid w:val="00B078D6"/>
    <w:rsid w:val="00B1248D"/>
    <w:rsid w:val="00B14709"/>
    <w:rsid w:val="00B235C7"/>
    <w:rsid w:val="00B2743D"/>
    <w:rsid w:val="00B3015C"/>
    <w:rsid w:val="00B344D8"/>
    <w:rsid w:val="00B345DE"/>
    <w:rsid w:val="00B55FA0"/>
    <w:rsid w:val="00B567D1"/>
    <w:rsid w:val="00B73B4C"/>
    <w:rsid w:val="00B73F75"/>
    <w:rsid w:val="00B8483E"/>
    <w:rsid w:val="00B946CD"/>
    <w:rsid w:val="00B96481"/>
    <w:rsid w:val="00BA3A53"/>
    <w:rsid w:val="00BA3C54"/>
    <w:rsid w:val="00BA4095"/>
    <w:rsid w:val="00BA5B43"/>
    <w:rsid w:val="00BB2BFA"/>
    <w:rsid w:val="00BB5EBF"/>
    <w:rsid w:val="00BB7596"/>
    <w:rsid w:val="00BC3A25"/>
    <w:rsid w:val="00BC48A6"/>
    <w:rsid w:val="00BC5590"/>
    <w:rsid w:val="00BC642A"/>
    <w:rsid w:val="00BD104F"/>
    <w:rsid w:val="00BD2730"/>
    <w:rsid w:val="00BD6189"/>
    <w:rsid w:val="00BE2A25"/>
    <w:rsid w:val="00BF200E"/>
    <w:rsid w:val="00BF7C9D"/>
    <w:rsid w:val="00C01E8C"/>
    <w:rsid w:val="00C02DF6"/>
    <w:rsid w:val="00C03E01"/>
    <w:rsid w:val="00C21250"/>
    <w:rsid w:val="00C23582"/>
    <w:rsid w:val="00C2724D"/>
    <w:rsid w:val="00C27CA9"/>
    <w:rsid w:val="00C317E7"/>
    <w:rsid w:val="00C3799C"/>
    <w:rsid w:val="00C4305E"/>
    <w:rsid w:val="00C43D1E"/>
    <w:rsid w:val="00C44336"/>
    <w:rsid w:val="00C50F7C"/>
    <w:rsid w:val="00C51704"/>
    <w:rsid w:val="00C5591F"/>
    <w:rsid w:val="00C57C50"/>
    <w:rsid w:val="00C62767"/>
    <w:rsid w:val="00C715CA"/>
    <w:rsid w:val="00C7495D"/>
    <w:rsid w:val="00C761D2"/>
    <w:rsid w:val="00C77CE9"/>
    <w:rsid w:val="00C86933"/>
    <w:rsid w:val="00C93514"/>
    <w:rsid w:val="00C9685D"/>
    <w:rsid w:val="00CA0968"/>
    <w:rsid w:val="00CA168E"/>
    <w:rsid w:val="00CB0647"/>
    <w:rsid w:val="00CB4236"/>
    <w:rsid w:val="00CC5039"/>
    <w:rsid w:val="00CC5A41"/>
    <w:rsid w:val="00CC72A4"/>
    <w:rsid w:val="00CD3153"/>
    <w:rsid w:val="00CD5C30"/>
    <w:rsid w:val="00CE08D4"/>
    <w:rsid w:val="00CF6810"/>
    <w:rsid w:val="00D06117"/>
    <w:rsid w:val="00D12D84"/>
    <w:rsid w:val="00D24760"/>
    <w:rsid w:val="00D26CE4"/>
    <w:rsid w:val="00D31CC8"/>
    <w:rsid w:val="00D32678"/>
    <w:rsid w:val="00D41068"/>
    <w:rsid w:val="00D46DBE"/>
    <w:rsid w:val="00D47F14"/>
    <w:rsid w:val="00D521C1"/>
    <w:rsid w:val="00D524AC"/>
    <w:rsid w:val="00D71F40"/>
    <w:rsid w:val="00D72861"/>
    <w:rsid w:val="00D74F12"/>
    <w:rsid w:val="00D77416"/>
    <w:rsid w:val="00D80E6D"/>
    <w:rsid w:val="00D80FC6"/>
    <w:rsid w:val="00D8626D"/>
    <w:rsid w:val="00D8707A"/>
    <w:rsid w:val="00D903CF"/>
    <w:rsid w:val="00D93047"/>
    <w:rsid w:val="00D94917"/>
    <w:rsid w:val="00D95571"/>
    <w:rsid w:val="00DA039A"/>
    <w:rsid w:val="00DA0795"/>
    <w:rsid w:val="00DA60FB"/>
    <w:rsid w:val="00DA74F3"/>
    <w:rsid w:val="00DB0480"/>
    <w:rsid w:val="00DB69F3"/>
    <w:rsid w:val="00DC0475"/>
    <w:rsid w:val="00DC4907"/>
    <w:rsid w:val="00DD017C"/>
    <w:rsid w:val="00DD397A"/>
    <w:rsid w:val="00DD58B7"/>
    <w:rsid w:val="00DD6699"/>
    <w:rsid w:val="00DD7CF0"/>
    <w:rsid w:val="00DE1CD2"/>
    <w:rsid w:val="00DE5036"/>
    <w:rsid w:val="00DF7602"/>
    <w:rsid w:val="00E007C5"/>
    <w:rsid w:val="00E00DBF"/>
    <w:rsid w:val="00E0213F"/>
    <w:rsid w:val="00E033E0"/>
    <w:rsid w:val="00E073E9"/>
    <w:rsid w:val="00E10269"/>
    <w:rsid w:val="00E1026B"/>
    <w:rsid w:val="00E13CB2"/>
    <w:rsid w:val="00E158C3"/>
    <w:rsid w:val="00E16DEB"/>
    <w:rsid w:val="00E20102"/>
    <w:rsid w:val="00E20C37"/>
    <w:rsid w:val="00E2698F"/>
    <w:rsid w:val="00E27561"/>
    <w:rsid w:val="00E41D61"/>
    <w:rsid w:val="00E422DA"/>
    <w:rsid w:val="00E438DF"/>
    <w:rsid w:val="00E52C57"/>
    <w:rsid w:val="00E54821"/>
    <w:rsid w:val="00E57E7D"/>
    <w:rsid w:val="00E70355"/>
    <w:rsid w:val="00E724E1"/>
    <w:rsid w:val="00E84CD8"/>
    <w:rsid w:val="00E90B85"/>
    <w:rsid w:val="00E90F52"/>
    <w:rsid w:val="00E91679"/>
    <w:rsid w:val="00E92452"/>
    <w:rsid w:val="00E93649"/>
    <w:rsid w:val="00E94CC1"/>
    <w:rsid w:val="00E96431"/>
    <w:rsid w:val="00EB07D7"/>
    <w:rsid w:val="00EC3039"/>
    <w:rsid w:val="00EC47F3"/>
    <w:rsid w:val="00EC5235"/>
    <w:rsid w:val="00ED05E4"/>
    <w:rsid w:val="00ED0E60"/>
    <w:rsid w:val="00ED25C4"/>
    <w:rsid w:val="00ED6954"/>
    <w:rsid w:val="00ED6B03"/>
    <w:rsid w:val="00ED7A5B"/>
    <w:rsid w:val="00EF6C75"/>
    <w:rsid w:val="00F07C92"/>
    <w:rsid w:val="00F138AB"/>
    <w:rsid w:val="00F14B43"/>
    <w:rsid w:val="00F203C7"/>
    <w:rsid w:val="00F215E2"/>
    <w:rsid w:val="00F21E3F"/>
    <w:rsid w:val="00F31C72"/>
    <w:rsid w:val="00F345BE"/>
    <w:rsid w:val="00F36B12"/>
    <w:rsid w:val="00F36DBD"/>
    <w:rsid w:val="00F41A27"/>
    <w:rsid w:val="00F4338D"/>
    <w:rsid w:val="00F440D3"/>
    <w:rsid w:val="00F446AC"/>
    <w:rsid w:val="00F46EAF"/>
    <w:rsid w:val="00F5429B"/>
    <w:rsid w:val="00F5774F"/>
    <w:rsid w:val="00F62688"/>
    <w:rsid w:val="00F65FE2"/>
    <w:rsid w:val="00F73D62"/>
    <w:rsid w:val="00F76BE5"/>
    <w:rsid w:val="00F83D11"/>
    <w:rsid w:val="00F90016"/>
    <w:rsid w:val="00F921F1"/>
    <w:rsid w:val="00FB127E"/>
    <w:rsid w:val="00FC0804"/>
    <w:rsid w:val="00FC3B6D"/>
    <w:rsid w:val="00FD3A4E"/>
    <w:rsid w:val="00FF3F0C"/>
    <w:rsid w:val="00FF7D68"/>
    <w:rsid w:val="33E63ED0"/>
    <w:rsid w:val="6CC6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semiHidden/>
    <w:qFormat/>
    <w:uiPriority w:val="0"/>
  </w:style>
  <w:style w:type="paragraph" w:styleId="29">
    <w:name w:val="Body Text"/>
    <w:basedOn w:val="1"/>
    <w:uiPriority w:val="0"/>
    <w:pPr>
      <w:widowControl w:val="0"/>
    </w:pPr>
    <w:rPr>
      <w:i/>
      <w:lang w:val="en-US"/>
    </w:rPr>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ody Text Indent 2"/>
    <w:basedOn w:val="1"/>
    <w:uiPriority w:val="0"/>
    <w:pPr>
      <w:ind w:left="284"/>
      <w:jc w:val="both"/>
    </w:pPr>
    <w:rPr>
      <w:rFonts w:ascii="Arial" w:hAnsi="Arial"/>
      <w:sz w:val="22"/>
    </w:rPr>
  </w:style>
  <w:style w:type="paragraph" w:styleId="33">
    <w:name w:val="endnote text"/>
    <w:basedOn w:val="1"/>
    <w:semiHidden/>
    <w:qFormat/>
    <w:uiPriority w:val="0"/>
  </w:style>
  <w:style w:type="paragraph" w:styleId="34">
    <w:name w:val="Balloon Text"/>
    <w:basedOn w:val="1"/>
    <w:semiHidden/>
    <w:qFormat/>
    <w:uiPriority w:val="0"/>
    <w:rPr>
      <w:rFonts w:ascii="Tahoma" w:hAnsi="Tahoma" w:cs="Tahoma"/>
      <w:sz w:val="16"/>
      <w:szCs w:val="16"/>
    </w:rPr>
  </w:style>
  <w:style w:type="paragraph" w:styleId="35">
    <w:name w:val="footer"/>
    <w:basedOn w:val="36"/>
    <w:link w:val="91"/>
    <w:qFormat/>
    <w:uiPriority w:val="0"/>
    <w:pPr>
      <w:jc w:val="center"/>
    </w:pPr>
    <w:rPr>
      <w:i/>
    </w:rPr>
  </w:style>
  <w:style w:type="paragraph" w:styleId="36">
    <w:name w:val="header"/>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en-GB"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1"/>
    <w:semiHidden/>
    <w:qFormat/>
    <w:uiPriority w:val="0"/>
    <w:pPr>
      <w:ind w:left="1418" w:hanging="1418"/>
    </w:pPr>
  </w:style>
  <w:style w:type="paragraph" w:styleId="41">
    <w:name w:val="index 1"/>
    <w:basedOn w:val="1"/>
    <w:semiHidden/>
    <w:qFormat/>
    <w:uiPriority w:val="0"/>
    <w:pPr>
      <w:keepLines/>
      <w:spacing w:after="0"/>
    </w:pPr>
  </w:style>
  <w:style w:type="paragraph" w:styleId="42">
    <w:name w:val="index 2"/>
    <w:basedOn w:val="41"/>
    <w:semiHidden/>
    <w:qFormat/>
    <w:uiPriority w:val="0"/>
    <w:pPr>
      <w:ind w:left="284"/>
    </w:pPr>
  </w:style>
  <w:style w:type="paragraph" w:styleId="43">
    <w:name w:val="annotation subject"/>
    <w:basedOn w:val="28"/>
    <w:next w:val="28"/>
    <w:semiHidden/>
    <w:qFormat/>
    <w:uiPriority w:val="0"/>
    <w:rPr>
      <w:b/>
      <w:bCs/>
    </w:rPr>
  </w:style>
  <w:style w:type="table" w:styleId="45">
    <w:name w:val="Table Grid"/>
    <w:basedOn w:val="44"/>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semiHidden/>
    <w:qFormat/>
    <w:uiPriority w:val="0"/>
    <w:rPr>
      <w:vertAlign w:val="superscript"/>
    </w:r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semiHidden/>
    <w:qFormat/>
    <w:uiPriority w:val="0"/>
    <w:rPr>
      <w:sz w:val="16"/>
      <w:szCs w:val="16"/>
    </w:rPr>
  </w:style>
  <w:style w:type="character" w:styleId="51">
    <w:name w:val="footnote reference"/>
    <w:semiHidden/>
    <w:qFormat/>
    <w:uiPriority w:val="0"/>
    <w:rPr>
      <w:b/>
      <w:position w:val="6"/>
      <w:sz w:val="16"/>
    </w:rPr>
  </w:style>
  <w:style w:type="paragraph" w:customStyle="1" w:styleId="52">
    <w:name w:val="TAL"/>
    <w:basedOn w:val="1"/>
    <w:uiPriority w:val="0"/>
    <w:pPr>
      <w:keepNext/>
      <w:keepLines/>
      <w:spacing w:after="0"/>
    </w:pPr>
    <w:rPr>
      <w:rFonts w:ascii="Arial" w:hAnsi="Arial"/>
      <w:sz w:val="18"/>
    </w:rPr>
  </w:style>
  <w:style w:type="paragraph" w:customStyle="1" w:styleId="53">
    <w:name w:val="Heading"/>
    <w:basedOn w:val="1"/>
    <w:uiPriority w:val="0"/>
    <w:pPr>
      <w:widowControl w:val="0"/>
      <w:spacing w:after="120" w:line="240" w:lineRule="atLeast"/>
      <w:ind w:left="1260" w:hanging="551"/>
    </w:pPr>
    <w:rPr>
      <w:rFonts w:ascii="Arial" w:hAnsi="Arial"/>
      <w:b/>
      <w:sz w:val="22"/>
    </w:rPr>
  </w:style>
  <w:style w:type="paragraph" w:customStyle="1" w:styleId="54">
    <w:name w:val="TAH"/>
    <w:basedOn w:val="55"/>
    <w:qFormat/>
    <w:uiPriority w:val="0"/>
    <w:rPr>
      <w:b/>
    </w:rPr>
  </w:style>
  <w:style w:type="paragraph" w:customStyle="1" w:styleId="55">
    <w:name w:val="TAC"/>
    <w:basedOn w:val="52"/>
    <w:qFormat/>
    <w:uiPriority w:val="0"/>
    <w:pPr>
      <w:jc w:val="center"/>
    </w:pPr>
  </w:style>
  <w:style w:type="paragraph" w:customStyle="1" w:styleId="56">
    <w:name w:val="HE"/>
    <w:basedOn w:val="1"/>
    <w:uiPriority w:val="0"/>
    <w:rPr>
      <w:rFonts w:ascii="Arial" w:hAnsi="Arial"/>
      <w:b/>
    </w:rPr>
  </w:style>
  <w:style w:type="paragraph" w:customStyle="1" w:styleId="57">
    <w:name w:val="CR Cover Page"/>
    <w:qFormat/>
    <w:uiPriority w:val="0"/>
    <w:pPr>
      <w:spacing w:after="120"/>
    </w:pPr>
    <w:rPr>
      <w:rFonts w:ascii="Arial" w:hAnsi="Arial" w:cs="Times New Roman" w:eastAsiaTheme="minorEastAsia"/>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en-GB" w:bidi="ar-SA"/>
    </w:rPr>
  </w:style>
  <w:style w:type="paragraph" w:customStyle="1" w:styleId="60">
    <w:name w:val="TT"/>
    <w:basedOn w:val="2"/>
    <w:next w:val="1"/>
    <w:qFormat/>
    <w:uiPriority w:val="0"/>
    <w:pPr>
      <w:outlineLvl w:val="9"/>
    </w:pPr>
  </w:style>
  <w:style w:type="paragraph" w:customStyle="1" w:styleId="61">
    <w:name w:val="TF"/>
    <w:basedOn w:val="62"/>
    <w:qFormat/>
    <w:uiPriority w:val="0"/>
    <w:pPr>
      <w:keepNext w:val="0"/>
      <w:spacing w:before="0" w:after="240"/>
    </w:pPr>
  </w:style>
  <w:style w:type="paragraph" w:customStyle="1" w:styleId="62">
    <w:name w:val="TH"/>
    <w:basedOn w:val="1"/>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en-GB"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GB" w:eastAsia="en-GB" w:bidi="ar-SA"/>
    </w:rPr>
  </w:style>
  <w:style w:type="paragraph" w:customStyle="1" w:styleId="72">
    <w:name w:val="TAR"/>
    <w:basedOn w:val="52"/>
    <w:qFormat/>
    <w:uiPriority w:val="0"/>
    <w:pPr>
      <w:jc w:val="right"/>
    </w:pPr>
  </w:style>
  <w:style w:type="paragraph" w:customStyle="1" w:styleId="73">
    <w:name w:val="TAN"/>
    <w:basedOn w:val="52"/>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en-GB"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en-GB" w:bidi="ar-SA"/>
    </w:rPr>
  </w:style>
  <w:style w:type="paragraph" w:customStyle="1" w:styleId="76">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en-GB"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en-GB"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en-GB" w:bidi="ar-SA"/>
    </w:rPr>
  </w:style>
  <w:style w:type="paragraph" w:customStyle="1" w:styleId="81">
    <w:name w:val="Editor's Note"/>
    <w:basedOn w:val="63"/>
    <w:qFormat/>
    <w:uiPriority w:val="0"/>
    <w:rPr>
      <w:color w:val="FF0000"/>
    </w:rPr>
  </w:style>
  <w:style w:type="paragraph" w:customStyle="1" w:styleId="82">
    <w:name w:val="B1"/>
    <w:basedOn w:val="14"/>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89">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0">
    <w:name w:val="Guidance"/>
    <w:basedOn w:val="1"/>
    <w:qFormat/>
    <w:uiPriority w:val="0"/>
    <w:rPr>
      <w:i/>
      <w:color w:val="000000"/>
      <w:lang w:eastAsia="ja-JP"/>
    </w:rPr>
  </w:style>
  <w:style w:type="character" w:customStyle="1" w:styleId="91">
    <w:name w:val="Footer Char"/>
    <w:link w:val="35"/>
    <w:qFormat/>
    <w:uiPriority w:val="0"/>
    <w:rPr>
      <w:rFonts w:ascii="Arial" w:hAnsi="Arial"/>
      <w:b/>
      <w:i/>
      <w:sz w:val="18"/>
    </w:rPr>
  </w:style>
  <w:style w:type="character" w:customStyle="1" w:styleId="92">
    <w:name w:val="Unresolved Mention"/>
    <w:semiHidden/>
    <w:unhideWhenUsed/>
    <w:qFormat/>
    <w:uiPriority w:val="99"/>
    <w:rPr>
      <w:color w:val="605E5C"/>
      <w:shd w:val="clear" w:color="auto" w:fill="E1DFDD"/>
    </w:rPr>
  </w:style>
  <w:style w:type="paragraph" w:customStyle="1" w:styleId="93">
    <w:name w:val="Revision"/>
    <w:hidden/>
    <w:semiHidden/>
    <w:qFormat/>
    <w:uiPriority w:val="99"/>
    <w:rPr>
      <w:rFonts w:ascii="Times New Roman" w:hAnsi="Times New Roman" w:cs="Times New Roman" w:eastAsiaTheme="minorEastAsia"/>
      <w:lang w:val="en-GB" w:eastAsia="en-GB" w:bidi="ar-SA"/>
    </w:rPr>
  </w:style>
  <w:style w:type="paragraph" w:styleId="94">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08AEE-0958-41A0-8579-1FA861DD5645}">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4</Pages>
  <Words>1392</Words>
  <Characters>6842</Characters>
  <Lines>61</Lines>
  <Paragraphs>17</Paragraphs>
  <TotalTime>4</TotalTime>
  <ScaleCrop>false</ScaleCrop>
  <LinksUpToDate>false</LinksUpToDate>
  <CharactersWithSpaces>8090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2024-06-18T00:38:00Z</dcterms:created>
  <dc:creator>MCC/Alain Sultan</dc:creator>
  <cp:keywords>WID template</cp:keywords>
  <cp:lastModifiedBy>zhoulei</cp:lastModifiedBy>
  <cp:lastPrinted>2000-02-29T19:31:00Z</cp:lastPrinted>
  <dcterms:modified xsi:type="dcterms:W3CDTF">2024-06-18T01:35:38Z</dcterms:modified>
  <dc:title>WID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83bcef13-7cac-433f-ba1d-47a323951816_Enabled">
    <vt:lpwstr>true</vt:lpwstr>
  </property>
  <property fmtid="{D5CDD505-2E9C-101B-9397-08002B2CF9AE}" pid="9" name="MSIP_Label_83bcef13-7cac-433f-ba1d-47a323951816_SetDate">
    <vt:lpwstr>2024-05-21T00:27:53Z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adb08fd2-aa2b-460b-a727-7e1c8f8ed528</vt:lpwstr>
  </property>
  <property fmtid="{D5CDD505-2E9C-101B-9397-08002B2CF9AE}" pid="14" name="MSIP_Label_83bcef13-7cac-433f-ba1d-47a323951816_ContentBits">
    <vt:lpwstr>0</vt:lpwstr>
  </property>
  <property fmtid="{D5CDD505-2E9C-101B-9397-08002B2CF9AE}" pid="15" name="KSOProductBuildVer">
    <vt:lpwstr>2052-12.1.0.16929</vt:lpwstr>
  </property>
  <property fmtid="{D5CDD505-2E9C-101B-9397-08002B2CF9AE}" pid="16" name="ICV">
    <vt:lpwstr>7DC0AC695B6A434883CA22BC5E966EFF_13</vt:lpwstr>
  </property>
</Properties>
</file>