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2588" w14:textId="126A2525" w:rsidR="00106E2D" w:rsidRPr="00927C1B" w:rsidRDefault="00106E2D" w:rsidP="00106E2D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#16</w:t>
      </w:r>
      <w:r w:rsidR="008F2EC5">
        <w:rPr>
          <w:rFonts w:ascii="Arial" w:eastAsia="Arial Unicode MS" w:hAnsi="Arial" w:cs="Arial"/>
          <w:b/>
          <w:bCs/>
          <w:sz w:val="24"/>
        </w:rPr>
        <w:t>3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3238EB" w:rsidRPr="003238EB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S2-240</w:t>
      </w:r>
      <w:r w:rsidR="00A103BD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6585</w:t>
      </w:r>
    </w:p>
    <w:p w14:paraId="7BFABCC4" w14:textId="7E372DCD" w:rsidR="00A24F28" w:rsidRPr="003244C5" w:rsidRDefault="008F2EC5" w:rsidP="00106E2D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Jeju</w:t>
      </w:r>
      <w:r w:rsidR="00106E2D">
        <w:rPr>
          <w:rFonts w:ascii="Arial" w:eastAsia="Arial Unicode MS" w:hAnsi="Arial" w:cs="Arial"/>
          <w:b/>
          <w:bCs/>
          <w:sz w:val="24"/>
        </w:rPr>
        <w:t xml:space="preserve">, </w:t>
      </w:r>
      <w:r w:rsidRPr="00727D9E">
        <w:rPr>
          <w:rFonts w:ascii="Arial" w:eastAsia="Arial Unicode MS" w:hAnsi="Arial" w:cs="Arial"/>
          <w:b/>
          <w:bCs/>
          <w:sz w:val="24"/>
        </w:rPr>
        <w:t xml:space="preserve">South Korea, 27th – 31st </w:t>
      </w:r>
      <w:proofErr w:type="gramStart"/>
      <w:r w:rsidRPr="00727D9E">
        <w:rPr>
          <w:rFonts w:ascii="Arial" w:eastAsia="Arial Unicode MS" w:hAnsi="Arial" w:cs="Arial"/>
          <w:b/>
          <w:bCs/>
          <w:sz w:val="24"/>
        </w:rPr>
        <w:t>May</w:t>
      </w:r>
      <w:r w:rsidR="00106E2D" w:rsidRPr="009B5FB9">
        <w:rPr>
          <w:rFonts w:ascii="Arial" w:eastAsia="Arial Unicode MS" w:hAnsi="Arial" w:cs="Arial"/>
          <w:b/>
          <w:bCs/>
          <w:sz w:val="24"/>
        </w:rPr>
        <w:t>,</w:t>
      </w:r>
      <w:proofErr w:type="gramEnd"/>
      <w:r w:rsidR="00106E2D" w:rsidRPr="009B5FB9">
        <w:rPr>
          <w:rFonts w:ascii="Arial" w:eastAsia="Arial Unicode MS" w:hAnsi="Arial" w:cs="Arial"/>
          <w:b/>
          <w:bCs/>
          <w:sz w:val="24"/>
        </w:rPr>
        <w:t xml:space="preserve"> 202</w:t>
      </w:r>
      <w:r w:rsidR="00106E2D">
        <w:rPr>
          <w:rFonts w:ascii="Arial" w:eastAsia="Arial Unicode MS" w:hAnsi="Arial" w:cs="Arial"/>
          <w:b/>
          <w:bCs/>
          <w:sz w:val="24"/>
        </w:rPr>
        <w:t>4</w:t>
      </w:r>
      <w:r w:rsidR="003244C5" w:rsidRPr="00927C1B">
        <w:rPr>
          <w:rFonts w:ascii="Arial" w:eastAsia="Arial Unicode MS" w:hAnsi="Arial" w:cs="Arial"/>
          <w:b/>
          <w:bCs/>
        </w:rPr>
        <w:tab/>
      </w:r>
    </w:p>
    <w:p w14:paraId="5D289E5E" w14:textId="77777777" w:rsidR="00A24F28" w:rsidRPr="00927C1B" w:rsidRDefault="00A24F28" w:rsidP="00A24F28">
      <w:pPr>
        <w:rPr>
          <w:rFonts w:ascii="Arial" w:hAnsi="Arial" w:cs="Arial"/>
        </w:rPr>
      </w:pPr>
    </w:p>
    <w:p w14:paraId="7A505D07" w14:textId="6173798B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8F2EC5">
        <w:rPr>
          <w:rFonts w:ascii="Arial" w:hAnsi="Arial" w:cs="Arial"/>
          <w:b/>
        </w:rPr>
        <w:t>IIT Bombay</w:t>
      </w:r>
    </w:p>
    <w:p w14:paraId="780DD06C" w14:textId="2B075EA9" w:rsidR="007C2972" w:rsidRPr="00BC1D0F" w:rsidRDefault="00A24F28" w:rsidP="00A24F28">
      <w:pPr>
        <w:ind w:left="2127" w:hanging="2127"/>
        <w:rPr>
          <w:rFonts w:ascii="Arial" w:hAnsi="Arial" w:cs="Arial"/>
          <w:b/>
          <w:lang w:val="en-US"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7611DE">
        <w:rPr>
          <w:rFonts w:ascii="Arial" w:hAnsi="Arial" w:cs="Arial"/>
          <w:b/>
        </w:rPr>
        <w:t>KI#</w:t>
      </w:r>
      <w:r w:rsidR="008F2EC5">
        <w:rPr>
          <w:rFonts w:ascii="Arial" w:hAnsi="Arial" w:cs="Arial"/>
          <w:b/>
        </w:rPr>
        <w:t>6</w:t>
      </w:r>
      <w:r w:rsidR="00C8336F">
        <w:rPr>
          <w:rFonts w:asciiTheme="minorEastAsia" w:eastAsiaTheme="minorEastAsia" w:hAnsiTheme="minorEastAsia" w:cs="Arial"/>
          <w:b/>
          <w:lang w:eastAsia="zh-CN"/>
        </w:rPr>
        <w:t>:</w:t>
      </w:r>
      <w:r w:rsidR="007611DE" w:rsidRPr="007611DE">
        <w:rPr>
          <w:rFonts w:ascii="Arial" w:hAnsi="Arial" w:cs="Arial"/>
          <w:b/>
        </w:rPr>
        <w:t>Evaluation</w:t>
      </w:r>
      <w:r w:rsidR="00F956A0">
        <w:rPr>
          <w:rFonts w:ascii="Arial" w:hAnsi="Arial" w:cs="Arial"/>
          <w:b/>
        </w:rPr>
        <w:t xml:space="preserve"> and </w:t>
      </w:r>
      <w:r w:rsidR="00872CA9">
        <w:rPr>
          <w:rFonts w:ascii="Arial" w:hAnsi="Arial" w:cs="Arial"/>
          <w:b/>
        </w:rPr>
        <w:t>C</w:t>
      </w:r>
      <w:r w:rsidR="00F956A0">
        <w:rPr>
          <w:rFonts w:ascii="Arial" w:hAnsi="Arial" w:cs="Arial"/>
          <w:b/>
        </w:rPr>
        <w:t>onclusion</w:t>
      </w:r>
    </w:p>
    <w:p w14:paraId="4501BB3E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6E7904AD" w14:textId="10F9BB31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106E2D">
        <w:rPr>
          <w:rFonts w:ascii="Arial" w:hAnsi="Arial" w:cs="Arial"/>
          <w:b/>
        </w:rPr>
        <w:t>1</w:t>
      </w:r>
      <w:r w:rsidR="0025186F">
        <w:rPr>
          <w:rFonts w:ascii="Arial" w:hAnsi="Arial" w:cs="Arial"/>
          <w:b/>
        </w:rPr>
        <w:t>9.</w:t>
      </w:r>
      <w:r w:rsidR="00106E2D">
        <w:rPr>
          <w:rFonts w:ascii="Arial" w:hAnsi="Arial" w:cs="Arial"/>
          <w:b/>
        </w:rPr>
        <w:t>6</w:t>
      </w:r>
    </w:p>
    <w:p w14:paraId="33B541CE" w14:textId="24FABBF0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106E2D" w:rsidRPr="009913AA">
        <w:rPr>
          <w:rFonts w:ascii="Arial" w:hAnsi="Arial" w:cs="Arial"/>
          <w:b/>
        </w:rPr>
        <w:t>FS_VMR_Ph2/ Rel-19</w:t>
      </w:r>
    </w:p>
    <w:p w14:paraId="09E9A174" w14:textId="58977061" w:rsidR="00CC5B51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7A1329" w:rsidRPr="007A1329">
        <w:rPr>
          <w:rFonts w:ascii="Arial" w:hAnsi="Arial" w:cs="Arial"/>
          <w:i/>
        </w:rPr>
        <w:t>Evaluation</w:t>
      </w:r>
      <w:r w:rsidR="008F2EC5">
        <w:rPr>
          <w:rFonts w:ascii="Arial" w:hAnsi="Arial" w:cs="Arial"/>
          <w:i/>
        </w:rPr>
        <w:t xml:space="preserve"> </w:t>
      </w:r>
      <w:r w:rsidR="0021401B">
        <w:rPr>
          <w:rFonts w:ascii="Arial" w:hAnsi="Arial" w:cs="Arial"/>
          <w:i/>
        </w:rPr>
        <w:t xml:space="preserve">of solutions </w:t>
      </w:r>
      <w:r w:rsidR="00F956A0">
        <w:rPr>
          <w:rFonts w:ascii="Arial" w:hAnsi="Arial" w:cs="Arial"/>
          <w:i/>
        </w:rPr>
        <w:t xml:space="preserve">and conclusion </w:t>
      </w:r>
      <w:r w:rsidR="007A1329" w:rsidRPr="007A1329">
        <w:rPr>
          <w:rFonts w:ascii="Arial" w:hAnsi="Arial" w:cs="Arial"/>
          <w:i/>
        </w:rPr>
        <w:t>for KI#</w:t>
      </w:r>
      <w:r w:rsidR="008F2EC5">
        <w:rPr>
          <w:rFonts w:ascii="Arial" w:hAnsi="Arial" w:cs="Arial"/>
          <w:i/>
        </w:rPr>
        <w:t>6</w:t>
      </w:r>
      <w:r w:rsidR="007A1329">
        <w:rPr>
          <w:rFonts w:ascii="Arial" w:hAnsi="Arial" w:cs="Arial"/>
          <w:i/>
        </w:rPr>
        <w:t>:</w:t>
      </w:r>
      <w:r w:rsidR="007A1329" w:rsidRPr="007A1329">
        <w:rPr>
          <w:rFonts w:ascii="Arial" w:hAnsi="Arial" w:cs="Arial" w:hint="eastAsia"/>
          <w:i/>
        </w:rPr>
        <w:t xml:space="preserve"> </w:t>
      </w:r>
      <w:r w:rsidR="000A6AA8">
        <w:rPr>
          <w:rFonts w:ascii="Arial" w:hAnsi="Arial" w:cs="Arial"/>
          <w:i/>
        </w:rPr>
        <w:t xml:space="preserve">Support of </w:t>
      </w:r>
      <w:r w:rsidR="008F2EC5">
        <w:rPr>
          <w:rFonts w:ascii="Arial" w:hAnsi="Arial" w:cs="Arial"/>
          <w:i/>
        </w:rPr>
        <w:t>Emergency s</w:t>
      </w:r>
      <w:r w:rsidR="000A6AA8">
        <w:rPr>
          <w:rFonts w:ascii="Arial" w:hAnsi="Arial" w:cs="Arial"/>
          <w:i/>
        </w:rPr>
        <w:t>ervice</w:t>
      </w:r>
      <w:r w:rsidR="008F2EC5">
        <w:rPr>
          <w:rFonts w:ascii="Arial" w:hAnsi="Arial" w:cs="Arial"/>
          <w:i/>
        </w:rPr>
        <w:t xml:space="preserve">s </w:t>
      </w:r>
      <w:r w:rsidR="000A6AA8">
        <w:rPr>
          <w:rFonts w:ascii="Arial" w:hAnsi="Arial" w:cs="Arial"/>
          <w:i/>
        </w:rPr>
        <w:t>for UEs via a</w:t>
      </w:r>
      <w:r w:rsidR="008F2EC5">
        <w:rPr>
          <w:rFonts w:ascii="Arial" w:hAnsi="Arial" w:cs="Arial"/>
          <w:i/>
        </w:rPr>
        <w:t xml:space="preserve"> </w:t>
      </w:r>
      <w:r w:rsidR="00216A79" w:rsidRPr="003904A0">
        <w:rPr>
          <w:rFonts w:ascii="Arial" w:hAnsi="Arial" w:cs="Arial" w:hint="eastAsia"/>
          <w:i/>
        </w:rPr>
        <w:t>MWAB</w:t>
      </w:r>
      <w:r w:rsidR="00CC5B51" w:rsidRPr="003904A0">
        <w:rPr>
          <w:rFonts w:ascii="Arial" w:hAnsi="Arial" w:cs="Arial"/>
          <w:i/>
        </w:rPr>
        <w:t>.</w:t>
      </w:r>
      <w:r w:rsidR="00CC5B51">
        <w:rPr>
          <w:rFonts w:ascii="Arial" w:hAnsi="Arial" w:cs="Arial"/>
          <w:i/>
        </w:rPr>
        <w:t xml:space="preserve"> </w:t>
      </w:r>
    </w:p>
    <w:p w14:paraId="60EA9C6A" w14:textId="35FB0B90" w:rsidR="00A93620" w:rsidRPr="00927C1B" w:rsidRDefault="00B3593E" w:rsidP="00B3593E">
      <w:pPr>
        <w:pStyle w:val="Heading1"/>
      </w:pPr>
      <w:r w:rsidRPr="00244CDF">
        <w:t xml:space="preserve">1. </w:t>
      </w:r>
      <w:r w:rsidR="00BE6AFC" w:rsidRPr="00244CDF">
        <w:t>Discussion</w:t>
      </w:r>
    </w:p>
    <w:p w14:paraId="439D4BD3" w14:textId="58FAE384" w:rsidR="000D7055" w:rsidRDefault="00A4069B" w:rsidP="008754B1">
      <w:pPr>
        <w:jc w:val="both"/>
        <w:rPr>
          <w:rFonts w:ascii="Arial" w:hAnsi="Arial" w:cs="Arial"/>
          <w:b/>
        </w:rPr>
      </w:pPr>
      <w:r>
        <w:t xml:space="preserve">This contribution proposes </w:t>
      </w:r>
      <w:r w:rsidRPr="00A4069B">
        <w:t>evaluation</w:t>
      </w:r>
      <w:r w:rsidR="00F956A0">
        <w:t xml:space="preserve"> and conclusion</w:t>
      </w:r>
      <w:r w:rsidRPr="00A4069B">
        <w:t xml:space="preserve"> </w:t>
      </w:r>
      <w:r w:rsidR="008D43FA">
        <w:t>for KI#</w:t>
      </w:r>
      <w:r w:rsidR="00477D6A">
        <w:t>6</w:t>
      </w:r>
      <w:r w:rsidRPr="00A4069B">
        <w:t>.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C230F1" w14:paraId="16EEE3CE" w14:textId="77777777" w:rsidTr="00F20C66">
        <w:trPr>
          <w:trHeight w:val="174"/>
        </w:trPr>
        <w:tc>
          <w:tcPr>
            <w:tcW w:w="2126" w:type="dxa"/>
          </w:tcPr>
          <w:p w14:paraId="616E08B4" w14:textId="77777777" w:rsidR="00C230F1" w:rsidRPr="00D062A2" w:rsidRDefault="00C230F1" w:rsidP="00993FA2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C230F1">
              <w:rPr>
                <w:rFonts w:ascii="Arial" w:eastAsia="Microsoft YaHei" w:hAnsi="Arial" w:cs="Arial" w:hint="eastAsia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Key issue</w:t>
            </w:r>
          </w:p>
        </w:tc>
        <w:tc>
          <w:tcPr>
            <w:tcW w:w="6946" w:type="dxa"/>
          </w:tcPr>
          <w:p w14:paraId="5550C6FE" w14:textId="77777777" w:rsidR="00C230F1" w:rsidRPr="00D062A2" w:rsidRDefault="00C230F1" w:rsidP="00993FA2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C230F1">
              <w:rPr>
                <w:rFonts w:ascii="Arial" w:eastAsia="Microsoft YaHei" w:hAnsi="Arial" w:cs="Arial" w:hint="eastAsia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Solutions in TR</w:t>
            </w:r>
            <w:r w:rsidRPr="00C230F1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 xml:space="preserve"> 23.700-06 V</w:t>
            </w:r>
            <w:bookmarkStart w:id="0" w:name="specVersion"/>
            <w:r w:rsidRPr="00C230F1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0.2.</w:t>
            </w:r>
            <w:bookmarkEnd w:id="0"/>
            <w:r w:rsidRPr="00C230F1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0</w:t>
            </w:r>
          </w:p>
        </w:tc>
      </w:tr>
      <w:tr w:rsidR="00C230F1" w14:paraId="5C73CB2C" w14:textId="77777777" w:rsidTr="00F20C66">
        <w:trPr>
          <w:trHeight w:val="346"/>
        </w:trPr>
        <w:tc>
          <w:tcPr>
            <w:tcW w:w="2126" w:type="dxa"/>
          </w:tcPr>
          <w:p w14:paraId="65A60E08" w14:textId="2463004D" w:rsidR="00C230F1" w:rsidRPr="007F48B5" w:rsidRDefault="00C230F1" w:rsidP="00993FA2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#</w:t>
            </w:r>
            <w:r w:rsidR="00477D6A" w:rsidRPr="007F48B5">
              <w:rPr>
                <w:rFonts w:eastAsia="Microsoft YaHei"/>
                <w:color w:val="0D0D0D" w:themeColor="text1" w:themeTint="F2"/>
                <w:kern w:val="24"/>
              </w:rPr>
              <w:t>6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:</w:t>
            </w:r>
            <w:r w:rsidR="00477D6A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 Support of Emergency services for UEs via a MWAB </w:t>
            </w:r>
          </w:p>
        </w:tc>
        <w:tc>
          <w:tcPr>
            <w:tcW w:w="6946" w:type="dxa"/>
          </w:tcPr>
          <w:p w14:paraId="6015FBCC" w14:textId="050F60F8" w:rsidR="00C230F1" w:rsidRPr="007F48B5" w:rsidRDefault="00C230F1" w:rsidP="001B4B5D">
            <w:pPr>
              <w:jc w:val="both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#1</w:t>
            </w:r>
            <w:r w:rsidR="00477D6A" w:rsidRPr="007F48B5">
              <w:rPr>
                <w:rFonts w:eastAsia="Microsoft YaHei"/>
                <w:color w:val="0D0D0D" w:themeColor="text1" w:themeTint="F2"/>
                <w:kern w:val="24"/>
              </w:rPr>
              <w:t>2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: </w:t>
            </w:r>
            <w:r w:rsidR="00477D6A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Support of Emergency services for UEs via a MWAB </w:t>
            </w:r>
          </w:p>
          <w:p w14:paraId="583E6292" w14:textId="7C90C6F4" w:rsidR="00477D6A" w:rsidRPr="007F48B5" w:rsidRDefault="00C230F1" w:rsidP="00477D6A">
            <w:pPr>
              <w:jc w:val="both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</w:t>
            </w:r>
            <w:r w:rsidR="00477D6A" w:rsidRPr="007F48B5">
              <w:rPr>
                <w:rFonts w:eastAsia="Microsoft YaHei"/>
                <w:color w:val="0D0D0D" w:themeColor="text1" w:themeTint="F2"/>
                <w:kern w:val="24"/>
              </w:rPr>
              <w:t>13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: </w:t>
            </w:r>
            <w:r w:rsidR="00477D6A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Support of Emergency calls in MWAB </w:t>
            </w:r>
          </w:p>
          <w:p w14:paraId="5E361941" w14:textId="421A2E33" w:rsidR="00C230F1" w:rsidRPr="007F48B5" w:rsidRDefault="00C230F1" w:rsidP="00477D6A">
            <w:pPr>
              <w:jc w:val="both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</w:t>
            </w:r>
            <w:r w:rsidR="00477D6A" w:rsidRPr="007F48B5">
              <w:rPr>
                <w:rFonts w:eastAsia="Microsoft YaHei"/>
                <w:color w:val="0D0D0D" w:themeColor="text1" w:themeTint="F2"/>
                <w:kern w:val="24"/>
              </w:rPr>
              <w:t>14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: </w:t>
            </w:r>
            <w:r w:rsidR="00477D6A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Graceful release of Emergency services </w:t>
            </w:r>
          </w:p>
        </w:tc>
      </w:tr>
    </w:tbl>
    <w:p w14:paraId="674370B7" w14:textId="77777777" w:rsidR="00C230F1" w:rsidRPr="00C230F1" w:rsidRDefault="00C230F1" w:rsidP="008754B1">
      <w:pPr>
        <w:jc w:val="both"/>
        <w:rPr>
          <w:rFonts w:ascii="Arial" w:hAnsi="Arial" w:cs="Arial"/>
          <w:b/>
        </w:rPr>
      </w:pPr>
    </w:p>
    <w:p w14:paraId="0B10C1FD" w14:textId="05F34C49" w:rsidR="00627431" w:rsidRPr="00372A7A" w:rsidRDefault="00627431" w:rsidP="00627431">
      <w:pPr>
        <w:jc w:val="both"/>
      </w:pPr>
      <w:r w:rsidRPr="00372A7A">
        <w:t xml:space="preserve">Depending on the </w:t>
      </w:r>
      <w:r w:rsidR="00477D6A">
        <w:t>feature requirements defined in KI#6</w:t>
      </w:r>
      <w:r w:rsidRPr="00372A7A">
        <w:t xml:space="preserve">, 4 categories are identified </w:t>
      </w:r>
      <w:r w:rsidR="00057467">
        <w:t xml:space="preserve">for the evaluation of </w:t>
      </w:r>
      <w:r w:rsidRPr="00372A7A">
        <w:t xml:space="preserve">solutions: </w:t>
      </w:r>
    </w:p>
    <w:p w14:paraId="1CEEB691" w14:textId="61C23E1F" w:rsidR="002B2C8E" w:rsidRPr="00372A7A" w:rsidRDefault="005838E9" w:rsidP="00627431">
      <w:pPr>
        <w:numPr>
          <w:ilvl w:val="0"/>
          <w:numId w:val="23"/>
        </w:numPr>
        <w:jc w:val="both"/>
      </w:pPr>
      <w:r w:rsidRPr="00372A7A">
        <w:t xml:space="preserve">Category#1: </w:t>
      </w:r>
      <w:r w:rsidR="00477D6A">
        <w:t xml:space="preserve">Enhancements needed for Emergency support when connected via MWAB </w:t>
      </w:r>
    </w:p>
    <w:p w14:paraId="0CDEA03C" w14:textId="6C740F75" w:rsidR="002B2C8E" w:rsidRPr="00372A7A" w:rsidRDefault="005838E9" w:rsidP="00627431">
      <w:pPr>
        <w:numPr>
          <w:ilvl w:val="0"/>
          <w:numId w:val="23"/>
        </w:numPr>
        <w:jc w:val="both"/>
      </w:pPr>
      <w:r w:rsidRPr="00372A7A">
        <w:t xml:space="preserve">Category#2: </w:t>
      </w:r>
      <w:r w:rsidR="00477D6A">
        <w:t xml:space="preserve">How does Roaming / Mobility of MWAB impact the emergency services for the UE </w:t>
      </w:r>
    </w:p>
    <w:p w14:paraId="53B5E32E" w14:textId="792CD755" w:rsidR="002B2C8E" w:rsidRPr="00372A7A" w:rsidRDefault="005838E9" w:rsidP="00477D6A">
      <w:pPr>
        <w:numPr>
          <w:ilvl w:val="0"/>
          <w:numId w:val="23"/>
        </w:numPr>
        <w:jc w:val="both"/>
      </w:pPr>
      <w:r w:rsidRPr="00372A7A">
        <w:t xml:space="preserve">Category#3: </w:t>
      </w:r>
      <w:r w:rsidR="00477D6A">
        <w:t xml:space="preserve">How to handle </w:t>
      </w:r>
      <w:r w:rsidR="00D7286C">
        <w:t>new and ongoing</w:t>
      </w:r>
      <w:r w:rsidR="00477D6A">
        <w:t xml:space="preserve"> emergency session via MWAB </w:t>
      </w:r>
    </w:p>
    <w:p w14:paraId="03D93D32" w14:textId="20E57362" w:rsidR="002B2C8E" w:rsidRPr="00EC0341" w:rsidRDefault="005838E9" w:rsidP="00627431">
      <w:pPr>
        <w:numPr>
          <w:ilvl w:val="0"/>
          <w:numId w:val="23"/>
        </w:numPr>
        <w:jc w:val="both"/>
      </w:pPr>
      <w:r w:rsidRPr="00EC0341">
        <w:t xml:space="preserve">Category#4: </w:t>
      </w:r>
      <w:r w:rsidR="00477D6A">
        <w:t xml:space="preserve">How to handle </w:t>
      </w:r>
      <w:r w:rsidR="00D7286C">
        <w:t>graceful release of emergency services</w:t>
      </w:r>
      <w:r w:rsidR="00477D6A">
        <w:t xml:space="preserve"> </w:t>
      </w:r>
    </w:p>
    <w:p w14:paraId="732497FE" w14:textId="77777777" w:rsidR="00CA6115" w:rsidRPr="00927C1B" w:rsidRDefault="00CA6115" w:rsidP="00CA6115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5DE7D9B7" w14:textId="581AFC88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>It is proposed to ca</w:t>
      </w:r>
      <w:r w:rsidR="00345861">
        <w:rPr>
          <w:lang w:eastAsia="zh-CN"/>
        </w:rPr>
        <w:t xml:space="preserve">pture the following changes into </w:t>
      </w:r>
      <w:r>
        <w:rPr>
          <w:lang w:eastAsia="zh-CN"/>
        </w:rPr>
        <w:t xml:space="preserve">TR </w:t>
      </w:r>
      <w:bookmarkStart w:id="1" w:name="specNumber"/>
      <w:r w:rsidR="00345861" w:rsidRPr="00345861">
        <w:rPr>
          <w:lang w:eastAsia="zh-CN"/>
        </w:rPr>
        <w:t>23.</w:t>
      </w:r>
      <w:bookmarkEnd w:id="1"/>
      <w:r w:rsidR="00345861" w:rsidRPr="00345861">
        <w:rPr>
          <w:lang w:eastAsia="zh-CN"/>
        </w:rPr>
        <w:t>700-0</w:t>
      </w:r>
      <w:r w:rsidR="00B71367">
        <w:rPr>
          <w:lang w:eastAsia="zh-CN"/>
        </w:rPr>
        <w:t>6</w:t>
      </w:r>
      <w:r>
        <w:rPr>
          <w:lang w:eastAsia="zh-CN"/>
        </w:rPr>
        <w:t>.</w:t>
      </w:r>
    </w:p>
    <w:p w14:paraId="229837CB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2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3" w:name="_Toc517082226"/>
    </w:p>
    <w:p w14:paraId="094E5DBB" w14:textId="77777777" w:rsidR="003F693F" w:rsidRPr="004D3578" w:rsidRDefault="003F693F" w:rsidP="003F693F">
      <w:pPr>
        <w:pStyle w:val="Heading1"/>
        <w:pBdr>
          <w:top w:val="none" w:sz="0" w:space="0" w:color="auto"/>
        </w:pBdr>
      </w:pPr>
      <w:bookmarkStart w:id="4" w:name="_Toc97151699"/>
      <w:bookmarkStart w:id="5" w:name="_Toc100980713"/>
      <w:bookmarkStart w:id="6" w:name="_Toc104058531"/>
      <w:bookmarkEnd w:id="3"/>
      <w:r>
        <w:t>7</w:t>
      </w:r>
      <w:r>
        <w:tab/>
        <w:t>Evaluation</w:t>
      </w:r>
      <w:bookmarkEnd w:id="4"/>
      <w:bookmarkEnd w:id="5"/>
      <w:bookmarkEnd w:id="6"/>
    </w:p>
    <w:p w14:paraId="1E6E736D" w14:textId="243740A7" w:rsidR="003F693F" w:rsidRDefault="003F693F" w:rsidP="003F693F">
      <w:pPr>
        <w:pStyle w:val="EditorsNote"/>
      </w:pPr>
      <w:r>
        <w:t>Editor's note:</w:t>
      </w:r>
      <w:r>
        <w:tab/>
        <w:t>This clause provides the evaluations of the solutions of clause 6.</w:t>
      </w:r>
    </w:p>
    <w:p w14:paraId="606D6B62" w14:textId="07F2D6AA" w:rsidR="0076657B" w:rsidRPr="007A74AF" w:rsidRDefault="0076657B" w:rsidP="0076657B">
      <w:pPr>
        <w:pStyle w:val="Heading1"/>
        <w:pBdr>
          <w:top w:val="none" w:sz="0" w:space="0" w:color="auto"/>
        </w:pBdr>
      </w:pPr>
      <w:r>
        <w:rPr>
          <w:lang w:eastAsia="en-US"/>
        </w:rPr>
        <w:t xml:space="preserve">7.X  </w:t>
      </w:r>
      <w:r>
        <w:t xml:space="preserve">Evaluation </w:t>
      </w:r>
      <w:r w:rsidR="00057467">
        <w:t>of solutions for</w:t>
      </w:r>
      <w:r>
        <w:t xml:space="preserve"> KI#</w:t>
      </w:r>
      <w:r w:rsidR="00057467">
        <w:t>6</w:t>
      </w:r>
    </w:p>
    <w:p w14:paraId="60BD7C85" w14:textId="130980F1" w:rsidR="0076657B" w:rsidRDefault="0076657B" w:rsidP="0076657B">
      <w:r w:rsidRPr="004646BC">
        <w:t xml:space="preserve">From </w:t>
      </w:r>
      <w:r w:rsidR="001B6221">
        <w:t xml:space="preserve">the feature requirement defined in </w:t>
      </w:r>
      <w:r w:rsidRPr="00A4590E">
        <w:t>KI#</w:t>
      </w:r>
      <w:r w:rsidR="001B6221">
        <w:t>6</w:t>
      </w:r>
      <w:r w:rsidRPr="00A4590E">
        <w:t xml:space="preserve">, </w:t>
      </w:r>
      <w:r w:rsidR="001B6221">
        <w:t>4</w:t>
      </w:r>
      <w:r w:rsidRPr="00A4590E">
        <w:t xml:space="preserve"> categories are identif</w:t>
      </w:r>
      <w:r w:rsidRPr="00457A29">
        <w:t xml:space="preserve">ied </w:t>
      </w:r>
      <w:r w:rsidRPr="00361F21">
        <w:rPr>
          <w:rFonts w:hint="eastAsia"/>
        </w:rPr>
        <w:t>for the support of</w:t>
      </w:r>
      <w:r w:rsidR="001B6221">
        <w:t xml:space="preserve"> </w:t>
      </w:r>
      <w:r w:rsidR="002B5C9A">
        <w:t xml:space="preserve">UE </w:t>
      </w:r>
      <w:r w:rsidR="001B6221">
        <w:t xml:space="preserve">emergency PDU sessions </w:t>
      </w:r>
      <w:r w:rsidR="008F2EC5">
        <w:t>served by</w:t>
      </w:r>
      <w:r w:rsidRPr="00361F21">
        <w:rPr>
          <w:rFonts w:hint="eastAsia"/>
        </w:rPr>
        <w:t xml:space="preserve"> MWAB</w:t>
      </w:r>
      <w:r w:rsidRPr="004646BC">
        <w:t>.</w:t>
      </w:r>
      <w:r w:rsidR="008F2EC5">
        <w:t xml:space="preserve"> They are covered as below:</w:t>
      </w:r>
    </w:p>
    <w:p w14:paraId="0F9E8301" w14:textId="77777777" w:rsidR="00727D9E" w:rsidRDefault="00727D9E" w:rsidP="0076657B"/>
    <w:p w14:paraId="66E43C40" w14:textId="77777777" w:rsidR="00727D9E" w:rsidRPr="007A74AF" w:rsidRDefault="00727D9E" w:rsidP="0076657B">
      <w:pPr>
        <w:rPr>
          <w:rFonts w:eastAsia="MS Mincho"/>
        </w:rPr>
      </w:pPr>
    </w:p>
    <w:p w14:paraId="605EE610" w14:textId="6EA45F2F" w:rsidR="0076657B" w:rsidRPr="004412BD" w:rsidRDefault="0076657B" w:rsidP="0076657B">
      <w:pPr>
        <w:pStyle w:val="ListParagraph"/>
        <w:numPr>
          <w:ilvl w:val="0"/>
          <w:numId w:val="19"/>
        </w:numPr>
        <w:rPr>
          <w:b/>
          <w:bCs/>
        </w:rPr>
      </w:pPr>
      <w:r w:rsidRPr="004412BD">
        <w:rPr>
          <w:b/>
          <w:bCs/>
        </w:rPr>
        <w:lastRenderedPageBreak/>
        <w:t>Category#1</w:t>
      </w:r>
      <w:r w:rsidRPr="004412BD">
        <w:rPr>
          <w:rFonts w:hint="eastAsia"/>
          <w:b/>
          <w:bCs/>
        </w:rPr>
        <w:t>:</w:t>
      </w:r>
      <w:r w:rsidRPr="004412BD">
        <w:rPr>
          <w:b/>
          <w:bCs/>
        </w:rPr>
        <w:t xml:space="preserve"> </w:t>
      </w:r>
      <w:r w:rsidR="000B0CEF">
        <w:rPr>
          <w:b/>
          <w:bCs/>
        </w:rPr>
        <w:t>Enhancements needed for Emergency support when connected via MWAB</w:t>
      </w:r>
      <w:r w:rsidRPr="004412BD">
        <w:rPr>
          <w:b/>
          <w:bCs/>
        </w:rPr>
        <w:t>.</w:t>
      </w:r>
    </w:p>
    <w:tbl>
      <w:tblPr>
        <w:tblStyle w:val="TableGrid"/>
        <w:tblW w:w="9349" w:type="dxa"/>
        <w:tblInd w:w="279" w:type="dxa"/>
        <w:tblLook w:val="04A0" w:firstRow="1" w:lastRow="0" w:firstColumn="1" w:lastColumn="0" w:noHBand="0" w:noVBand="1"/>
      </w:tblPr>
      <w:tblGrid>
        <w:gridCol w:w="1671"/>
        <w:gridCol w:w="3908"/>
        <w:gridCol w:w="3770"/>
      </w:tblGrid>
      <w:tr w:rsidR="0076657B" w14:paraId="7E44AC8A" w14:textId="77777777" w:rsidTr="00C62FE1">
        <w:trPr>
          <w:trHeight w:val="280"/>
        </w:trPr>
        <w:tc>
          <w:tcPr>
            <w:tcW w:w="1671" w:type="dxa"/>
          </w:tcPr>
          <w:p w14:paraId="33ACD54C" w14:textId="77777777" w:rsidR="0076657B" w:rsidRPr="00D062A2" w:rsidRDefault="0076657B" w:rsidP="00C62FE1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Solutions</w:t>
            </w:r>
          </w:p>
        </w:tc>
        <w:tc>
          <w:tcPr>
            <w:tcW w:w="3908" w:type="dxa"/>
          </w:tcPr>
          <w:p w14:paraId="087F8427" w14:textId="77777777" w:rsidR="0076657B" w:rsidRPr="00D062A2" w:rsidRDefault="0076657B" w:rsidP="00C62FE1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High</w:t>
            </w:r>
            <w:r w:rsidRPr="00D062A2">
              <w:rPr>
                <w:rFonts w:ascii="Arial" w:eastAsia="Microsoft YaHei" w:hAnsi="Arial" w:cs="Arial" w:hint="eastAsia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-</w:t>
            </w: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level Descriptions</w:t>
            </w:r>
          </w:p>
        </w:tc>
        <w:tc>
          <w:tcPr>
            <w:tcW w:w="3770" w:type="dxa"/>
          </w:tcPr>
          <w:p w14:paraId="1EFD80D8" w14:textId="24470D37" w:rsidR="0076657B" w:rsidRPr="00D062A2" w:rsidRDefault="00727D9E" w:rsidP="00C62FE1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Specific enhancements required</w:t>
            </w:r>
          </w:p>
        </w:tc>
      </w:tr>
      <w:tr w:rsidR="0076657B" w14:paraId="5398E527" w14:textId="77777777" w:rsidTr="00C62FE1">
        <w:trPr>
          <w:trHeight w:val="556"/>
        </w:trPr>
        <w:tc>
          <w:tcPr>
            <w:tcW w:w="1671" w:type="dxa"/>
          </w:tcPr>
          <w:p w14:paraId="2B9C34AD" w14:textId="551A38FB" w:rsidR="0076657B" w:rsidRPr="007F48B5" w:rsidRDefault="0076657B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Solution #1</w:t>
            </w:r>
            <w:r w:rsidR="006969B6"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2</w:t>
            </w:r>
          </w:p>
        </w:tc>
        <w:tc>
          <w:tcPr>
            <w:tcW w:w="3908" w:type="dxa"/>
          </w:tcPr>
          <w:p w14:paraId="229DA525" w14:textId="4789D214" w:rsidR="0076657B" w:rsidRPr="007F48B5" w:rsidRDefault="006969B6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 xml:space="preserve">UE reports the Cell ID/TAC broadcasted by the MWAB-gNB to enable emergency services. </w:t>
            </w:r>
          </w:p>
        </w:tc>
        <w:tc>
          <w:tcPr>
            <w:tcW w:w="3770" w:type="dxa"/>
          </w:tcPr>
          <w:p w14:paraId="14D53D2F" w14:textId="2C8810E2" w:rsidR="0076657B" w:rsidRPr="007F48B5" w:rsidRDefault="00E0351A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 xml:space="preserve"> </w:t>
            </w:r>
          </w:p>
        </w:tc>
      </w:tr>
      <w:tr w:rsidR="0076657B" w14:paraId="2E03819C" w14:textId="77777777" w:rsidTr="00C62FE1">
        <w:trPr>
          <w:trHeight w:val="1408"/>
        </w:trPr>
        <w:tc>
          <w:tcPr>
            <w:tcW w:w="1671" w:type="dxa"/>
          </w:tcPr>
          <w:p w14:paraId="2B9BE209" w14:textId="272559FA" w:rsidR="0076657B" w:rsidRPr="007F48B5" w:rsidRDefault="0076657B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Solution #</w:t>
            </w:r>
            <w:r w:rsidR="00E0351A"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13</w:t>
            </w:r>
          </w:p>
        </w:tc>
        <w:tc>
          <w:tcPr>
            <w:tcW w:w="3908" w:type="dxa"/>
          </w:tcPr>
          <w:p w14:paraId="1C0C2C79" w14:textId="77777777" w:rsidR="0076657B" w:rsidRPr="007F48B5" w:rsidRDefault="00564497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MWAB establishes a dedicated BH PDU session to support UE emergency sessions.</w:t>
            </w:r>
            <w:r w:rsidR="00F637E9"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 xml:space="preserve"> This is configured using S-NSSAI and DNN reserved for emergency sessions backhaul support.</w:t>
            </w:r>
          </w:p>
          <w:p w14:paraId="5ECE42EF" w14:textId="77777777" w:rsidR="00F637E9" w:rsidRPr="007F48B5" w:rsidRDefault="00F637E9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</w:p>
          <w:p w14:paraId="65E854C8" w14:textId="77CF6426" w:rsidR="00F637E9" w:rsidRPr="007F48B5" w:rsidRDefault="00F637E9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 xml:space="preserve">The trigger for MWAB to establish a BH PDU session is when ‘UE places an emergency call </w:t>
            </w:r>
            <w:r w:rsidR="00836369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in</w:t>
            </w: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 xml:space="preserve"> CM-IDLE or CM-CONNECTED mode’</w:t>
            </w:r>
          </w:p>
          <w:p w14:paraId="78BCE2DD" w14:textId="29EABBAB" w:rsidR="00F637E9" w:rsidRPr="007F48B5" w:rsidRDefault="00F637E9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</w:p>
        </w:tc>
        <w:tc>
          <w:tcPr>
            <w:tcW w:w="3770" w:type="dxa"/>
          </w:tcPr>
          <w:p w14:paraId="01582802" w14:textId="4C198E39" w:rsidR="0076657B" w:rsidRPr="007F48B5" w:rsidRDefault="00F637E9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 xml:space="preserve">The required configurations </w:t>
            </w:r>
            <w:r w:rsidR="00836369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 xml:space="preserve">for emergency sessions </w:t>
            </w: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are done on MWAB-gNB and AMF of the PLMN (the MWAB is serving)</w:t>
            </w:r>
          </w:p>
        </w:tc>
      </w:tr>
      <w:tr w:rsidR="00B677A1" w14:paraId="1535C18A" w14:textId="77777777" w:rsidTr="00727D9E">
        <w:trPr>
          <w:trHeight w:val="539"/>
        </w:trPr>
        <w:tc>
          <w:tcPr>
            <w:tcW w:w="1671" w:type="dxa"/>
          </w:tcPr>
          <w:p w14:paraId="3B57A966" w14:textId="3E4CC4BA" w:rsidR="00B677A1" w:rsidRPr="007F48B5" w:rsidRDefault="00B677A1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Solution #14</w:t>
            </w:r>
          </w:p>
        </w:tc>
        <w:tc>
          <w:tcPr>
            <w:tcW w:w="3908" w:type="dxa"/>
          </w:tcPr>
          <w:p w14:paraId="2D0A8B6B" w14:textId="2D80559C" w:rsidR="00B677A1" w:rsidRPr="007F48B5" w:rsidRDefault="00B677A1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  <w:t>Doesn’t address this aspect</w:t>
            </w:r>
          </w:p>
        </w:tc>
        <w:tc>
          <w:tcPr>
            <w:tcW w:w="3770" w:type="dxa"/>
          </w:tcPr>
          <w:p w14:paraId="089347CA" w14:textId="77777777" w:rsidR="00B677A1" w:rsidRPr="007F48B5" w:rsidRDefault="00B677A1" w:rsidP="00C62FE1">
            <w:pPr>
              <w:pStyle w:val="NormalWeb"/>
              <w:overflowPunct w:val="0"/>
              <w:spacing w:before="0" w:beforeAutospacing="0" w:after="0" w:afterAutospacing="0"/>
              <w:rPr>
                <w:rFonts w:eastAsia="Microsoft YaHei"/>
                <w:color w:val="0D0D0D" w:themeColor="text1" w:themeTint="F2"/>
                <w:kern w:val="24"/>
                <w:sz w:val="20"/>
                <w:szCs w:val="20"/>
                <w:lang w:val="en-GB" w:eastAsia="ja-JP"/>
              </w:rPr>
            </w:pPr>
          </w:p>
        </w:tc>
      </w:tr>
    </w:tbl>
    <w:p w14:paraId="57900FF1" w14:textId="77777777" w:rsidR="0076657B" w:rsidRPr="00B40CFA" w:rsidRDefault="0076657B" w:rsidP="0076657B">
      <w:pPr>
        <w:rPr>
          <w:rFonts w:eastAsia="MS Mincho"/>
        </w:rPr>
      </w:pPr>
    </w:p>
    <w:p w14:paraId="4CC086D3" w14:textId="4FD25285" w:rsidR="0076657B" w:rsidRPr="004412BD" w:rsidRDefault="0076657B" w:rsidP="0076657B">
      <w:pPr>
        <w:pStyle w:val="ListParagraph"/>
        <w:numPr>
          <w:ilvl w:val="0"/>
          <w:numId w:val="19"/>
        </w:numPr>
        <w:rPr>
          <w:b/>
          <w:bCs/>
        </w:rPr>
      </w:pPr>
      <w:r w:rsidRPr="004412BD">
        <w:rPr>
          <w:b/>
          <w:bCs/>
        </w:rPr>
        <w:t>Category#2</w:t>
      </w:r>
      <w:r w:rsidRPr="004412BD">
        <w:rPr>
          <w:rFonts w:hint="eastAsia"/>
          <w:b/>
          <w:bCs/>
        </w:rPr>
        <w:t>:</w:t>
      </w:r>
      <w:r w:rsidRPr="004412BD">
        <w:rPr>
          <w:b/>
          <w:bCs/>
        </w:rPr>
        <w:t xml:space="preserve"> </w:t>
      </w:r>
      <w:r w:rsidR="000B0CEF" w:rsidRPr="00727D9E">
        <w:rPr>
          <w:b/>
          <w:bCs/>
        </w:rPr>
        <w:t>How does Roaming / Mobility of MWAB impact the emergency services for the UE</w:t>
      </w:r>
      <w:r w:rsidRPr="004412BD">
        <w:rPr>
          <w:b/>
          <w:bCs/>
        </w:rPr>
        <w:t>.</w:t>
      </w:r>
    </w:p>
    <w:tbl>
      <w:tblPr>
        <w:tblStyle w:val="TableGrid"/>
        <w:tblW w:w="9346" w:type="dxa"/>
        <w:tblInd w:w="279" w:type="dxa"/>
        <w:tblLook w:val="04A0" w:firstRow="1" w:lastRow="0" w:firstColumn="1" w:lastColumn="0" w:noHBand="0" w:noVBand="1"/>
      </w:tblPr>
      <w:tblGrid>
        <w:gridCol w:w="1700"/>
        <w:gridCol w:w="3825"/>
        <w:gridCol w:w="3821"/>
      </w:tblGrid>
      <w:tr w:rsidR="00B677A1" w14:paraId="44863E01" w14:textId="77777777" w:rsidTr="00727D9E">
        <w:trPr>
          <w:trHeight w:val="280"/>
        </w:trPr>
        <w:tc>
          <w:tcPr>
            <w:tcW w:w="1700" w:type="dxa"/>
          </w:tcPr>
          <w:p w14:paraId="11012EF6" w14:textId="77777777" w:rsidR="00B677A1" w:rsidRPr="00D062A2" w:rsidRDefault="00B677A1" w:rsidP="00C62FE1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Solutions</w:t>
            </w:r>
          </w:p>
        </w:tc>
        <w:tc>
          <w:tcPr>
            <w:tcW w:w="3825" w:type="dxa"/>
          </w:tcPr>
          <w:p w14:paraId="757352D4" w14:textId="77777777" w:rsidR="00B677A1" w:rsidRPr="00D062A2" w:rsidRDefault="00B677A1" w:rsidP="00C62FE1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High</w:t>
            </w:r>
            <w:r w:rsidRPr="00D062A2">
              <w:rPr>
                <w:rFonts w:ascii="Arial" w:eastAsia="Microsoft YaHei" w:hAnsi="Arial" w:cs="Arial" w:hint="eastAsia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-</w:t>
            </w: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level Descriptions</w:t>
            </w:r>
          </w:p>
        </w:tc>
        <w:tc>
          <w:tcPr>
            <w:tcW w:w="3821" w:type="dxa"/>
          </w:tcPr>
          <w:p w14:paraId="643D8972" w14:textId="29D1D3E3" w:rsidR="00B677A1" w:rsidRPr="00D062A2" w:rsidRDefault="00B677A1" w:rsidP="00C62FE1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Impact on Emergency service</w:t>
            </w:r>
          </w:p>
        </w:tc>
      </w:tr>
      <w:tr w:rsidR="00B677A1" w14:paraId="08A1B23C" w14:textId="77777777" w:rsidTr="00727D9E">
        <w:trPr>
          <w:trHeight w:val="556"/>
        </w:trPr>
        <w:tc>
          <w:tcPr>
            <w:tcW w:w="1700" w:type="dxa"/>
          </w:tcPr>
          <w:p w14:paraId="6D057BDC" w14:textId="6AF5649E" w:rsidR="00B677A1" w:rsidRPr="007F48B5" w:rsidRDefault="00B677A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#12</w:t>
            </w:r>
          </w:p>
        </w:tc>
        <w:tc>
          <w:tcPr>
            <w:tcW w:w="3825" w:type="dxa"/>
          </w:tcPr>
          <w:p w14:paraId="063CDC04" w14:textId="77777777" w:rsidR="00B677A1" w:rsidRPr="007F48B5" w:rsidRDefault="00B677A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Mobility induced handover procedure for UEs in RRC_Connected state is covered</w:t>
            </w:r>
          </w:p>
          <w:p w14:paraId="066D9C6A" w14:textId="1D3207A9" w:rsidR="00F637E9" w:rsidRPr="007F48B5" w:rsidRDefault="00F637E9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Location services support is as addressed by solutions for KI#5</w:t>
            </w:r>
          </w:p>
        </w:tc>
        <w:tc>
          <w:tcPr>
            <w:tcW w:w="3821" w:type="dxa"/>
          </w:tcPr>
          <w:p w14:paraId="36163ACB" w14:textId="12B258C4" w:rsidR="00B677A1" w:rsidRPr="007F48B5" w:rsidRDefault="00836369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>
              <w:rPr>
                <w:rFonts w:eastAsia="Microsoft YaHei"/>
                <w:color w:val="0D0D0D" w:themeColor="text1" w:themeTint="F2"/>
                <w:kern w:val="24"/>
              </w:rPr>
              <w:t>Upon mobility, MWAB triggers h</w:t>
            </w:r>
            <w:r w:rsidR="00B677A1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andover </w:t>
            </w:r>
            <w:r>
              <w:rPr>
                <w:rFonts w:eastAsia="Microsoft YaHei"/>
                <w:color w:val="0D0D0D" w:themeColor="text1" w:themeTint="F2"/>
                <w:kern w:val="24"/>
              </w:rPr>
              <w:t>for all UE PDU sessions including</w:t>
            </w:r>
            <w:r w:rsidR="00B677A1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 </w:t>
            </w:r>
            <w:r>
              <w:rPr>
                <w:rFonts w:eastAsia="Microsoft YaHei"/>
                <w:color w:val="0D0D0D" w:themeColor="text1" w:themeTint="F2"/>
                <w:kern w:val="24"/>
              </w:rPr>
              <w:t xml:space="preserve">an </w:t>
            </w:r>
            <w:r w:rsidR="00B677A1" w:rsidRPr="007F48B5">
              <w:rPr>
                <w:rFonts w:eastAsia="Microsoft YaHei"/>
                <w:color w:val="0D0D0D" w:themeColor="text1" w:themeTint="F2"/>
                <w:kern w:val="24"/>
              </w:rPr>
              <w:t>emergency session</w:t>
            </w:r>
          </w:p>
        </w:tc>
      </w:tr>
      <w:tr w:rsidR="00B677A1" w14:paraId="38DAC8D8" w14:textId="77777777" w:rsidTr="00727D9E">
        <w:trPr>
          <w:trHeight w:val="556"/>
        </w:trPr>
        <w:tc>
          <w:tcPr>
            <w:tcW w:w="1700" w:type="dxa"/>
          </w:tcPr>
          <w:p w14:paraId="3E3F520F" w14:textId="70D2C94A" w:rsidR="00B677A1" w:rsidRPr="007F48B5" w:rsidRDefault="00B677A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#13</w:t>
            </w:r>
          </w:p>
        </w:tc>
        <w:tc>
          <w:tcPr>
            <w:tcW w:w="3825" w:type="dxa"/>
          </w:tcPr>
          <w:p w14:paraId="79C02B06" w14:textId="155F6F56" w:rsidR="00B677A1" w:rsidRPr="007F48B5" w:rsidRDefault="00B677A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Doesn’t address this aspect</w:t>
            </w:r>
            <w:r w:rsidRPr="007F48B5" w:rsidDel="00B677A1">
              <w:rPr>
                <w:rFonts w:eastAsia="Microsoft YaHei"/>
                <w:color w:val="0D0D0D" w:themeColor="text1" w:themeTint="F2"/>
                <w:kern w:val="24"/>
              </w:rPr>
              <w:t xml:space="preserve"> </w:t>
            </w:r>
          </w:p>
        </w:tc>
        <w:tc>
          <w:tcPr>
            <w:tcW w:w="3821" w:type="dxa"/>
          </w:tcPr>
          <w:p w14:paraId="5C3F8289" w14:textId="093EFFFA" w:rsidR="00B677A1" w:rsidRPr="007F48B5" w:rsidRDefault="00B677A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</w:p>
        </w:tc>
      </w:tr>
      <w:tr w:rsidR="00B677A1" w14:paraId="10B99C5A" w14:textId="77777777" w:rsidTr="00727D9E">
        <w:trPr>
          <w:trHeight w:val="556"/>
        </w:trPr>
        <w:tc>
          <w:tcPr>
            <w:tcW w:w="1700" w:type="dxa"/>
          </w:tcPr>
          <w:p w14:paraId="3C57E8B3" w14:textId="50EEC31B" w:rsidR="00B677A1" w:rsidRPr="007F48B5" w:rsidRDefault="00B677A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#14</w:t>
            </w:r>
          </w:p>
        </w:tc>
        <w:tc>
          <w:tcPr>
            <w:tcW w:w="3825" w:type="dxa"/>
          </w:tcPr>
          <w:p w14:paraId="3F107186" w14:textId="70B99AB4" w:rsidR="00B677A1" w:rsidRPr="007F48B5" w:rsidRDefault="00B677A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Doesn’t address this aspect</w:t>
            </w:r>
            <w:r w:rsidRPr="007F48B5" w:rsidDel="00B677A1">
              <w:rPr>
                <w:rFonts w:eastAsia="Microsoft YaHei"/>
                <w:color w:val="0D0D0D" w:themeColor="text1" w:themeTint="F2"/>
                <w:kern w:val="24"/>
              </w:rPr>
              <w:t xml:space="preserve"> </w:t>
            </w:r>
          </w:p>
        </w:tc>
        <w:tc>
          <w:tcPr>
            <w:tcW w:w="3821" w:type="dxa"/>
          </w:tcPr>
          <w:p w14:paraId="74DFE7A9" w14:textId="1B70D917" w:rsidR="00B677A1" w:rsidRPr="007F48B5" w:rsidRDefault="00B677A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</w:p>
        </w:tc>
      </w:tr>
    </w:tbl>
    <w:p w14:paraId="664AA262" w14:textId="3717337D" w:rsidR="0076657B" w:rsidRPr="00535510" w:rsidRDefault="0076657B" w:rsidP="00727D9E"/>
    <w:p w14:paraId="58448921" w14:textId="35E2FFC7" w:rsidR="0076657B" w:rsidRPr="004412BD" w:rsidRDefault="0076657B" w:rsidP="0076657B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Category#3</w:t>
      </w:r>
      <w:r w:rsidRPr="004412BD">
        <w:rPr>
          <w:rFonts w:hint="eastAsia"/>
          <w:b/>
          <w:bCs/>
        </w:rPr>
        <w:t>:</w:t>
      </w:r>
      <w:r w:rsidRPr="004412BD">
        <w:rPr>
          <w:b/>
          <w:bCs/>
        </w:rPr>
        <w:t xml:space="preserve"> </w:t>
      </w:r>
      <w:r w:rsidR="00B677A1">
        <w:rPr>
          <w:b/>
          <w:bCs/>
        </w:rPr>
        <w:t xml:space="preserve">How to handle </w:t>
      </w:r>
      <w:r w:rsidR="00D7286C">
        <w:rPr>
          <w:b/>
          <w:bCs/>
        </w:rPr>
        <w:t xml:space="preserve">new and ongoing </w:t>
      </w:r>
      <w:r w:rsidR="00B677A1">
        <w:rPr>
          <w:b/>
          <w:bCs/>
        </w:rPr>
        <w:t>emergency session via MWAB</w:t>
      </w:r>
    </w:p>
    <w:tbl>
      <w:tblPr>
        <w:tblStyle w:val="TableGrid"/>
        <w:tblW w:w="9349" w:type="dxa"/>
        <w:tblInd w:w="279" w:type="dxa"/>
        <w:tblLook w:val="04A0" w:firstRow="1" w:lastRow="0" w:firstColumn="1" w:lastColumn="0" w:noHBand="0" w:noVBand="1"/>
      </w:tblPr>
      <w:tblGrid>
        <w:gridCol w:w="1689"/>
        <w:gridCol w:w="3860"/>
        <w:gridCol w:w="3800"/>
      </w:tblGrid>
      <w:tr w:rsidR="0076657B" w14:paraId="78D31F8E" w14:textId="77777777" w:rsidTr="00C62FE1">
        <w:trPr>
          <w:trHeight w:val="280"/>
        </w:trPr>
        <w:tc>
          <w:tcPr>
            <w:tcW w:w="1689" w:type="dxa"/>
          </w:tcPr>
          <w:p w14:paraId="584D96AC" w14:textId="77777777" w:rsidR="0076657B" w:rsidRPr="00D062A2" w:rsidRDefault="0076657B" w:rsidP="00C62FE1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Solutions</w:t>
            </w:r>
          </w:p>
        </w:tc>
        <w:tc>
          <w:tcPr>
            <w:tcW w:w="3860" w:type="dxa"/>
          </w:tcPr>
          <w:p w14:paraId="339A1C9A" w14:textId="77777777" w:rsidR="0076657B" w:rsidRPr="00D062A2" w:rsidRDefault="0076657B" w:rsidP="00C62FE1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High</w:t>
            </w:r>
            <w:r w:rsidRPr="00D062A2">
              <w:rPr>
                <w:rFonts w:ascii="Arial" w:eastAsia="Microsoft YaHei" w:hAnsi="Arial" w:cs="Arial" w:hint="eastAsia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-</w:t>
            </w: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level Descriptions</w:t>
            </w:r>
          </w:p>
        </w:tc>
        <w:tc>
          <w:tcPr>
            <w:tcW w:w="3800" w:type="dxa"/>
          </w:tcPr>
          <w:p w14:paraId="3A480ACD" w14:textId="08C24FB3" w:rsidR="0076657B" w:rsidRPr="00D062A2" w:rsidRDefault="0076657B" w:rsidP="00C62FE1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 xml:space="preserve">How </w:t>
            </w:r>
            <w:r w:rsidR="00D72C71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is</w:t>
            </w: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 xml:space="preserve"> </w:t>
            </w:r>
            <w:r w:rsidR="00D72C71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 xml:space="preserve">emergency session triggered for </w:t>
            </w:r>
            <w:r w:rsidR="00F733D3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 xml:space="preserve">the </w:t>
            </w:r>
            <w:r w:rsidR="00D72C71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UE</w:t>
            </w:r>
          </w:p>
        </w:tc>
      </w:tr>
      <w:tr w:rsidR="0076657B" w14:paraId="330B94B1" w14:textId="77777777" w:rsidTr="00C62FE1">
        <w:trPr>
          <w:trHeight w:val="556"/>
        </w:trPr>
        <w:tc>
          <w:tcPr>
            <w:tcW w:w="1689" w:type="dxa"/>
          </w:tcPr>
          <w:p w14:paraId="566E768E" w14:textId="06A0E841" w:rsidR="0076657B" w:rsidRPr="007F48B5" w:rsidRDefault="0076657B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#1</w:t>
            </w:r>
            <w:r w:rsidR="00B677A1" w:rsidRPr="007F48B5">
              <w:rPr>
                <w:rFonts w:eastAsia="Microsoft YaHei"/>
                <w:color w:val="0D0D0D" w:themeColor="text1" w:themeTint="F2"/>
                <w:kern w:val="24"/>
              </w:rPr>
              <w:t>2</w:t>
            </w:r>
          </w:p>
        </w:tc>
        <w:tc>
          <w:tcPr>
            <w:tcW w:w="3860" w:type="dxa"/>
          </w:tcPr>
          <w:p w14:paraId="66C71C0C" w14:textId="784CC514" w:rsidR="00D7286C" w:rsidRPr="007F48B5" w:rsidRDefault="00D72C71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Emergency PDU session establishment is described considering some updates to</w:t>
            </w:r>
            <w:r w:rsidR="00F002F6">
              <w:rPr>
                <w:rFonts w:eastAsia="Microsoft YaHei"/>
                <w:color w:val="0D0D0D" w:themeColor="text1" w:themeTint="F2"/>
                <w:kern w:val="24"/>
              </w:rPr>
              <w:t xml:space="preserve"> the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 emergency features defined in TS 23.501 and Rel-18 MBSR</w:t>
            </w:r>
          </w:p>
        </w:tc>
        <w:tc>
          <w:tcPr>
            <w:tcW w:w="3800" w:type="dxa"/>
          </w:tcPr>
          <w:p w14:paraId="7F8BD8DD" w14:textId="3EB1DC90" w:rsidR="00F733D3" w:rsidRPr="007F48B5" w:rsidRDefault="00836369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>
              <w:rPr>
                <w:rFonts w:eastAsia="Microsoft YaHei"/>
                <w:color w:val="0D0D0D" w:themeColor="text1" w:themeTint="F2"/>
                <w:kern w:val="24"/>
              </w:rPr>
              <w:t xml:space="preserve">Emergency session is triggered based </w:t>
            </w:r>
            <w:r w:rsidR="00D72C71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on ‘Emergency Request’ 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indication </w:t>
            </w:r>
            <w:r w:rsidR="00D72C71" w:rsidRPr="007F48B5">
              <w:rPr>
                <w:rFonts w:eastAsia="Microsoft YaHei"/>
                <w:color w:val="0D0D0D" w:themeColor="text1" w:themeTint="F2"/>
                <w:kern w:val="24"/>
              </w:rPr>
              <w:t>during UE PDU session establishment</w:t>
            </w:r>
          </w:p>
        </w:tc>
      </w:tr>
      <w:tr w:rsidR="0076657B" w14:paraId="20AE9519" w14:textId="77777777" w:rsidTr="00C62FE1">
        <w:trPr>
          <w:trHeight w:val="408"/>
        </w:trPr>
        <w:tc>
          <w:tcPr>
            <w:tcW w:w="1689" w:type="dxa"/>
          </w:tcPr>
          <w:p w14:paraId="5E540E42" w14:textId="73089327" w:rsidR="0076657B" w:rsidRPr="007F48B5" w:rsidRDefault="0076657B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</w:t>
            </w:r>
            <w:r w:rsidR="00F733D3" w:rsidRPr="007F48B5">
              <w:rPr>
                <w:rFonts w:eastAsia="Microsoft YaHei"/>
                <w:color w:val="0D0D0D" w:themeColor="text1" w:themeTint="F2"/>
                <w:kern w:val="24"/>
              </w:rPr>
              <w:t>13</w:t>
            </w:r>
          </w:p>
        </w:tc>
        <w:tc>
          <w:tcPr>
            <w:tcW w:w="3860" w:type="dxa"/>
          </w:tcPr>
          <w:p w14:paraId="59850D71" w14:textId="2B0233E8" w:rsidR="00880435" w:rsidRPr="007F48B5" w:rsidRDefault="00F733D3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This solution </w:t>
            </w:r>
            <w:r w:rsidR="00057467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proposes 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a dedicated BH PDU session for </w:t>
            </w:r>
            <w:r w:rsidR="00880435" w:rsidRPr="007F48B5">
              <w:rPr>
                <w:rFonts w:eastAsia="Microsoft YaHei"/>
                <w:color w:val="0D0D0D" w:themeColor="text1" w:themeTint="F2"/>
                <w:kern w:val="24"/>
              </w:rPr>
              <w:t>the UEs emergency PDU session. It uses the reserved S-NSSAI and DNN for emergency session backhaul support</w:t>
            </w:r>
            <w:r w:rsidR="004461EE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. </w:t>
            </w:r>
          </w:p>
          <w:p w14:paraId="4A92AC94" w14:textId="614695C6" w:rsidR="004461EE" w:rsidRPr="007F48B5" w:rsidRDefault="004461EE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BH PDU session is also assigned a ARP value which corresponds to the ARP values reserved for emergency</w:t>
            </w:r>
          </w:p>
          <w:p w14:paraId="0581F5EA" w14:textId="697D2886" w:rsidR="00880435" w:rsidRPr="007F48B5" w:rsidRDefault="00880435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It handles emergency call for UEs in CM-IDLE and CM-CONNECTED states</w:t>
            </w:r>
          </w:p>
          <w:p w14:paraId="59B3F083" w14:textId="2BA49911" w:rsidR="009540D0" w:rsidRPr="007F48B5" w:rsidRDefault="009540D0" w:rsidP="00F733D3">
            <w:pPr>
              <w:pStyle w:val="ListParagraph"/>
              <w:ind w:left="0"/>
              <w:rPr>
                <w:rFonts w:eastAsiaTheme="minorEastAsia"/>
                <w:color w:val="0D0D0D" w:themeColor="text1" w:themeTint="F2"/>
                <w:kern w:val="24"/>
                <w:lang w:eastAsia="zh-CN"/>
              </w:rPr>
            </w:pPr>
          </w:p>
        </w:tc>
        <w:tc>
          <w:tcPr>
            <w:tcW w:w="3800" w:type="dxa"/>
          </w:tcPr>
          <w:p w14:paraId="44481602" w14:textId="66E1A096" w:rsidR="0076657B" w:rsidRPr="007F48B5" w:rsidRDefault="00A95FDE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For the UEs in CM-IDLE mode</w:t>
            </w:r>
            <w:r w:rsidR="00880435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, 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MWAB detects</w:t>
            </w:r>
            <w:r w:rsidR="00880435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 ‘EMERGENCY’ indication in RRC establishment cause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 and either establishes a new BH PDU session or modifies the existing one to </w:t>
            </w:r>
            <w:r w:rsidR="00F002F6">
              <w:rPr>
                <w:rFonts w:eastAsia="Microsoft YaHei"/>
                <w:color w:val="0D0D0D" w:themeColor="text1" w:themeTint="F2"/>
                <w:kern w:val="24"/>
              </w:rPr>
              <w:t xml:space="preserve">meet 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the requirements</w:t>
            </w:r>
          </w:p>
          <w:p w14:paraId="22EC78CD" w14:textId="557A8C9F" w:rsidR="009540D0" w:rsidRPr="007F48B5" w:rsidRDefault="00A95FDE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For UEs in CM-CONNECTED mode, MWAB detects emergency call by inspection of the ARP value it received for the </w:t>
            </w:r>
            <w:r w:rsidR="00F002F6">
              <w:rPr>
                <w:rFonts w:eastAsia="Microsoft YaHei"/>
                <w:color w:val="0D0D0D" w:themeColor="text1" w:themeTint="F2"/>
                <w:kern w:val="24"/>
              </w:rPr>
              <w:t xml:space="preserve">UE 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session. Then it either establishes a new BH PDU session or modifies the existing one to </w:t>
            </w:r>
            <w:r w:rsidR="00F002F6">
              <w:rPr>
                <w:rFonts w:eastAsia="Microsoft YaHei"/>
                <w:color w:val="0D0D0D" w:themeColor="text1" w:themeTint="F2"/>
                <w:kern w:val="24"/>
              </w:rPr>
              <w:t>meet</w:t>
            </w:r>
            <w:r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 the requirements</w:t>
            </w:r>
          </w:p>
          <w:p w14:paraId="671EB910" w14:textId="7466CAA4" w:rsidR="007F48B5" w:rsidRPr="007F48B5" w:rsidRDefault="00D7286C" w:rsidP="00C62FE1">
            <w:pPr>
              <w:pStyle w:val="ListParagraph"/>
              <w:ind w:left="0"/>
              <w:rPr>
                <w:rFonts w:eastAsia="MS Mincho"/>
                <w:color w:val="0D0D0D" w:themeColor="text1" w:themeTint="F2"/>
                <w:kern w:val="24"/>
              </w:rPr>
            </w:pPr>
            <w:r w:rsidRPr="007F48B5">
              <w:rPr>
                <w:rFonts w:eastAsia="MS Mincho"/>
                <w:color w:val="0D0D0D" w:themeColor="text1" w:themeTint="F2"/>
                <w:kern w:val="24"/>
              </w:rPr>
              <w:lastRenderedPageBreak/>
              <w:t>MWAB uses a BH PDU session from another UEs recently terminated session or creates a new one.</w:t>
            </w:r>
          </w:p>
        </w:tc>
      </w:tr>
      <w:tr w:rsidR="0076657B" w14:paraId="6201C219" w14:textId="77777777" w:rsidTr="00727D9E">
        <w:trPr>
          <w:trHeight w:val="557"/>
        </w:trPr>
        <w:tc>
          <w:tcPr>
            <w:tcW w:w="1689" w:type="dxa"/>
          </w:tcPr>
          <w:p w14:paraId="649AA457" w14:textId="4CA550FE" w:rsidR="0076657B" w:rsidRPr="007F48B5" w:rsidRDefault="0076657B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lastRenderedPageBreak/>
              <w:t>Solution #</w:t>
            </w:r>
            <w:r w:rsidR="00880435" w:rsidRPr="007F48B5">
              <w:rPr>
                <w:rFonts w:eastAsia="Microsoft YaHei"/>
                <w:color w:val="0D0D0D" w:themeColor="text1" w:themeTint="F2"/>
                <w:kern w:val="24"/>
              </w:rPr>
              <w:t>14</w:t>
            </w:r>
          </w:p>
        </w:tc>
        <w:tc>
          <w:tcPr>
            <w:tcW w:w="3860" w:type="dxa"/>
          </w:tcPr>
          <w:p w14:paraId="5270A2A9" w14:textId="5D5C8242" w:rsidR="0076657B" w:rsidRPr="007F48B5" w:rsidRDefault="00880435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Doesn’t address this aspect</w:t>
            </w:r>
            <w:r w:rsidRPr="007F48B5" w:rsidDel="00B677A1">
              <w:rPr>
                <w:rFonts w:eastAsia="Microsoft YaHei"/>
                <w:color w:val="0D0D0D" w:themeColor="text1" w:themeTint="F2"/>
                <w:kern w:val="24"/>
              </w:rPr>
              <w:t xml:space="preserve"> </w:t>
            </w:r>
          </w:p>
        </w:tc>
        <w:tc>
          <w:tcPr>
            <w:tcW w:w="3800" w:type="dxa"/>
          </w:tcPr>
          <w:p w14:paraId="461D02D0" w14:textId="40FE1078" w:rsidR="0076657B" w:rsidRPr="007F48B5" w:rsidRDefault="0076657B" w:rsidP="00C62FE1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</w:p>
        </w:tc>
      </w:tr>
    </w:tbl>
    <w:p w14:paraId="78801F6E" w14:textId="77777777" w:rsidR="0076657B" w:rsidRPr="00E515C0" w:rsidRDefault="0076657B" w:rsidP="0076657B">
      <w:pPr>
        <w:rPr>
          <w:rFonts w:eastAsia="SimSun"/>
          <w:lang w:eastAsia="zh-CN"/>
        </w:rPr>
      </w:pPr>
    </w:p>
    <w:p w14:paraId="5C3A780C" w14:textId="2DB89BAC" w:rsidR="00880435" w:rsidRPr="004412BD" w:rsidRDefault="00880435" w:rsidP="00880435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Category#4</w:t>
      </w:r>
      <w:r w:rsidRPr="004412BD">
        <w:rPr>
          <w:rFonts w:hint="eastAsia"/>
          <w:b/>
          <w:bCs/>
        </w:rPr>
        <w:t>:</w:t>
      </w:r>
      <w:r w:rsidRPr="004412BD">
        <w:rPr>
          <w:b/>
          <w:bCs/>
        </w:rPr>
        <w:t xml:space="preserve"> </w:t>
      </w:r>
      <w:r>
        <w:rPr>
          <w:b/>
          <w:bCs/>
        </w:rPr>
        <w:t xml:space="preserve">How to handle </w:t>
      </w:r>
      <w:r w:rsidR="00D7286C">
        <w:rPr>
          <w:b/>
          <w:bCs/>
        </w:rPr>
        <w:t>graceful release of</w:t>
      </w:r>
      <w:r>
        <w:rPr>
          <w:b/>
          <w:bCs/>
        </w:rPr>
        <w:t xml:space="preserve"> emergency se</w:t>
      </w:r>
      <w:r w:rsidR="00D7286C">
        <w:rPr>
          <w:b/>
          <w:bCs/>
        </w:rPr>
        <w:t>rvices</w:t>
      </w:r>
    </w:p>
    <w:tbl>
      <w:tblPr>
        <w:tblStyle w:val="TableGrid"/>
        <w:tblW w:w="9349" w:type="dxa"/>
        <w:tblInd w:w="279" w:type="dxa"/>
        <w:tblLook w:val="04A0" w:firstRow="1" w:lastRow="0" w:firstColumn="1" w:lastColumn="0" w:noHBand="0" w:noVBand="1"/>
      </w:tblPr>
      <w:tblGrid>
        <w:gridCol w:w="1689"/>
        <w:gridCol w:w="3860"/>
        <w:gridCol w:w="3800"/>
      </w:tblGrid>
      <w:tr w:rsidR="00880435" w14:paraId="5082CF76" w14:textId="77777777" w:rsidTr="0081686B">
        <w:trPr>
          <w:trHeight w:val="280"/>
        </w:trPr>
        <w:tc>
          <w:tcPr>
            <w:tcW w:w="1689" w:type="dxa"/>
          </w:tcPr>
          <w:p w14:paraId="4A1C3FFF" w14:textId="77777777" w:rsidR="00880435" w:rsidRPr="00D062A2" w:rsidRDefault="00880435" w:rsidP="0081686B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Solutions</w:t>
            </w:r>
          </w:p>
        </w:tc>
        <w:tc>
          <w:tcPr>
            <w:tcW w:w="3860" w:type="dxa"/>
          </w:tcPr>
          <w:p w14:paraId="38CFF919" w14:textId="77777777" w:rsidR="00880435" w:rsidRPr="00D062A2" w:rsidRDefault="00880435" w:rsidP="0081686B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High</w:t>
            </w:r>
            <w:r w:rsidRPr="00D062A2">
              <w:rPr>
                <w:rFonts w:ascii="Arial" w:eastAsia="Microsoft YaHei" w:hAnsi="Arial" w:cs="Arial" w:hint="eastAsia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-</w:t>
            </w:r>
            <w:r w:rsidRPr="00D062A2"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level Descriptions</w:t>
            </w:r>
          </w:p>
        </w:tc>
        <w:tc>
          <w:tcPr>
            <w:tcW w:w="3800" w:type="dxa"/>
          </w:tcPr>
          <w:p w14:paraId="1D93F74C" w14:textId="20AF0648" w:rsidR="00880435" w:rsidRPr="00D062A2" w:rsidRDefault="00756233" w:rsidP="0081686B">
            <w:pPr>
              <w:pStyle w:val="ListParagraph"/>
              <w:ind w:left="0"/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</w:pPr>
            <w:r>
              <w:rPr>
                <w:rFonts w:ascii="Arial" w:eastAsia="Microsoft YaHei" w:hAnsi="Arial" w:cs="Arial"/>
                <w:b/>
                <w:bCs/>
                <w:color w:val="0D0D0D" w:themeColor="text1" w:themeTint="F2"/>
                <w:kern w:val="24"/>
                <w:sz w:val="18"/>
                <w:szCs w:val="21"/>
              </w:rPr>
              <w:t>How is graceful release handled</w:t>
            </w:r>
          </w:p>
        </w:tc>
      </w:tr>
      <w:tr w:rsidR="00880435" w14:paraId="73B975A5" w14:textId="77777777" w:rsidTr="0081686B">
        <w:trPr>
          <w:trHeight w:val="556"/>
        </w:trPr>
        <w:tc>
          <w:tcPr>
            <w:tcW w:w="1689" w:type="dxa"/>
          </w:tcPr>
          <w:p w14:paraId="455DCC31" w14:textId="77777777" w:rsidR="00880435" w:rsidRPr="007F48B5" w:rsidRDefault="00880435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#12</w:t>
            </w:r>
          </w:p>
        </w:tc>
        <w:tc>
          <w:tcPr>
            <w:tcW w:w="3860" w:type="dxa"/>
          </w:tcPr>
          <w:p w14:paraId="3A6F43FA" w14:textId="51B6D852" w:rsidR="00880435" w:rsidRPr="007F48B5" w:rsidRDefault="00836369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>
              <w:rPr>
                <w:rFonts w:eastAsia="Microsoft YaHei"/>
                <w:color w:val="0D0D0D" w:themeColor="text1" w:themeTint="F2"/>
                <w:kern w:val="24"/>
              </w:rPr>
              <w:t>Graceful release of UE sessions are d</w:t>
            </w:r>
            <w:r w:rsidR="00D7286C" w:rsidRPr="007F48B5">
              <w:rPr>
                <w:rFonts w:eastAsia="Microsoft YaHei"/>
                <w:color w:val="0D0D0D" w:themeColor="text1" w:themeTint="F2"/>
                <w:kern w:val="24"/>
              </w:rPr>
              <w:t>ependent on how MWAB authorization changes based on the solution proposed for KI#2 and KI#4. Hence it addresses only the release of the PDU sessions when MWAB is unauthorized to serve.</w:t>
            </w:r>
          </w:p>
        </w:tc>
        <w:tc>
          <w:tcPr>
            <w:tcW w:w="3800" w:type="dxa"/>
          </w:tcPr>
          <w:p w14:paraId="77B27BEA" w14:textId="26F3CF76" w:rsidR="00D7286C" w:rsidRPr="007F48B5" w:rsidRDefault="00F05CA9" w:rsidP="00D7286C">
            <w:pPr>
              <w:rPr>
                <w:rFonts w:eastAsia="SimSun"/>
                <w:lang w:eastAsia="zh-CN"/>
              </w:rPr>
            </w:pPr>
            <w:r>
              <w:rPr>
                <w:rFonts w:eastAsia="Microsoft YaHei"/>
                <w:color w:val="0D0D0D" w:themeColor="text1" w:themeTint="F2"/>
                <w:kern w:val="24"/>
              </w:rPr>
              <w:t xml:space="preserve">When MWAB is </w:t>
            </w:r>
            <w:r w:rsidR="00756233" w:rsidRPr="007F48B5">
              <w:rPr>
                <w:rFonts w:eastAsia="Microsoft YaHei"/>
                <w:color w:val="0D0D0D" w:themeColor="text1" w:themeTint="F2"/>
                <w:kern w:val="24"/>
              </w:rPr>
              <w:t>unauthoriz</w:t>
            </w:r>
            <w:r>
              <w:rPr>
                <w:rFonts w:eastAsia="Microsoft YaHei"/>
                <w:color w:val="0D0D0D" w:themeColor="text1" w:themeTint="F2"/>
                <w:kern w:val="24"/>
              </w:rPr>
              <w:t>ed</w:t>
            </w:r>
            <w:r w:rsidR="00756233" w:rsidRPr="007F48B5">
              <w:rPr>
                <w:rFonts w:eastAsia="Microsoft YaHei"/>
                <w:color w:val="0D0D0D" w:themeColor="text1" w:themeTint="F2"/>
                <w:kern w:val="24"/>
              </w:rPr>
              <w:t xml:space="preserve">, </w:t>
            </w:r>
            <w:r w:rsidR="00756233" w:rsidRPr="007F48B5">
              <w:rPr>
                <w:rFonts w:eastAsia="SimSun"/>
                <w:lang w:eastAsia="zh-CN"/>
              </w:rPr>
              <w:t>both</w:t>
            </w:r>
            <w:r w:rsidR="00D7286C" w:rsidRPr="007F48B5">
              <w:rPr>
                <w:rFonts w:eastAsia="SimSun"/>
                <w:lang w:eastAsia="zh-CN"/>
              </w:rPr>
              <w:t xml:space="preserve"> emergency as well as normal PDU sessions are handed over, </w:t>
            </w:r>
            <w:r>
              <w:rPr>
                <w:rFonts w:eastAsia="SimSun"/>
                <w:lang w:eastAsia="zh-CN"/>
              </w:rPr>
              <w:t>for</w:t>
            </w:r>
            <w:r w:rsidR="00D7286C" w:rsidRPr="007F48B5">
              <w:rPr>
                <w:rFonts w:eastAsia="SimSun"/>
                <w:lang w:eastAsia="zh-CN"/>
              </w:rPr>
              <w:t xml:space="preserve"> UEs in RRC_C</w:t>
            </w:r>
            <w:r>
              <w:rPr>
                <w:rFonts w:eastAsia="SimSun"/>
                <w:lang w:eastAsia="zh-CN"/>
              </w:rPr>
              <w:t>ONNECTED</w:t>
            </w:r>
            <w:r w:rsidR="00D7286C" w:rsidRPr="007F48B5">
              <w:rPr>
                <w:rFonts w:eastAsia="SimSun"/>
                <w:lang w:eastAsia="zh-CN"/>
              </w:rPr>
              <w:t xml:space="preserve"> state. </w:t>
            </w:r>
          </w:p>
          <w:p w14:paraId="736B3ABE" w14:textId="1548C888" w:rsidR="00880435" w:rsidRPr="007F48B5" w:rsidRDefault="00880435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</w:p>
        </w:tc>
      </w:tr>
      <w:tr w:rsidR="00880435" w14:paraId="52F7F85F" w14:textId="77777777" w:rsidTr="0081686B">
        <w:trPr>
          <w:trHeight w:val="408"/>
        </w:trPr>
        <w:tc>
          <w:tcPr>
            <w:tcW w:w="1689" w:type="dxa"/>
          </w:tcPr>
          <w:p w14:paraId="2CE32710" w14:textId="77777777" w:rsidR="00880435" w:rsidRPr="007F48B5" w:rsidRDefault="00880435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#13</w:t>
            </w:r>
          </w:p>
        </w:tc>
        <w:tc>
          <w:tcPr>
            <w:tcW w:w="3860" w:type="dxa"/>
          </w:tcPr>
          <w:p w14:paraId="32B3BEE0" w14:textId="7089076B" w:rsidR="00A95FDE" w:rsidRPr="007F48B5" w:rsidRDefault="00756233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Doesn’t address this aspect</w:t>
            </w:r>
            <w:r w:rsidRPr="007F48B5" w:rsidDel="00B677A1">
              <w:rPr>
                <w:rFonts w:eastAsia="Microsoft YaHei"/>
                <w:color w:val="0D0D0D" w:themeColor="text1" w:themeTint="F2"/>
                <w:kern w:val="24"/>
              </w:rPr>
              <w:t xml:space="preserve"> </w:t>
            </w:r>
          </w:p>
        </w:tc>
        <w:tc>
          <w:tcPr>
            <w:tcW w:w="3800" w:type="dxa"/>
          </w:tcPr>
          <w:p w14:paraId="1EE1AEB4" w14:textId="53EE7F9E" w:rsidR="00F914CE" w:rsidRPr="007F48B5" w:rsidRDefault="00F914CE" w:rsidP="00A95FDE">
            <w:pPr>
              <w:pStyle w:val="ListParagraph"/>
              <w:ind w:left="0"/>
              <w:rPr>
                <w:rFonts w:eastAsia="MS Mincho"/>
                <w:color w:val="0D0D0D" w:themeColor="text1" w:themeTint="F2"/>
                <w:kern w:val="24"/>
              </w:rPr>
            </w:pPr>
          </w:p>
        </w:tc>
      </w:tr>
      <w:tr w:rsidR="00880435" w14:paraId="220D4AD8" w14:textId="77777777" w:rsidTr="0081686B">
        <w:trPr>
          <w:trHeight w:val="557"/>
        </w:trPr>
        <w:tc>
          <w:tcPr>
            <w:tcW w:w="1689" w:type="dxa"/>
          </w:tcPr>
          <w:p w14:paraId="0E002B35" w14:textId="77777777" w:rsidR="00880435" w:rsidRPr="007F48B5" w:rsidRDefault="00880435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Solution #14</w:t>
            </w:r>
          </w:p>
        </w:tc>
        <w:tc>
          <w:tcPr>
            <w:tcW w:w="3860" w:type="dxa"/>
          </w:tcPr>
          <w:p w14:paraId="473B2AFC" w14:textId="41E75759" w:rsidR="0029479F" w:rsidRPr="007F48B5" w:rsidRDefault="008977BD" w:rsidP="0029479F">
            <w:pPr>
              <w:rPr>
                <w:rFonts w:eastAsia="SimSun"/>
                <w:lang w:eastAsia="zh-CN"/>
              </w:rPr>
            </w:pPr>
            <w:r w:rsidRPr="007F48B5">
              <w:rPr>
                <w:rFonts w:eastAsia="SimSun"/>
                <w:lang w:eastAsia="zh-CN"/>
              </w:rPr>
              <w:t xml:space="preserve">1. </w:t>
            </w:r>
            <w:r w:rsidR="00756233" w:rsidRPr="007F48B5">
              <w:rPr>
                <w:rFonts w:eastAsia="SimSun"/>
                <w:lang w:eastAsia="zh-CN"/>
              </w:rPr>
              <w:t>Wh</w:t>
            </w:r>
            <w:r w:rsidR="0029479F" w:rsidRPr="007F48B5">
              <w:rPr>
                <w:rFonts w:eastAsia="SimSun"/>
                <w:lang w:eastAsia="zh-CN"/>
              </w:rPr>
              <w:t xml:space="preserve">en </w:t>
            </w:r>
            <w:r w:rsidR="00756233" w:rsidRPr="007F48B5">
              <w:rPr>
                <w:rFonts w:eastAsia="SimSun"/>
                <w:lang w:eastAsia="zh-CN"/>
              </w:rPr>
              <w:t xml:space="preserve">UDM triggers deregistration notification for MWAB-UE, </w:t>
            </w:r>
            <w:r w:rsidR="00F05CA9">
              <w:rPr>
                <w:rFonts w:eastAsia="SimSun"/>
                <w:lang w:eastAsia="zh-CN"/>
              </w:rPr>
              <w:t xml:space="preserve">if </w:t>
            </w:r>
            <w:r w:rsidR="0029479F" w:rsidRPr="007F48B5">
              <w:rPr>
                <w:rFonts w:eastAsia="SimSun"/>
                <w:lang w:eastAsia="zh-CN"/>
              </w:rPr>
              <w:t>MWAB-UE has an ongoing emergency PDU session</w:t>
            </w:r>
            <w:r w:rsidR="00F05CA9">
              <w:rPr>
                <w:rFonts w:eastAsia="SimSun"/>
                <w:lang w:eastAsia="zh-CN"/>
              </w:rPr>
              <w:t>,</w:t>
            </w:r>
            <w:r w:rsidR="0029479F" w:rsidRPr="007F48B5">
              <w:rPr>
                <w:rFonts w:eastAsia="SimSun"/>
                <w:lang w:eastAsia="zh-CN"/>
              </w:rPr>
              <w:t xml:space="preserve"> </w:t>
            </w:r>
            <w:r w:rsidR="00756233" w:rsidRPr="007F48B5">
              <w:rPr>
                <w:rFonts w:eastAsia="SimSun"/>
                <w:lang w:eastAsia="zh-CN"/>
              </w:rPr>
              <w:t xml:space="preserve">AMF updates </w:t>
            </w:r>
            <w:r w:rsidR="0029479F" w:rsidRPr="007F48B5">
              <w:rPr>
                <w:rFonts w:eastAsia="SimSun"/>
                <w:lang w:eastAsia="zh-CN"/>
              </w:rPr>
              <w:t>MWAB-</w:t>
            </w:r>
            <w:r w:rsidR="00756233" w:rsidRPr="007F48B5">
              <w:rPr>
                <w:rFonts w:eastAsia="SimSun"/>
                <w:lang w:eastAsia="zh-CN"/>
              </w:rPr>
              <w:t>UE to register only for emergency services</w:t>
            </w:r>
            <w:r w:rsidR="0029479F" w:rsidRPr="007F48B5">
              <w:rPr>
                <w:rFonts w:eastAsia="SimSun"/>
                <w:lang w:eastAsia="zh-CN"/>
              </w:rPr>
              <w:t xml:space="preserve"> and non-emergency PDU sessions are not allowed</w:t>
            </w:r>
            <w:r w:rsidR="00756233" w:rsidRPr="007F48B5">
              <w:rPr>
                <w:rFonts w:eastAsia="SimSun"/>
                <w:lang w:eastAsia="zh-CN"/>
              </w:rPr>
              <w:t xml:space="preserve">. MWAB </w:t>
            </w:r>
            <w:r w:rsidR="0029479F" w:rsidRPr="007F48B5">
              <w:rPr>
                <w:rFonts w:eastAsia="SimSun"/>
                <w:lang w:eastAsia="zh-CN"/>
              </w:rPr>
              <w:t xml:space="preserve">performs cleanup and </w:t>
            </w:r>
            <w:r w:rsidR="00756233" w:rsidRPr="007F48B5">
              <w:rPr>
                <w:rFonts w:eastAsia="SimSun"/>
                <w:lang w:eastAsia="zh-CN"/>
              </w:rPr>
              <w:t xml:space="preserve">hands over all </w:t>
            </w:r>
            <w:r w:rsidR="0029479F" w:rsidRPr="007F48B5">
              <w:rPr>
                <w:rFonts w:eastAsia="SimSun"/>
                <w:lang w:eastAsia="zh-CN"/>
              </w:rPr>
              <w:t xml:space="preserve">UEs </w:t>
            </w:r>
            <w:r w:rsidR="00756233" w:rsidRPr="007F48B5">
              <w:rPr>
                <w:rFonts w:eastAsia="SimSun"/>
                <w:lang w:eastAsia="zh-CN"/>
              </w:rPr>
              <w:t>sessions</w:t>
            </w:r>
            <w:r w:rsidR="0029479F" w:rsidRPr="007F48B5">
              <w:rPr>
                <w:rFonts w:eastAsia="SimSun"/>
                <w:lang w:eastAsia="zh-CN"/>
              </w:rPr>
              <w:t xml:space="preserve"> to neighbouring gNB.</w:t>
            </w:r>
          </w:p>
          <w:p w14:paraId="378649CD" w14:textId="43F045EF" w:rsidR="00880435" w:rsidRPr="007F48B5" w:rsidRDefault="008977BD" w:rsidP="0029479F">
            <w:pPr>
              <w:rPr>
                <w:rFonts w:eastAsia="SimSun"/>
                <w:lang w:eastAsia="zh-CN"/>
              </w:rPr>
            </w:pPr>
            <w:r w:rsidRPr="007F48B5">
              <w:rPr>
                <w:rFonts w:eastAsia="SimSun"/>
                <w:lang w:eastAsia="zh-CN"/>
              </w:rPr>
              <w:t xml:space="preserve">2. </w:t>
            </w:r>
            <w:r w:rsidR="00756233" w:rsidRPr="007F48B5">
              <w:rPr>
                <w:rFonts w:eastAsia="SimSun"/>
                <w:lang w:eastAsia="zh-CN"/>
              </w:rPr>
              <w:t>If the MWAB-UE deregistration is triggered by the UDM,</w:t>
            </w:r>
            <w:r w:rsidR="0029479F" w:rsidRPr="007F48B5">
              <w:rPr>
                <w:rFonts w:eastAsia="SimSun"/>
                <w:lang w:eastAsia="zh-CN"/>
              </w:rPr>
              <w:t xml:space="preserve"> AMF updates MWAB-UE about the unauthorization status. T</w:t>
            </w:r>
            <w:r w:rsidR="00756233" w:rsidRPr="007F48B5">
              <w:rPr>
                <w:rFonts w:eastAsia="SimSun"/>
                <w:lang w:eastAsia="zh-CN"/>
              </w:rPr>
              <w:t xml:space="preserve">hen MWAB </w:t>
            </w:r>
            <w:r w:rsidR="0029479F" w:rsidRPr="007F48B5">
              <w:rPr>
                <w:rFonts w:eastAsia="SimSun"/>
                <w:lang w:eastAsia="zh-CN"/>
              </w:rPr>
              <w:t>tries to hand</w:t>
            </w:r>
            <w:r w:rsidR="00756233" w:rsidRPr="007F48B5">
              <w:rPr>
                <w:rFonts w:eastAsia="SimSun"/>
                <w:lang w:eastAsia="zh-CN"/>
              </w:rPr>
              <w:t>over a</w:t>
            </w:r>
            <w:r w:rsidR="0029479F" w:rsidRPr="007F48B5">
              <w:rPr>
                <w:rFonts w:eastAsia="SimSun"/>
                <w:lang w:eastAsia="zh-CN"/>
              </w:rPr>
              <w:t xml:space="preserve">n </w:t>
            </w:r>
            <w:r w:rsidR="00756233" w:rsidRPr="007F48B5">
              <w:rPr>
                <w:rFonts w:eastAsia="SimSun"/>
                <w:lang w:eastAsia="zh-CN"/>
              </w:rPr>
              <w:t xml:space="preserve">ongoing emergency session </w:t>
            </w:r>
            <w:r w:rsidR="0029479F" w:rsidRPr="007F48B5">
              <w:rPr>
                <w:rFonts w:eastAsia="SimSun"/>
                <w:lang w:eastAsia="zh-CN"/>
              </w:rPr>
              <w:t xml:space="preserve">of the UE </w:t>
            </w:r>
            <w:r w:rsidR="00756233" w:rsidRPr="007F48B5">
              <w:rPr>
                <w:rFonts w:eastAsia="SimSun"/>
                <w:lang w:eastAsia="zh-CN"/>
              </w:rPr>
              <w:t>to a neighboring gNB. If that is not possible, MWAB informs AMF of the ongoing session. Deregistration will be completed after the UE’s emergency session is completed.</w:t>
            </w:r>
          </w:p>
        </w:tc>
        <w:tc>
          <w:tcPr>
            <w:tcW w:w="3800" w:type="dxa"/>
          </w:tcPr>
          <w:p w14:paraId="1812B9D1" w14:textId="07EE6727" w:rsidR="00880435" w:rsidRPr="007F48B5" w:rsidRDefault="008977BD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1. By handing over UEs to neighboring gNBs.</w:t>
            </w:r>
          </w:p>
          <w:p w14:paraId="07DEAD47" w14:textId="0E81A304" w:rsidR="008977BD" w:rsidRPr="007F48B5" w:rsidRDefault="008977BD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  <w:r w:rsidRPr="007F48B5">
              <w:rPr>
                <w:rFonts w:eastAsia="Microsoft YaHei"/>
                <w:color w:val="0D0D0D" w:themeColor="text1" w:themeTint="F2"/>
                <w:kern w:val="24"/>
              </w:rPr>
              <w:t>2. MWAB deregistration will be pending until all the UE emergency PDU sessions are either completed or handed over.</w:t>
            </w:r>
          </w:p>
          <w:p w14:paraId="35CA0422" w14:textId="5D8CCD18" w:rsidR="008977BD" w:rsidRPr="007F48B5" w:rsidRDefault="008977BD" w:rsidP="0081686B">
            <w:pPr>
              <w:pStyle w:val="ListParagraph"/>
              <w:ind w:left="0"/>
              <w:rPr>
                <w:rFonts w:eastAsia="Microsoft YaHei"/>
                <w:color w:val="0D0D0D" w:themeColor="text1" w:themeTint="F2"/>
                <w:kern w:val="24"/>
              </w:rPr>
            </w:pPr>
          </w:p>
        </w:tc>
      </w:tr>
    </w:tbl>
    <w:p w14:paraId="72FD06AC" w14:textId="77777777" w:rsidR="00880435" w:rsidRDefault="00880435" w:rsidP="00880435">
      <w:pPr>
        <w:rPr>
          <w:rFonts w:eastAsia="SimSun"/>
          <w:lang w:eastAsia="zh-CN"/>
        </w:rPr>
      </w:pPr>
    </w:p>
    <w:p w14:paraId="5B92336A" w14:textId="2C1D9FFF" w:rsidR="00F956A0" w:rsidRPr="000A6AA8" w:rsidRDefault="00F956A0" w:rsidP="000A6AA8">
      <w:pPr>
        <w:pStyle w:val="Heading1"/>
        <w:pBdr>
          <w:top w:val="none" w:sz="0" w:space="0" w:color="auto"/>
        </w:pBdr>
      </w:pPr>
      <w:r>
        <w:t>8</w:t>
      </w:r>
      <w:r>
        <w:tab/>
        <w:t>Conclusion</w:t>
      </w:r>
    </w:p>
    <w:p w14:paraId="4E7CADA8" w14:textId="6E992C3E" w:rsidR="00F956A0" w:rsidRDefault="00F956A0" w:rsidP="00F956A0">
      <w:pPr>
        <w:pStyle w:val="Heading2"/>
      </w:pPr>
      <w:r>
        <w:t>8.x</w:t>
      </w:r>
      <w:r w:rsidRPr="00A56F98">
        <w:tab/>
      </w:r>
      <w:r>
        <w:t>KI#6 Conclusion</w:t>
      </w:r>
    </w:p>
    <w:p w14:paraId="237805A1" w14:textId="6E1D4AB2" w:rsidR="00F956A0" w:rsidRDefault="00F956A0" w:rsidP="0088043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Following points can be concluded based on the solutions proposed for KI#6</w:t>
      </w:r>
    </w:p>
    <w:p w14:paraId="22D299A9" w14:textId="4A0700F5" w:rsidR="00F956A0" w:rsidRPr="00B93C8D" w:rsidRDefault="00F956A0" w:rsidP="00F956A0">
      <w:pPr>
        <w:pStyle w:val="ListParagraph"/>
        <w:numPr>
          <w:ilvl w:val="0"/>
          <w:numId w:val="19"/>
        </w:numPr>
        <w:rPr>
          <w:rFonts w:eastAsia="SimSun"/>
          <w:highlight w:val="green"/>
          <w:lang w:eastAsia="zh-CN"/>
        </w:rPr>
      </w:pPr>
      <w:r w:rsidRPr="00B93C8D">
        <w:rPr>
          <w:rFonts w:eastAsia="SimSun"/>
          <w:highlight w:val="green"/>
          <w:lang w:eastAsia="zh-CN"/>
        </w:rPr>
        <w:t xml:space="preserve">MWAB either establishes a BH PDU session or modifies </w:t>
      </w:r>
      <w:r w:rsidR="00F05CA9" w:rsidRPr="00B93C8D">
        <w:rPr>
          <w:rFonts w:eastAsia="SimSun"/>
          <w:highlight w:val="green"/>
          <w:lang w:eastAsia="zh-CN"/>
        </w:rPr>
        <w:t>an</w:t>
      </w:r>
      <w:r w:rsidRPr="00B93C8D">
        <w:rPr>
          <w:rFonts w:eastAsia="SimSun"/>
          <w:highlight w:val="green"/>
          <w:lang w:eastAsia="zh-CN"/>
        </w:rPr>
        <w:t xml:space="preserve"> existing one to support a</w:t>
      </w:r>
      <w:r w:rsidR="00F05CA9" w:rsidRPr="00B93C8D">
        <w:rPr>
          <w:rFonts w:eastAsia="SimSun"/>
          <w:highlight w:val="green"/>
          <w:lang w:eastAsia="zh-CN"/>
        </w:rPr>
        <w:t>n</w:t>
      </w:r>
      <w:r w:rsidRPr="00B93C8D">
        <w:rPr>
          <w:rFonts w:eastAsia="SimSun"/>
          <w:highlight w:val="green"/>
          <w:lang w:eastAsia="zh-CN"/>
        </w:rPr>
        <w:t xml:space="preserve"> emergency PDU session for the UE</w:t>
      </w:r>
    </w:p>
    <w:p w14:paraId="1927B475" w14:textId="67AAA130" w:rsidR="00F956A0" w:rsidRPr="00B93C8D" w:rsidRDefault="00F956A0" w:rsidP="00F956A0">
      <w:pPr>
        <w:pStyle w:val="ListParagraph"/>
        <w:numPr>
          <w:ilvl w:val="0"/>
          <w:numId w:val="19"/>
        </w:numPr>
        <w:rPr>
          <w:rFonts w:eastAsia="SimSun"/>
          <w:highlight w:val="green"/>
          <w:lang w:eastAsia="zh-CN"/>
        </w:rPr>
      </w:pPr>
      <w:r w:rsidRPr="00B93C8D">
        <w:rPr>
          <w:rFonts w:eastAsia="SimSun"/>
          <w:highlight w:val="green"/>
          <w:lang w:eastAsia="zh-CN"/>
        </w:rPr>
        <w:t>MWAB establishes the BH PDU session to support emergency services using</w:t>
      </w:r>
      <w:r w:rsidR="00F05CA9" w:rsidRPr="00B93C8D">
        <w:rPr>
          <w:rFonts w:eastAsia="SimSun"/>
          <w:highlight w:val="green"/>
          <w:lang w:eastAsia="zh-CN"/>
        </w:rPr>
        <w:t xml:space="preserve"> </w:t>
      </w:r>
      <w:r w:rsidRPr="00B93C8D">
        <w:rPr>
          <w:rFonts w:eastAsia="SimSun"/>
          <w:highlight w:val="green"/>
          <w:lang w:eastAsia="zh-CN"/>
        </w:rPr>
        <w:t xml:space="preserve">designated S-NSSAI and DNN </w:t>
      </w:r>
      <w:r w:rsidR="000A6AA8" w:rsidRPr="00B93C8D">
        <w:rPr>
          <w:rFonts w:eastAsia="SimSun"/>
          <w:highlight w:val="green"/>
          <w:lang w:eastAsia="zh-CN"/>
        </w:rPr>
        <w:t>configuration</w:t>
      </w:r>
    </w:p>
    <w:p w14:paraId="2A5CA92B" w14:textId="7ECB93F8" w:rsidR="000A6AA8" w:rsidRDefault="000A6AA8" w:rsidP="00F956A0">
      <w:pPr>
        <w:pStyle w:val="ListParagraph"/>
        <w:numPr>
          <w:ilvl w:val="0"/>
          <w:numId w:val="19"/>
        </w:numPr>
        <w:rPr>
          <w:rFonts w:eastAsia="SimSun"/>
          <w:lang w:eastAsia="zh-CN"/>
        </w:rPr>
      </w:pPr>
      <w:r w:rsidRPr="00B93C8D">
        <w:rPr>
          <w:rFonts w:eastAsia="SimSun"/>
          <w:highlight w:val="green"/>
          <w:lang w:eastAsia="zh-CN"/>
        </w:rPr>
        <w:t xml:space="preserve">Required configuration parameters are pre-configured in the MWAB and AMF </w:t>
      </w:r>
      <w:r w:rsidR="00836369" w:rsidRPr="00B93C8D">
        <w:rPr>
          <w:rFonts w:eastAsia="SimSun"/>
          <w:highlight w:val="green"/>
          <w:lang w:eastAsia="zh-CN"/>
        </w:rPr>
        <w:t xml:space="preserve">by OAM </w:t>
      </w:r>
      <w:r w:rsidRPr="00B93C8D">
        <w:rPr>
          <w:rFonts w:eastAsia="SimSun"/>
          <w:highlight w:val="green"/>
          <w:lang w:eastAsia="zh-CN"/>
        </w:rPr>
        <w:t>to support emergency PDU sessions.</w:t>
      </w:r>
    </w:p>
    <w:p w14:paraId="37957370" w14:textId="18AC1B0F" w:rsidR="000A6AA8" w:rsidRDefault="000A6AA8" w:rsidP="00F956A0">
      <w:pPr>
        <w:pStyle w:val="ListParagraph"/>
        <w:numPr>
          <w:ilvl w:val="0"/>
          <w:numId w:val="1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Regular location information updates </w:t>
      </w:r>
      <w:r w:rsidR="00836369">
        <w:rPr>
          <w:rFonts w:eastAsia="SimSun"/>
          <w:lang w:eastAsia="zh-CN"/>
        </w:rPr>
        <w:t>are</w:t>
      </w:r>
      <w:r>
        <w:rPr>
          <w:rFonts w:eastAsia="SimSun"/>
          <w:lang w:eastAsia="zh-CN"/>
        </w:rPr>
        <w:t xml:space="preserve"> important to support emergency services.</w:t>
      </w:r>
    </w:p>
    <w:p w14:paraId="5AC193C8" w14:textId="2CB7D37D" w:rsidR="000A6AA8" w:rsidRPr="00B93C8D" w:rsidRDefault="000A6AA8" w:rsidP="000A6AA8">
      <w:pPr>
        <w:pStyle w:val="ListParagraph"/>
        <w:numPr>
          <w:ilvl w:val="0"/>
          <w:numId w:val="19"/>
        </w:numPr>
        <w:rPr>
          <w:rFonts w:eastAsia="SimSun"/>
          <w:highlight w:val="green"/>
          <w:lang w:eastAsia="zh-CN"/>
        </w:rPr>
      </w:pPr>
      <w:r w:rsidRPr="00B93C8D">
        <w:rPr>
          <w:rFonts w:eastAsia="SimSun"/>
          <w:highlight w:val="green"/>
          <w:lang w:eastAsia="zh-CN"/>
        </w:rPr>
        <w:lastRenderedPageBreak/>
        <w:t>When a MWAB is unauthorized to serve, it hand</w:t>
      </w:r>
      <w:r w:rsidR="00F05CA9" w:rsidRPr="00B93C8D">
        <w:rPr>
          <w:rFonts w:eastAsia="SimSun"/>
          <w:highlight w:val="green"/>
          <w:lang w:eastAsia="zh-CN"/>
        </w:rPr>
        <w:t xml:space="preserve">s </w:t>
      </w:r>
      <w:r w:rsidRPr="00B93C8D">
        <w:rPr>
          <w:rFonts w:eastAsia="SimSun"/>
          <w:highlight w:val="green"/>
          <w:lang w:eastAsia="zh-CN"/>
        </w:rPr>
        <w:t>over all the UEs to nearby gNBs before it is deregistered.</w:t>
      </w:r>
      <w:r w:rsidR="00836369" w:rsidRPr="00B93C8D">
        <w:rPr>
          <w:rFonts w:eastAsia="SimSun"/>
          <w:highlight w:val="green"/>
          <w:lang w:eastAsia="zh-CN"/>
        </w:rPr>
        <w:t xml:space="preserve"> If the emergency session handover is not possible, MWAB</w:t>
      </w:r>
      <w:r w:rsidR="00547A29" w:rsidRPr="00B93C8D">
        <w:rPr>
          <w:rFonts w:eastAsia="SimSun"/>
          <w:highlight w:val="green"/>
          <w:lang w:eastAsia="zh-CN"/>
        </w:rPr>
        <w:t xml:space="preserve"> deregistration will be in pending status until the ongoing UE session is completed.</w:t>
      </w:r>
    </w:p>
    <w:p w14:paraId="321E5319" w14:textId="42AD8168" w:rsidR="000A6AA8" w:rsidRPr="000A6AA8" w:rsidRDefault="000A6AA8" w:rsidP="000A6AA8">
      <w:pPr>
        <w:pStyle w:val="ListParagraph"/>
        <w:numPr>
          <w:ilvl w:val="0"/>
          <w:numId w:val="19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No changes to UE is suggested to </w:t>
      </w:r>
      <w:r w:rsidR="00422EC1">
        <w:rPr>
          <w:rFonts w:eastAsia="SimSun"/>
          <w:lang w:eastAsia="zh-CN"/>
        </w:rPr>
        <w:t>use</w:t>
      </w:r>
      <w:r>
        <w:rPr>
          <w:rFonts w:eastAsia="SimSun"/>
          <w:lang w:eastAsia="zh-CN"/>
        </w:rPr>
        <w:t xml:space="preserve"> emergency services when connected via MWAB.</w:t>
      </w:r>
    </w:p>
    <w:p w14:paraId="2273EF4B" w14:textId="77777777" w:rsidR="000D7055" w:rsidRPr="00AD4237" w:rsidRDefault="000D7055" w:rsidP="00894F1D">
      <w:pPr>
        <w:rPr>
          <w:lang w:val="en-US" w:eastAsia="en-US"/>
        </w:rPr>
      </w:pPr>
    </w:p>
    <w:p w14:paraId="0F8D4087" w14:textId="392C1F0D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2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7EDC" w14:textId="77777777" w:rsidR="00B96AD8" w:rsidRDefault="00B96AD8">
      <w:r>
        <w:separator/>
      </w:r>
    </w:p>
    <w:p w14:paraId="2F6F90B8" w14:textId="77777777" w:rsidR="00B96AD8" w:rsidRDefault="00B96AD8"/>
  </w:endnote>
  <w:endnote w:type="continuationSeparator" w:id="0">
    <w:p w14:paraId="031FCA43" w14:textId="77777777" w:rsidR="00B96AD8" w:rsidRDefault="00B96AD8">
      <w:r>
        <w:continuationSeparator/>
      </w:r>
    </w:p>
    <w:p w14:paraId="759F1759" w14:textId="77777777" w:rsidR="00B96AD8" w:rsidRDefault="00B96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18E8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039D578C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634527A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D6D9" w14:textId="77777777" w:rsidR="00B96AD8" w:rsidRDefault="00B96AD8">
      <w:r>
        <w:separator/>
      </w:r>
    </w:p>
    <w:p w14:paraId="11CF1A94" w14:textId="77777777" w:rsidR="00B96AD8" w:rsidRDefault="00B96AD8"/>
  </w:footnote>
  <w:footnote w:type="continuationSeparator" w:id="0">
    <w:p w14:paraId="6A3D76FB" w14:textId="77777777" w:rsidR="00B96AD8" w:rsidRDefault="00B96AD8">
      <w:r>
        <w:continuationSeparator/>
      </w:r>
    </w:p>
    <w:p w14:paraId="530A6548" w14:textId="77777777" w:rsidR="00B96AD8" w:rsidRDefault="00B96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5C74" w14:textId="77777777" w:rsidR="006F5DD0" w:rsidRDefault="006F5DD0"/>
  <w:p w14:paraId="565DC3B4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CB7E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2D6A8687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5067A5">
      <w:rPr>
        <w:rFonts w:ascii="Arial" w:hAnsi="Arial" w:cs="Arial"/>
        <w:b/>
        <w:bCs/>
        <w:noProof/>
        <w:sz w:val="18"/>
        <w:lang w:val="fr-FR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6AB7B624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6.2pt;height:16.2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D69B9"/>
    <w:multiLevelType w:val="hybridMultilevel"/>
    <w:tmpl w:val="6CCADDDE"/>
    <w:lvl w:ilvl="0" w:tplc="2924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2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6C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2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0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2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A3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A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F5E"/>
    <w:multiLevelType w:val="hybridMultilevel"/>
    <w:tmpl w:val="9000C136"/>
    <w:lvl w:ilvl="0" w:tplc="B6381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A36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4B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0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86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63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4D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27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2A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D4433F"/>
    <w:multiLevelType w:val="hybridMultilevel"/>
    <w:tmpl w:val="0DE8E234"/>
    <w:lvl w:ilvl="0" w:tplc="BDA4ADC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3C15"/>
    <w:multiLevelType w:val="hybridMultilevel"/>
    <w:tmpl w:val="486A67F6"/>
    <w:lvl w:ilvl="0" w:tplc="E2CA0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E8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62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A2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4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EE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89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C5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07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B5E6A"/>
    <w:multiLevelType w:val="hybridMultilevel"/>
    <w:tmpl w:val="80B64F70"/>
    <w:lvl w:ilvl="0" w:tplc="DE26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4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A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A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3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E9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CE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0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B94D56"/>
    <w:multiLevelType w:val="hybridMultilevel"/>
    <w:tmpl w:val="A23A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C763FC"/>
    <w:multiLevelType w:val="hybridMultilevel"/>
    <w:tmpl w:val="1068D8CE"/>
    <w:lvl w:ilvl="0" w:tplc="49D6F74A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875DC"/>
    <w:multiLevelType w:val="hybridMultilevel"/>
    <w:tmpl w:val="927AC53C"/>
    <w:lvl w:ilvl="0" w:tplc="1736D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61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E1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08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4B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60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82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AF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6A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7507D"/>
    <w:multiLevelType w:val="hybridMultilevel"/>
    <w:tmpl w:val="2280CB38"/>
    <w:lvl w:ilvl="0" w:tplc="BDA4ADC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631605">
    <w:abstractNumId w:val="18"/>
  </w:num>
  <w:num w:numId="2" w16cid:durableId="132606682">
    <w:abstractNumId w:val="9"/>
  </w:num>
  <w:num w:numId="3" w16cid:durableId="1380082332">
    <w:abstractNumId w:val="2"/>
  </w:num>
  <w:num w:numId="4" w16cid:durableId="1760441821">
    <w:abstractNumId w:val="5"/>
  </w:num>
  <w:num w:numId="5" w16cid:durableId="1985742461">
    <w:abstractNumId w:val="16"/>
  </w:num>
  <w:num w:numId="6" w16cid:durableId="1924608967">
    <w:abstractNumId w:val="22"/>
  </w:num>
  <w:num w:numId="7" w16cid:durableId="529803310">
    <w:abstractNumId w:val="11"/>
  </w:num>
  <w:num w:numId="8" w16cid:durableId="410546558">
    <w:abstractNumId w:val="15"/>
  </w:num>
  <w:num w:numId="9" w16cid:durableId="707224739">
    <w:abstractNumId w:val="19"/>
  </w:num>
  <w:num w:numId="10" w16cid:durableId="1860193979">
    <w:abstractNumId w:val="23"/>
  </w:num>
  <w:num w:numId="11" w16cid:durableId="1922644538">
    <w:abstractNumId w:val="12"/>
  </w:num>
  <w:num w:numId="12" w16cid:durableId="1961036799">
    <w:abstractNumId w:val="0"/>
  </w:num>
  <w:num w:numId="13" w16cid:durableId="1798445180">
    <w:abstractNumId w:val="4"/>
  </w:num>
  <w:num w:numId="14" w16cid:durableId="1305626987">
    <w:abstractNumId w:val="13"/>
  </w:num>
  <w:num w:numId="15" w16cid:durableId="1848205569">
    <w:abstractNumId w:val="21"/>
  </w:num>
  <w:num w:numId="16" w16cid:durableId="14925276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549707">
    <w:abstractNumId w:val="14"/>
  </w:num>
  <w:num w:numId="18" w16cid:durableId="1477454806">
    <w:abstractNumId w:val="20"/>
  </w:num>
  <w:num w:numId="19" w16cid:durableId="1761828330">
    <w:abstractNumId w:val="6"/>
  </w:num>
  <w:num w:numId="20" w16cid:durableId="572348550">
    <w:abstractNumId w:val="8"/>
  </w:num>
  <w:num w:numId="21" w16cid:durableId="1659529376">
    <w:abstractNumId w:val="1"/>
  </w:num>
  <w:num w:numId="22" w16cid:durableId="789084301">
    <w:abstractNumId w:val="17"/>
  </w:num>
  <w:num w:numId="23" w16cid:durableId="1694110778">
    <w:abstractNumId w:val="3"/>
  </w:num>
  <w:num w:numId="24" w16cid:durableId="794638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23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16B8A"/>
    <w:rsid w:val="000220E9"/>
    <w:rsid w:val="00023565"/>
    <w:rsid w:val="00024628"/>
    <w:rsid w:val="00024798"/>
    <w:rsid w:val="000268FB"/>
    <w:rsid w:val="00027B9C"/>
    <w:rsid w:val="0003091B"/>
    <w:rsid w:val="00032C4D"/>
    <w:rsid w:val="00032DA9"/>
    <w:rsid w:val="00033FBB"/>
    <w:rsid w:val="00034D60"/>
    <w:rsid w:val="0003510B"/>
    <w:rsid w:val="00035A9A"/>
    <w:rsid w:val="0003766C"/>
    <w:rsid w:val="0004077D"/>
    <w:rsid w:val="00040B51"/>
    <w:rsid w:val="00040C28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57467"/>
    <w:rsid w:val="00060F24"/>
    <w:rsid w:val="00061913"/>
    <w:rsid w:val="00062F11"/>
    <w:rsid w:val="000631E9"/>
    <w:rsid w:val="00063321"/>
    <w:rsid w:val="00063EF2"/>
    <w:rsid w:val="000649F4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2A9"/>
    <w:rsid w:val="0008565B"/>
    <w:rsid w:val="00085FC7"/>
    <w:rsid w:val="00086929"/>
    <w:rsid w:val="00090D4D"/>
    <w:rsid w:val="00090F98"/>
    <w:rsid w:val="00091BA0"/>
    <w:rsid w:val="000934EC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69A4"/>
    <w:rsid w:val="000A6AA8"/>
    <w:rsid w:val="000A7102"/>
    <w:rsid w:val="000A75B1"/>
    <w:rsid w:val="000A77A3"/>
    <w:rsid w:val="000B0CEF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55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0805"/>
    <w:rsid w:val="001014E6"/>
    <w:rsid w:val="0010191A"/>
    <w:rsid w:val="00101FFB"/>
    <w:rsid w:val="00103AD3"/>
    <w:rsid w:val="0010430B"/>
    <w:rsid w:val="00104CDA"/>
    <w:rsid w:val="001059D1"/>
    <w:rsid w:val="00106E2D"/>
    <w:rsid w:val="0010795D"/>
    <w:rsid w:val="00107A82"/>
    <w:rsid w:val="00107E22"/>
    <w:rsid w:val="00110662"/>
    <w:rsid w:val="0011076A"/>
    <w:rsid w:val="0011154D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69E5"/>
    <w:rsid w:val="00127379"/>
    <w:rsid w:val="001300B5"/>
    <w:rsid w:val="001306C0"/>
    <w:rsid w:val="00131553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55E8"/>
    <w:rsid w:val="00156945"/>
    <w:rsid w:val="00156FE0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279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B5D"/>
    <w:rsid w:val="001B4DFC"/>
    <w:rsid w:val="001B546B"/>
    <w:rsid w:val="001B5EBE"/>
    <w:rsid w:val="001B6221"/>
    <w:rsid w:val="001B7516"/>
    <w:rsid w:val="001C0103"/>
    <w:rsid w:val="001C0A43"/>
    <w:rsid w:val="001C17E1"/>
    <w:rsid w:val="001C1E41"/>
    <w:rsid w:val="001C3CCD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97A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4E6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883"/>
    <w:rsid w:val="0021395C"/>
    <w:rsid w:val="0021401B"/>
    <w:rsid w:val="0021576A"/>
    <w:rsid w:val="00215B76"/>
    <w:rsid w:val="00216A79"/>
    <w:rsid w:val="00216F4A"/>
    <w:rsid w:val="00220AEB"/>
    <w:rsid w:val="00221F47"/>
    <w:rsid w:val="002236D8"/>
    <w:rsid w:val="00223D76"/>
    <w:rsid w:val="00227B72"/>
    <w:rsid w:val="00230A69"/>
    <w:rsid w:val="00232176"/>
    <w:rsid w:val="002322E5"/>
    <w:rsid w:val="00232A66"/>
    <w:rsid w:val="00233A50"/>
    <w:rsid w:val="002349D6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4CDF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186F"/>
    <w:rsid w:val="00252101"/>
    <w:rsid w:val="0025240D"/>
    <w:rsid w:val="00252DDE"/>
    <w:rsid w:val="002540E2"/>
    <w:rsid w:val="0025420F"/>
    <w:rsid w:val="00254D03"/>
    <w:rsid w:val="0025520E"/>
    <w:rsid w:val="00256EC7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026"/>
    <w:rsid w:val="0028020F"/>
    <w:rsid w:val="002804F9"/>
    <w:rsid w:val="00280862"/>
    <w:rsid w:val="00281104"/>
    <w:rsid w:val="00281F13"/>
    <w:rsid w:val="00282E1C"/>
    <w:rsid w:val="00282EEC"/>
    <w:rsid w:val="002850A9"/>
    <w:rsid w:val="00285692"/>
    <w:rsid w:val="002859D9"/>
    <w:rsid w:val="00286417"/>
    <w:rsid w:val="0028786F"/>
    <w:rsid w:val="00287A12"/>
    <w:rsid w:val="00287B41"/>
    <w:rsid w:val="00291038"/>
    <w:rsid w:val="00292E3B"/>
    <w:rsid w:val="002934C0"/>
    <w:rsid w:val="002943A4"/>
    <w:rsid w:val="0029479F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2C8E"/>
    <w:rsid w:val="002B46FF"/>
    <w:rsid w:val="002B5C9A"/>
    <w:rsid w:val="002B5DAE"/>
    <w:rsid w:val="002B6238"/>
    <w:rsid w:val="002C071F"/>
    <w:rsid w:val="002C0D31"/>
    <w:rsid w:val="002C12F3"/>
    <w:rsid w:val="002C1791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B04"/>
    <w:rsid w:val="002D0CC3"/>
    <w:rsid w:val="002D1100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1881"/>
    <w:rsid w:val="002F400D"/>
    <w:rsid w:val="002F4B59"/>
    <w:rsid w:val="002F4F84"/>
    <w:rsid w:val="002F5879"/>
    <w:rsid w:val="002F69B6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8EB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40EA"/>
    <w:rsid w:val="00345264"/>
    <w:rsid w:val="00345861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4E87"/>
    <w:rsid w:val="003557F0"/>
    <w:rsid w:val="00356277"/>
    <w:rsid w:val="003607F8"/>
    <w:rsid w:val="00360CF4"/>
    <w:rsid w:val="003619B5"/>
    <w:rsid w:val="00361C57"/>
    <w:rsid w:val="00361F21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A7A"/>
    <w:rsid w:val="00372C13"/>
    <w:rsid w:val="00372FE8"/>
    <w:rsid w:val="00373D25"/>
    <w:rsid w:val="003757F0"/>
    <w:rsid w:val="00375AFF"/>
    <w:rsid w:val="00375C1A"/>
    <w:rsid w:val="0038028D"/>
    <w:rsid w:val="00380585"/>
    <w:rsid w:val="00380A07"/>
    <w:rsid w:val="00380E86"/>
    <w:rsid w:val="00382375"/>
    <w:rsid w:val="00383F2D"/>
    <w:rsid w:val="00384BF1"/>
    <w:rsid w:val="00384D8F"/>
    <w:rsid w:val="00385B51"/>
    <w:rsid w:val="0038795A"/>
    <w:rsid w:val="003904A0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95F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1AA6"/>
    <w:rsid w:val="003C599D"/>
    <w:rsid w:val="003C6F0C"/>
    <w:rsid w:val="003C7614"/>
    <w:rsid w:val="003C782C"/>
    <w:rsid w:val="003D0325"/>
    <w:rsid w:val="003D0371"/>
    <w:rsid w:val="003D0FC1"/>
    <w:rsid w:val="003D11A0"/>
    <w:rsid w:val="003D3280"/>
    <w:rsid w:val="003D334E"/>
    <w:rsid w:val="003D3BE4"/>
    <w:rsid w:val="003D45D5"/>
    <w:rsid w:val="003D4869"/>
    <w:rsid w:val="003D50B1"/>
    <w:rsid w:val="003D5774"/>
    <w:rsid w:val="003D5E36"/>
    <w:rsid w:val="003D6607"/>
    <w:rsid w:val="003D6ED0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A36"/>
    <w:rsid w:val="003F3F06"/>
    <w:rsid w:val="003F3F5A"/>
    <w:rsid w:val="003F461C"/>
    <w:rsid w:val="003F4BE1"/>
    <w:rsid w:val="003F693F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01A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742"/>
    <w:rsid w:val="00416931"/>
    <w:rsid w:val="00416C0A"/>
    <w:rsid w:val="00417940"/>
    <w:rsid w:val="004206C2"/>
    <w:rsid w:val="00422EC1"/>
    <w:rsid w:val="00422FC5"/>
    <w:rsid w:val="00423407"/>
    <w:rsid w:val="00423BDB"/>
    <w:rsid w:val="00423F36"/>
    <w:rsid w:val="0042449E"/>
    <w:rsid w:val="004244F2"/>
    <w:rsid w:val="00424610"/>
    <w:rsid w:val="004268FC"/>
    <w:rsid w:val="0043031B"/>
    <w:rsid w:val="00431F48"/>
    <w:rsid w:val="00433E88"/>
    <w:rsid w:val="00434BDE"/>
    <w:rsid w:val="00436E6C"/>
    <w:rsid w:val="00440861"/>
    <w:rsid w:val="004412BD"/>
    <w:rsid w:val="00441C32"/>
    <w:rsid w:val="00441E13"/>
    <w:rsid w:val="00443252"/>
    <w:rsid w:val="004438D7"/>
    <w:rsid w:val="00443F2F"/>
    <w:rsid w:val="004452BF"/>
    <w:rsid w:val="004461EE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52FB"/>
    <w:rsid w:val="00476D1C"/>
    <w:rsid w:val="004774B4"/>
    <w:rsid w:val="00477D6A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66C"/>
    <w:rsid w:val="004B3A9A"/>
    <w:rsid w:val="004B48B8"/>
    <w:rsid w:val="004B5189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6623"/>
    <w:rsid w:val="004E7315"/>
    <w:rsid w:val="004F0B8C"/>
    <w:rsid w:val="004F0C9A"/>
    <w:rsid w:val="004F162D"/>
    <w:rsid w:val="004F1C34"/>
    <w:rsid w:val="004F277A"/>
    <w:rsid w:val="004F3D4A"/>
    <w:rsid w:val="004F6A17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7A5"/>
    <w:rsid w:val="00506D4F"/>
    <w:rsid w:val="00507B36"/>
    <w:rsid w:val="0051056B"/>
    <w:rsid w:val="00510668"/>
    <w:rsid w:val="005108F7"/>
    <w:rsid w:val="00512FC2"/>
    <w:rsid w:val="00513D6F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29"/>
    <w:rsid w:val="005177DB"/>
    <w:rsid w:val="00517888"/>
    <w:rsid w:val="00520451"/>
    <w:rsid w:val="0052136C"/>
    <w:rsid w:val="00521F78"/>
    <w:rsid w:val="00524152"/>
    <w:rsid w:val="00524196"/>
    <w:rsid w:val="005244BB"/>
    <w:rsid w:val="00526FD3"/>
    <w:rsid w:val="00527F42"/>
    <w:rsid w:val="005304F4"/>
    <w:rsid w:val="00531F30"/>
    <w:rsid w:val="00532701"/>
    <w:rsid w:val="005334A4"/>
    <w:rsid w:val="00533891"/>
    <w:rsid w:val="00533EA7"/>
    <w:rsid w:val="005348AA"/>
    <w:rsid w:val="00535204"/>
    <w:rsid w:val="00535510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47A29"/>
    <w:rsid w:val="0055150E"/>
    <w:rsid w:val="00552D00"/>
    <w:rsid w:val="00552EDB"/>
    <w:rsid w:val="00553009"/>
    <w:rsid w:val="0055392F"/>
    <w:rsid w:val="00553C48"/>
    <w:rsid w:val="00554C55"/>
    <w:rsid w:val="00555F6C"/>
    <w:rsid w:val="00556068"/>
    <w:rsid w:val="005568FB"/>
    <w:rsid w:val="00561209"/>
    <w:rsid w:val="005612D1"/>
    <w:rsid w:val="00564497"/>
    <w:rsid w:val="0056459E"/>
    <w:rsid w:val="005657E5"/>
    <w:rsid w:val="00566A66"/>
    <w:rsid w:val="00567317"/>
    <w:rsid w:val="005706AB"/>
    <w:rsid w:val="0057240E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38E9"/>
    <w:rsid w:val="005860AC"/>
    <w:rsid w:val="00590772"/>
    <w:rsid w:val="00591AC5"/>
    <w:rsid w:val="005932C8"/>
    <w:rsid w:val="00593984"/>
    <w:rsid w:val="0059430C"/>
    <w:rsid w:val="00595C4B"/>
    <w:rsid w:val="00596429"/>
    <w:rsid w:val="005973DC"/>
    <w:rsid w:val="005976E8"/>
    <w:rsid w:val="0059773D"/>
    <w:rsid w:val="005A07DF"/>
    <w:rsid w:val="005A1269"/>
    <w:rsid w:val="005A1980"/>
    <w:rsid w:val="005A26B4"/>
    <w:rsid w:val="005A29F2"/>
    <w:rsid w:val="005A34AB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4D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679"/>
    <w:rsid w:val="00601A5A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6E1D"/>
    <w:rsid w:val="00627431"/>
    <w:rsid w:val="006278F1"/>
    <w:rsid w:val="00632F1F"/>
    <w:rsid w:val="00635AB9"/>
    <w:rsid w:val="00640010"/>
    <w:rsid w:val="006401D2"/>
    <w:rsid w:val="006402FF"/>
    <w:rsid w:val="0064130B"/>
    <w:rsid w:val="0064146B"/>
    <w:rsid w:val="00642055"/>
    <w:rsid w:val="00644664"/>
    <w:rsid w:val="00644B01"/>
    <w:rsid w:val="00646281"/>
    <w:rsid w:val="006462C1"/>
    <w:rsid w:val="00651D13"/>
    <w:rsid w:val="0065267B"/>
    <w:rsid w:val="0065339E"/>
    <w:rsid w:val="006539B5"/>
    <w:rsid w:val="0066251F"/>
    <w:rsid w:val="00665688"/>
    <w:rsid w:val="00665E8C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69B6"/>
    <w:rsid w:val="006974E6"/>
    <w:rsid w:val="006A0118"/>
    <w:rsid w:val="006A2C65"/>
    <w:rsid w:val="006A3DDC"/>
    <w:rsid w:val="006A4B39"/>
    <w:rsid w:val="006A6DF0"/>
    <w:rsid w:val="006A770B"/>
    <w:rsid w:val="006B02B8"/>
    <w:rsid w:val="006B0408"/>
    <w:rsid w:val="006B043A"/>
    <w:rsid w:val="006B08D8"/>
    <w:rsid w:val="006B134E"/>
    <w:rsid w:val="006B3143"/>
    <w:rsid w:val="006B3A95"/>
    <w:rsid w:val="006B3FF3"/>
    <w:rsid w:val="006B4823"/>
    <w:rsid w:val="006B48E8"/>
    <w:rsid w:val="006B5909"/>
    <w:rsid w:val="006B7E7A"/>
    <w:rsid w:val="006C02F9"/>
    <w:rsid w:val="006C042F"/>
    <w:rsid w:val="006C0A54"/>
    <w:rsid w:val="006C1208"/>
    <w:rsid w:val="006C1E48"/>
    <w:rsid w:val="006C2781"/>
    <w:rsid w:val="006C3572"/>
    <w:rsid w:val="006C383E"/>
    <w:rsid w:val="006C6C32"/>
    <w:rsid w:val="006C70F0"/>
    <w:rsid w:val="006C7993"/>
    <w:rsid w:val="006D0A5F"/>
    <w:rsid w:val="006D1207"/>
    <w:rsid w:val="006D2EFC"/>
    <w:rsid w:val="006D37E8"/>
    <w:rsid w:val="006D3AE5"/>
    <w:rsid w:val="006D46A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5A8"/>
    <w:rsid w:val="007266D9"/>
    <w:rsid w:val="00726AC2"/>
    <w:rsid w:val="00726CD5"/>
    <w:rsid w:val="00727D9E"/>
    <w:rsid w:val="00730B98"/>
    <w:rsid w:val="00731985"/>
    <w:rsid w:val="00734562"/>
    <w:rsid w:val="00734DB5"/>
    <w:rsid w:val="0073525F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233"/>
    <w:rsid w:val="00756755"/>
    <w:rsid w:val="0075706A"/>
    <w:rsid w:val="00757168"/>
    <w:rsid w:val="007573CC"/>
    <w:rsid w:val="0076013E"/>
    <w:rsid w:val="007611DE"/>
    <w:rsid w:val="00762063"/>
    <w:rsid w:val="00762143"/>
    <w:rsid w:val="00762A9C"/>
    <w:rsid w:val="00763E75"/>
    <w:rsid w:val="0076657B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329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A74AF"/>
    <w:rsid w:val="007A7EB3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1A06"/>
    <w:rsid w:val="007D3431"/>
    <w:rsid w:val="007D3C8C"/>
    <w:rsid w:val="007D4832"/>
    <w:rsid w:val="007D4A0E"/>
    <w:rsid w:val="007D572B"/>
    <w:rsid w:val="007D70DB"/>
    <w:rsid w:val="007E00BC"/>
    <w:rsid w:val="007E1AE0"/>
    <w:rsid w:val="007E21DF"/>
    <w:rsid w:val="007E3A59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3796"/>
    <w:rsid w:val="007F48B5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50B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1F41"/>
    <w:rsid w:val="008334BF"/>
    <w:rsid w:val="00833B95"/>
    <w:rsid w:val="00833C84"/>
    <w:rsid w:val="00834754"/>
    <w:rsid w:val="00834A3B"/>
    <w:rsid w:val="00834BB7"/>
    <w:rsid w:val="00836369"/>
    <w:rsid w:val="00837072"/>
    <w:rsid w:val="0083709D"/>
    <w:rsid w:val="0083744C"/>
    <w:rsid w:val="00840682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2C"/>
    <w:rsid w:val="00853AE3"/>
    <w:rsid w:val="00854794"/>
    <w:rsid w:val="00854869"/>
    <w:rsid w:val="008552AA"/>
    <w:rsid w:val="008574EA"/>
    <w:rsid w:val="00857668"/>
    <w:rsid w:val="0085794D"/>
    <w:rsid w:val="00860168"/>
    <w:rsid w:val="00860212"/>
    <w:rsid w:val="00860A51"/>
    <w:rsid w:val="0086196F"/>
    <w:rsid w:val="00861BEF"/>
    <w:rsid w:val="00861C25"/>
    <w:rsid w:val="0086234A"/>
    <w:rsid w:val="00862AD6"/>
    <w:rsid w:val="0086377B"/>
    <w:rsid w:val="0086381F"/>
    <w:rsid w:val="00865BCA"/>
    <w:rsid w:val="00866FBC"/>
    <w:rsid w:val="0086771E"/>
    <w:rsid w:val="00872977"/>
    <w:rsid w:val="00872C22"/>
    <w:rsid w:val="00872CA9"/>
    <w:rsid w:val="008735AA"/>
    <w:rsid w:val="008735C7"/>
    <w:rsid w:val="00873EFD"/>
    <w:rsid w:val="008754B1"/>
    <w:rsid w:val="00876CD9"/>
    <w:rsid w:val="00877DA4"/>
    <w:rsid w:val="00880435"/>
    <w:rsid w:val="00880AA1"/>
    <w:rsid w:val="0088211C"/>
    <w:rsid w:val="0088283A"/>
    <w:rsid w:val="00883A51"/>
    <w:rsid w:val="00883EB3"/>
    <w:rsid w:val="00884656"/>
    <w:rsid w:val="0088596E"/>
    <w:rsid w:val="008859AE"/>
    <w:rsid w:val="008872E1"/>
    <w:rsid w:val="008879DA"/>
    <w:rsid w:val="008907FD"/>
    <w:rsid w:val="00890F18"/>
    <w:rsid w:val="00892063"/>
    <w:rsid w:val="00892DBC"/>
    <w:rsid w:val="00893F00"/>
    <w:rsid w:val="008941FF"/>
    <w:rsid w:val="00894F1D"/>
    <w:rsid w:val="00897053"/>
    <w:rsid w:val="008977BD"/>
    <w:rsid w:val="008A030C"/>
    <w:rsid w:val="008A08EC"/>
    <w:rsid w:val="008A0FD2"/>
    <w:rsid w:val="008A1C78"/>
    <w:rsid w:val="008A287B"/>
    <w:rsid w:val="008A2EA2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436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3E0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43FA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2D6E"/>
    <w:rsid w:val="008F2EC5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3C12"/>
    <w:rsid w:val="0090490C"/>
    <w:rsid w:val="0090537A"/>
    <w:rsid w:val="009057AA"/>
    <w:rsid w:val="00906662"/>
    <w:rsid w:val="00906EE0"/>
    <w:rsid w:val="00907322"/>
    <w:rsid w:val="0090740B"/>
    <w:rsid w:val="00907EB0"/>
    <w:rsid w:val="00907EE7"/>
    <w:rsid w:val="009106FA"/>
    <w:rsid w:val="009111A7"/>
    <w:rsid w:val="00911EB1"/>
    <w:rsid w:val="0091233D"/>
    <w:rsid w:val="009151B8"/>
    <w:rsid w:val="0091538B"/>
    <w:rsid w:val="009173A0"/>
    <w:rsid w:val="0092375A"/>
    <w:rsid w:val="00923A7D"/>
    <w:rsid w:val="00926B89"/>
    <w:rsid w:val="0092738C"/>
    <w:rsid w:val="00927C1B"/>
    <w:rsid w:val="00930E05"/>
    <w:rsid w:val="009312F0"/>
    <w:rsid w:val="00934371"/>
    <w:rsid w:val="00934470"/>
    <w:rsid w:val="00934539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0D0"/>
    <w:rsid w:val="0095413B"/>
    <w:rsid w:val="0095460C"/>
    <w:rsid w:val="0095559B"/>
    <w:rsid w:val="0095721F"/>
    <w:rsid w:val="009572DA"/>
    <w:rsid w:val="00960389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169F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7DE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481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8C0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33D2"/>
    <w:rsid w:val="00A0477C"/>
    <w:rsid w:val="00A0509F"/>
    <w:rsid w:val="00A05A6B"/>
    <w:rsid w:val="00A07106"/>
    <w:rsid w:val="00A103BD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0A4"/>
    <w:rsid w:val="00A34195"/>
    <w:rsid w:val="00A34535"/>
    <w:rsid w:val="00A35FA2"/>
    <w:rsid w:val="00A36010"/>
    <w:rsid w:val="00A36832"/>
    <w:rsid w:val="00A4069B"/>
    <w:rsid w:val="00A42794"/>
    <w:rsid w:val="00A43593"/>
    <w:rsid w:val="00A438D9"/>
    <w:rsid w:val="00A446C3"/>
    <w:rsid w:val="00A45638"/>
    <w:rsid w:val="00A4590E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1E7D"/>
    <w:rsid w:val="00A8265C"/>
    <w:rsid w:val="00A83682"/>
    <w:rsid w:val="00A8447E"/>
    <w:rsid w:val="00A86847"/>
    <w:rsid w:val="00A86B4F"/>
    <w:rsid w:val="00A87171"/>
    <w:rsid w:val="00A872FB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5FDE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200B"/>
    <w:rsid w:val="00AB39B9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237"/>
    <w:rsid w:val="00AD442F"/>
    <w:rsid w:val="00AD67C7"/>
    <w:rsid w:val="00AD6B75"/>
    <w:rsid w:val="00AE0983"/>
    <w:rsid w:val="00AE0B99"/>
    <w:rsid w:val="00AE1472"/>
    <w:rsid w:val="00AE1CA8"/>
    <w:rsid w:val="00AE2732"/>
    <w:rsid w:val="00AE51ED"/>
    <w:rsid w:val="00AE58A6"/>
    <w:rsid w:val="00AE59B4"/>
    <w:rsid w:val="00AE6A23"/>
    <w:rsid w:val="00AE6C6F"/>
    <w:rsid w:val="00AE7A72"/>
    <w:rsid w:val="00AE7A8D"/>
    <w:rsid w:val="00AE7BDE"/>
    <w:rsid w:val="00AF0591"/>
    <w:rsid w:val="00AF0655"/>
    <w:rsid w:val="00AF066A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4F3"/>
    <w:rsid w:val="00B079F5"/>
    <w:rsid w:val="00B10464"/>
    <w:rsid w:val="00B14987"/>
    <w:rsid w:val="00B15CB4"/>
    <w:rsid w:val="00B15D04"/>
    <w:rsid w:val="00B17779"/>
    <w:rsid w:val="00B20866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8EB"/>
    <w:rsid w:val="00B369A9"/>
    <w:rsid w:val="00B37C46"/>
    <w:rsid w:val="00B401EF"/>
    <w:rsid w:val="00B407A5"/>
    <w:rsid w:val="00B40CFA"/>
    <w:rsid w:val="00B41B39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03D"/>
    <w:rsid w:val="00B54F53"/>
    <w:rsid w:val="00B558B3"/>
    <w:rsid w:val="00B55BE9"/>
    <w:rsid w:val="00B560D2"/>
    <w:rsid w:val="00B5769D"/>
    <w:rsid w:val="00B57B4F"/>
    <w:rsid w:val="00B61BA6"/>
    <w:rsid w:val="00B6361C"/>
    <w:rsid w:val="00B677A1"/>
    <w:rsid w:val="00B67B0A"/>
    <w:rsid w:val="00B67EC0"/>
    <w:rsid w:val="00B702BB"/>
    <w:rsid w:val="00B71367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0E7"/>
    <w:rsid w:val="00B82343"/>
    <w:rsid w:val="00B8312C"/>
    <w:rsid w:val="00B85847"/>
    <w:rsid w:val="00B90A18"/>
    <w:rsid w:val="00B91779"/>
    <w:rsid w:val="00B91E98"/>
    <w:rsid w:val="00B92AF9"/>
    <w:rsid w:val="00B93C8D"/>
    <w:rsid w:val="00B9467E"/>
    <w:rsid w:val="00B95DC8"/>
    <w:rsid w:val="00B9643B"/>
    <w:rsid w:val="00B96AD8"/>
    <w:rsid w:val="00BA00DE"/>
    <w:rsid w:val="00BA2F3F"/>
    <w:rsid w:val="00BA3200"/>
    <w:rsid w:val="00BA340C"/>
    <w:rsid w:val="00BA345C"/>
    <w:rsid w:val="00BA3D9D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829"/>
    <w:rsid w:val="00BC19AC"/>
    <w:rsid w:val="00BC1CE4"/>
    <w:rsid w:val="00BC1D0F"/>
    <w:rsid w:val="00BC23D0"/>
    <w:rsid w:val="00BC2519"/>
    <w:rsid w:val="00BC255C"/>
    <w:rsid w:val="00BC3455"/>
    <w:rsid w:val="00BC34D0"/>
    <w:rsid w:val="00BC59A3"/>
    <w:rsid w:val="00BC6311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25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20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30F1"/>
    <w:rsid w:val="00C24690"/>
    <w:rsid w:val="00C248DE"/>
    <w:rsid w:val="00C24BE4"/>
    <w:rsid w:val="00C27B02"/>
    <w:rsid w:val="00C3209E"/>
    <w:rsid w:val="00C3212E"/>
    <w:rsid w:val="00C32886"/>
    <w:rsid w:val="00C34C12"/>
    <w:rsid w:val="00C34F3A"/>
    <w:rsid w:val="00C36359"/>
    <w:rsid w:val="00C36979"/>
    <w:rsid w:val="00C36E24"/>
    <w:rsid w:val="00C37160"/>
    <w:rsid w:val="00C40177"/>
    <w:rsid w:val="00C4043D"/>
    <w:rsid w:val="00C40E04"/>
    <w:rsid w:val="00C42557"/>
    <w:rsid w:val="00C433AE"/>
    <w:rsid w:val="00C43418"/>
    <w:rsid w:val="00C43604"/>
    <w:rsid w:val="00C4361F"/>
    <w:rsid w:val="00C44C38"/>
    <w:rsid w:val="00C45A3F"/>
    <w:rsid w:val="00C4621E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6BEC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67E4D"/>
    <w:rsid w:val="00C70037"/>
    <w:rsid w:val="00C71E0D"/>
    <w:rsid w:val="00C7263C"/>
    <w:rsid w:val="00C74404"/>
    <w:rsid w:val="00C74B22"/>
    <w:rsid w:val="00C75299"/>
    <w:rsid w:val="00C75DB5"/>
    <w:rsid w:val="00C76599"/>
    <w:rsid w:val="00C76BBA"/>
    <w:rsid w:val="00C76DE8"/>
    <w:rsid w:val="00C775F6"/>
    <w:rsid w:val="00C77744"/>
    <w:rsid w:val="00C77E48"/>
    <w:rsid w:val="00C80BE3"/>
    <w:rsid w:val="00C80EAD"/>
    <w:rsid w:val="00C8336F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4F9C"/>
    <w:rsid w:val="00C96367"/>
    <w:rsid w:val="00C9791E"/>
    <w:rsid w:val="00C97A92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A7DCF"/>
    <w:rsid w:val="00CB0EBB"/>
    <w:rsid w:val="00CB285D"/>
    <w:rsid w:val="00CB4CAC"/>
    <w:rsid w:val="00CB690A"/>
    <w:rsid w:val="00CC14A5"/>
    <w:rsid w:val="00CC2796"/>
    <w:rsid w:val="00CC2CB6"/>
    <w:rsid w:val="00CC3816"/>
    <w:rsid w:val="00CC3CAD"/>
    <w:rsid w:val="00CC59D1"/>
    <w:rsid w:val="00CC5B51"/>
    <w:rsid w:val="00CC77FF"/>
    <w:rsid w:val="00CC780F"/>
    <w:rsid w:val="00CC7F9E"/>
    <w:rsid w:val="00CD02B7"/>
    <w:rsid w:val="00CD0E9E"/>
    <w:rsid w:val="00CD1922"/>
    <w:rsid w:val="00CD27F3"/>
    <w:rsid w:val="00CD2D2F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ED1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62A2"/>
    <w:rsid w:val="00D07514"/>
    <w:rsid w:val="00D12C49"/>
    <w:rsid w:val="00D1331A"/>
    <w:rsid w:val="00D1334E"/>
    <w:rsid w:val="00D133A7"/>
    <w:rsid w:val="00D1382A"/>
    <w:rsid w:val="00D1496F"/>
    <w:rsid w:val="00D1621C"/>
    <w:rsid w:val="00D20DE8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C69"/>
    <w:rsid w:val="00D52E2D"/>
    <w:rsid w:val="00D52F34"/>
    <w:rsid w:val="00D55084"/>
    <w:rsid w:val="00D579EB"/>
    <w:rsid w:val="00D614D5"/>
    <w:rsid w:val="00D6339A"/>
    <w:rsid w:val="00D64BFB"/>
    <w:rsid w:val="00D67141"/>
    <w:rsid w:val="00D710EE"/>
    <w:rsid w:val="00D7132C"/>
    <w:rsid w:val="00D71A22"/>
    <w:rsid w:val="00D72284"/>
    <w:rsid w:val="00D7286C"/>
    <w:rsid w:val="00D72C71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64F1"/>
    <w:rsid w:val="00D87A51"/>
    <w:rsid w:val="00D87B7A"/>
    <w:rsid w:val="00D9022E"/>
    <w:rsid w:val="00D902CA"/>
    <w:rsid w:val="00D91217"/>
    <w:rsid w:val="00D93697"/>
    <w:rsid w:val="00D937FA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5E6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0926"/>
    <w:rsid w:val="00DD17D4"/>
    <w:rsid w:val="00DD1FA5"/>
    <w:rsid w:val="00DD278C"/>
    <w:rsid w:val="00DD2B73"/>
    <w:rsid w:val="00DD47B2"/>
    <w:rsid w:val="00DD5B62"/>
    <w:rsid w:val="00DD6A08"/>
    <w:rsid w:val="00DE26EE"/>
    <w:rsid w:val="00DE2B7E"/>
    <w:rsid w:val="00DE325F"/>
    <w:rsid w:val="00DE4468"/>
    <w:rsid w:val="00DE4D23"/>
    <w:rsid w:val="00DE4FE3"/>
    <w:rsid w:val="00DE5FE2"/>
    <w:rsid w:val="00DE7993"/>
    <w:rsid w:val="00DF084F"/>
    <w:rsid w:val="00DF0A26"/>
    <w:rsid w:val="00DF1A53"/>
    <w:rsid w:val="00DF2E05"/>
    <w:rsid w:val="00DF35F4"/>
    <w:rsid w:val="00DF54A8"/>
    <w:rsid w:val="00DF5954"/>
    <w:rsid w:val="00DF65BD"/>
    <w:rsid w:val="00DF6E9D"/>
    <w:rsid w:val="00DF7AE0"/>
    <w:rsid w:val="00E01BFB"/>
    <w:rsid w:val="00E01E14"/>
    <w:rsid w:val="00E01E30"/>
    <w:rsid w:val="00E0351A"/>
    <w:rsid w:val="00E04CEE"/>
    <w:rsid w:val="00E04DF6"/>
    <w:rsid w:val="00E05D7F"/>
    <w:rsid w:val="00E05F82"/>
    <w:rsid w:val="00E06CF7"/>
    <w:rsid w:val="00E0753B"/>
    <w:rsid w:val="00E0784B"/>
    <w:rsid w:val="00E07AAF"/>
    <w:rsid w:val="00E07F98"/>
    <w:rsid w:val="00E10CF7"/>
    <w:rsid w:val="00E13B6E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34F1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44D"/>
    <w:rsid w:val="00E4178A"/>
    <w:rsid w:val="00E41B93"/>
    <w:rsid w:val="00E42002"/>
    <w:rsid w:val="00E4287B"/>
    <w:rsid w:val="00E45525"/>
    <w:rsid w:val="00E46ECD"/>
    <w:rsid w:val="00E46FFA"/>
    <w:rsid w:val="00E47632"/>
    <w:rsid w:val="00E5029E"/>
    <w:rsid w:val="00E50E82"/>
    <w:rsid w:val="00E515C0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4C58"/>
    <w:rsid w:val="00E656D1"/>
    <w:rsid w:val="00E65B67"/>
    <w:rsid w:val="00E65E3F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D7E"/>
    <w:rsid w:val="00E82F57"/>
    <w:rsid w:val="00E830E5"/>
    <w:rsid w:val="00E8347A"/>
    <w:rsid w:val="00E8348F"/>
    <w:rsid w:val="00E84E20"/>
    <w:rsid w:val="00E84E47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8C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A5D25"/>
    <w:rsid w:val="00EA7FBD"/>
    <w:rsid w:val="00EB0711"/>
    <w:rsid w:val="00EB09DB"/>
    <w:rsid w:val="00EB164E"/>
    <w:rsid w:val="00EB245F"/>
    <w:rsid w:val="00EB25FE"/>
    <w:rsid w:val="00EB33D4"/>
    <w:rsid w:val="00EB3646"/>
    <w:rsid w:val="00EB3CCD"/>
    <w:rsid w:val="00EB4792"/>
    <w:rsid w:val="00EB4FDF"/>
    <w:rsid w:val="00EB544E"/>
    <w:rsid w:val="00EB63C5"/>
    <w:rsid w:val="00EB646B"/>
    <w:rsid w:val="00EB7363"/>
    <w:rsid w:val="00EB7E8B"/>
    <w:rsid w:val="00EC0341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4B6C"/>
    <w:rsid w:val="00EC53AC"/>
    <w:rsid w:val="00EC6EB1"/>
    <w:rsid w:val="00EC78F4"/>
    <w:rsid w:val="00ED0096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2F6"/>
    <w:rsid w:val="00F003A1"/>
    <w:rsid w:val="00F02431"/>
    <w:rsid w:val="00F02727"/>
    <w:rsid w:val="00F03889"/>
    <w:rsid w:val="00F05CA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66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418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16C2"/>
    <w:rsid w:val="00F429BE"/>
    <w:rsid w:val="00F43148"/>
    <w:rsid w:val="00F43588"/>
    <w:rsid w:val="00F44182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37E9"/>
    <w:rsid w:val="00F64B9B"/>
    <w:rsid w:val="00F65A1B"/>
    <w:rsid w:val="00F66C8A"/>
    <w:rsid w:val="00F67522"/>
    <w:rsid w:val="00F67578"/>
    <w:rsid w:val="00F67C3F"/>
    <w:rsid w:val="00F72B8D"/>
    <w:rsid w:val="00F72DB4"/>
    <w:rsid w:val="00F733D3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14C2"/>
    <w:rsid w:val="00F914CE"/>
    <w:rsid w:val="00F934BB"/>
    <w:rsid w:val="00F93893"/>
    <w:rsid w:val="00F950EB"/>
    <w:rsid w:val="00F956A0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3554"/>
    <w:rsid w:val="00FA43EE"/>
    <w:rsid w:val="00FA73F2"/>
    <w:rsid w:val="00FB1849"/>
    <w:rsid w:val="00FB2293"/>
    <w:rsid w:val="00FB5464"/>
    <w:rsid w:val="00FB6D54"/>
    <w:rsid w:val="00FC1B87"/>
    <w:rsid w:val="00FC2A31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522F"/>
    <w:rsid w:val="00FD7BCD"/>
    <w:rsid w:val="00FE1F7B"/>
    <w:rsid w:val="00FE367E"/>
    <w:rsid w:val="00FE60EB"/>
    <w:rsid w:val="00FE670B"/>
    <w:rsid w:val="00FE7296"/>
    <w:rsid w:val="00FE7B34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8EC6AEF"/>
  <w15:chartTrackingRefBased/>
  <w15:docId w15:val="{057880F4-83C3-411E-B77B-F467566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0F1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A6077-2962-49F4-814F-FAA1C0D8F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6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dc:description/>
  <cp:lastModifiedBy>Conf Call</cp:lastModifiedBy>
  <cp:revision>3</cp:revision>
  <cp:lastPrinted>2018-08-13T16:59:00Z</cp:lastPrinted>
  <dcterms:created xsi:type="dcterms:W3CDTF">2024-05-20T04:05:00Z</dcterms:created>
  <dcterms:modified xsi:type="dcterms:W3CDTF">2024-05-20T04:06:00Z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(3)KWLYklOoCNKZ7tflGrjLQ7DW6vcI0TyGUMNgc1e5HEb9sF7V7IuaRbnes2RdAlAQrcIlt52F
6L4XGOKSBGdsj6EDdApP7C9y7lTa8NQoH139Mp/swnZ7Oa2qyQFub+iML+9fD1f7olJ+yEa8
abzCVP+zYYol/ZHR9/ALtuhvUohz7kLsP2rQwqSUA4Nr4+sh+/Ads9NTg1ElqNqdKnQUIYRZ
T8jPI2XLrxvTJN62Xj</vt:lpwstr>
  </property>
  <property fmtid="{D5CDD505-2E9C-101B-9397-08002B2CF9AE}" pid="9" name="_2015_ms_pID_7253431">
    <vt:lpwstr>Iv6YAivwUk3GwSnrWyTuHDLBn0HXN34McAftt8XRPM9R4ejgxbYWkG
9J28YRSdiMxiE6Oll6T6AT8udaUqoBcZ/VdgFEotfiPIgidcmT8l7jXgcwcVQB5ctanfRRJ7
nmwbB2XN+HngEsrHrIqhnq7LeJTn7O/T/c/IxYpKORi/E5zM0IvlGuFTgnkbPFc/F+nbXhQg
ddDq7PwlIAjq0kYLWmh/D3vILlEqul/vPRw/</vt:lpwstr>
  </property>
  <property fmtid="{D5CDD505-2E9C-101B-9397-08002B2CF9AE}" pid="10" name="_2015_ms_pID_7253432">
    <vt:lpwstr>uQ==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1664154725</vt:lpwstr>
  </property>
</Properties>
</file>