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F383A" w14:textId="30613BCE"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05143">
        <w:rPr>
          <w:rFonts w:ascii="Arial" w:eastAsia="Arial Unicode MS" w:hAnsi="Arial" w:cs="Arial"/>
          <w:b/>
          <w:bCs/>
          <w:sz w:val="24"/>
        </w:rPr>
        <w:t>6</w:t>
      </w:r>
      <w:r>
        <w:rPr>
          <w:rFonts w:ascii="Arial" w:eastAsia="Arial Unicode MS" w:hAnsi="Arial" w:cs="Arial"/>
          <w:b/>
          <w:bCs/>
          <w:sz w:val="24"/>
        </w:rPr>
        <w:tab/>
      </w:r>
      <w:r w:rsidR="001A2EAC" w:rsidRPr="001A2EAC">
        <w:rPr>
          <w:rFonts w:ascii="Arial" w:eastAsia="Arial Unicode MS" w:hAnsi="Arial" w:cs="Arial"/>
          <w:b/>
          <w:bCs/>
          <w:i/>
          <w:sz w:val="28"/>
        </w:rPr>
        <w:t>S2-2411717</w:t>
      </w:r>
    </w:p>
    <w:p w14:paraId="4272A802" w14:textId="5696B750" w:rsidR="00BC3C6F" w:rsidRPr="003244C5" w:rsidRDefault="0030514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US</w:t>
      </w:r>
      <w:r w:rsidR="009824F7">
        <w:rPr>
          <w:rFonts w:ascii="Arial" w:eastAsia="Arial Unicode MS" w:hAnsi="Arial" w:cs="Arial"/>
          <w:b/>
          <w:bCs/>
          <w:sz w:val="24"/>
        </w:rPr>
        <w:t>,</w:t>
      </w:r>
      <w:r w:rsidR="009B0A97" w:rsidRPr="009B0A97">
        <w:rPr>
          <w:rFonts w:ascii="Arial" w:eastAsia="Arial Unicode MS" w:hAnsi="Arial" w:cs="Arial"/>
          <w:b/>
          <w:bCs/>
          <w:sz w:val="24"/>
        </w:rPr>
        <w:t xml:space="preserve"> 202</w:t>
      </w:r>
      <w:r w:rsidR="009824F7">
        <w:rPr>
          <w:rFonts w:ascii="Arial" w:eastAsia="Arial Unicode MS" w:hAnsi="Arial" w:cs="Arial"/>
          <w:b/>
          <w:bCs/>
          <w:sz w:val="24"/>
        </w:rPr>
        <w:t>4</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8</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w:t>
      </w:r>
      <w:r w:rsidR="009824F7">
        <w:rPr>
          <w:rFonts w:ascii="Arial" w:eastAsia="Arial Unicode MS" w:hAnsi="Arial" w:cs="Arial"/>
          <w:b/>
          <w:bCs/>
          <w:sz w:val="24"/>
        </w:rPr>
        <w:t>4</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Pr>
          <w:rFonts w:ascii="Arial" w:eastAsia="Arial Unicode MS" w:hAnsi="Arial" w:cs="Arial"/>
          <w:b/>
          <w:bCs/>
          <w:sz w:val="24"/>
        </w:rPr>
        <w:t>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884AF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4FCD3B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54DB">
        <w:rPr>
          <w:rFonts w:ascii="Arial" w:hAnsi="Arial" w:cs="Arial"/>
          <w:b/>
        </w:rPr>
        <w:t>UE Data Collection</w:t>
      </w:r>
      <w:r w:rsidR="00F628A2">
        <w:rPr>
          <w:rFonts w:ascii="Arial" w:hAnsi="Arial" w:cs="Arial"/>
          <w:b/>
        </w:rPr>
        <w:t xml:space="preserve"> in 5GC</w:t>
      </w:r>
      <w:r w:rsidR="00EE5BB1">
        <w:rPr>
          <w:rFonts w:ascii="Arial" w:hAnsi="Arial" w:cs="Arial"/>
          <w:b/>
        </w:rPr>
        <w:t xml:space="preserve"> for RAN AIML </w:t>
      </w:r>
      <w:r w:rsidR="00296177">
        <w:rPr>
          <w:rFonts w:ascii="Arial" w:hAnsi="Arial" w:cs="Arial"/>
          <w:b/>
        </w:rPr>
        <w:t>operation</w:t>
      </w:r>
      <w:r w:rsidR="00AC54DB">
        <w:rPr>
          <w:rFonts w:ascii="Arial" w:hAnsi="Arial" w:cs="Arial"/>
          <w:b/>
        </w:rPr>
        <w:t xml:space="preserve">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640CA63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24F7">
        <w:rPr>
          <w:rFonts w:ascii="Arial" w:hAnsi="Arial" w:cs="Arial"/>
          <w:b/>
        </w:rPr>
        <w:t>1</w:t>
      </w:r>
      <w:r w:rsidR="00606FF1">
        <w:rPr>
          <w:rFonts w:ascii="Arial" w:hAnsi="Arial" w:cs="Arial"/>
          <w:b/>
        </w:rPr>
        <w:t>9.</w:t>
      </w:r>
      <w:r w:rsidR="009824F7">
        <w:rPr>
          <w:rFonts w:ascii="Arial" w:hAnsi="Arial" w:cs="Arial"/>
          <w:b/>
        </w:rPr>
        <w:t>15</w:t>
      </w:r>
      <w:r w:rsidR="00EC6CB3">
        <w:rPr>
          <w:rFonts w:ascii="Arial" w:hAnsi="Arial" w:cs="Arial"/>
          <w:b/>
        </w:rPr>
        <w:t>.</w:t>
      </w:r>
      <w:r w:rsidR="009824F7">
        <w:rPr>
          <w:rFonts w:ascii="Arial" w:hAnsi="Arial" w:cs="Arial"/>
          <w:b/>
        </w:rPr>
        <w:t>2</w:t>
      </w:r>
    </w:p>
    <w:p w14:paraId="28A59353" w14:textId="6065AE3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AC54DB">
        <w:rPr>
          <w:rFonts w:ascii="Arial" w:hAnsi="Arial" w:cs="Arial"/>
          <w:b/>
          <w:bCs/>
          <w:color w:val="auto"/>
          <w:kern w:val="24"/>
          <w:sz w:val="18"/>
          <w:szCs w:val="18"/>
        </w:rPr>
        <w:t>A</w:t>
      </w:r>
      <w:r w:rsidR="00696D6C">
        <w:rPr>
          <w:rFonts w:ascii="Arial" w:hAnsi="Arial" w:cs="Arial"/>
          <w:b/>
          <w:bCs/>
          <w:color w:val="auto"/>
          <w:kern w:val="24"/>
          <w:sz w:val="18"/>
          <w:szCs w:val="18"/>
        </w:rPr>
        <w:t>IML</w:t>
      </w:r>
      <w:r w:rsidR="009824F7">
        <w:rPr>
          <w:rFonts w:ascii="Arial" w:hAnsi="Arial" w:cs="Arial"/>
          <w:b/>
          <w:bCs/>
          <w:color w:val="auto"/>
          <w:kern w:val="24"/>
          <w:sz w:val="18"/>
          <w:szCs w:val="18"/>
        </w:rPr>
        <w:t>_CN</w:t>
      </w:r>
      <w:r w:rsidR="00462B3D" w:rsidRPr="00CA76A1">
        <w:rPr>
          <w:rFonts w:ascii="Arial" w:hAnsi="Arial" w:cs="Arial"/>
          <w:b/>
        </w:rPr>
        <w:t xml:space="preserve"> / Rel-1</w:t>
      </w:r>
      <w:r w:rsidR="009824F7">
        <w:rPr>
          <w:rFonts w:ascii="Arial" w:hAnsi="Arial" w:cs="Arial"/>
          <w:b/>
        </w:rPr>
        <w:t>9</w:t>
      </w:r>
    </w:p>
    <w:p w14:paraId="7311A00F" w14:textId="448BD292"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F628A2">
        <w:rPr>
          <w:rFonts w:ascii="Arial" w:hAnsi="Arial" w:cs="Arial"/>
          <w:i/>
        </w:rPr>
        <w:t xml:space="preserve">This discussion paper </w:t>
      </w:r>
      <w:r w:rsidR="00BE49A1">
        <w:rPr>
          <w:rFonts w:ascii="Arial" w:hAnsi="Arial" w:cs="Arial"/>
          <w:i/>
        </w:rPr>
        <w:t>analyses</w:t>
      </w:r>
      <w:r w:rsidR="00F628A2">
        <w:rPr>
          <w:rFonts w:ascii="Arial" w:hAnsi="Arial" w:cs="Arial"/>
          <w:i/>
        </w:rPr>
        <w:t xml:space="preserve"> the </w:t>
      </w:r>
      <w:r w:rsidR="00305143">
        <w:rPr>
          <w:rFonts w:ascii="Arial" w:hAnsi="Arial" w:cs="Arial"/>
          <w:i/>
        </w:rPr>
        <w:t>status of</w:t>
      </w:r>
      <w:r w:rsidR="00F628A2">
        <w:rPr>
          <w:rFonts w:ascii="Arial" w:hAnsi="Arial" w:cs="Arial"/>
          <w:i/>
        </w:rPr>
        <w:t xml:space="preserve"> UE data collection </w:t>
      </w:r>
      <w:r w:rsidR="00305143">
        <w:rPr>
          <w:rFonts w:ascii="Arial" w:hAnsi="Arial" w:cs="Arial"/>
          <w:i/>
        </w:rPr>
        <w:t>discussion in SA2</w:t>
      </w:r>
      <w:r w:rsidR="00EC62CF">
        <w:rPr>
          <w:rFonts w:ascii="Arial" w:hAnsi="Arial" w:cs="Arial"/>
          <w:i/>
        </w:rPr>
        <w:t xml:space="preserve"> and proposes a way forward</w:t>
      </w:r>
      <w:r w:rsidR="00A70300">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2E383BE" w14:textId="1E0BB124" w:rsidR="004B2961" w:rsidRDefault="00B91EAB" w:rsidP="00AC54DB">
      <w:pPr>
        <w:rPr>
          <w:bCs/>
        </w:rPr>
      </w:pPr>
      <w:r>
        <w:rPr>
          <w:bCs/>
        </w:rPr>
        <w:t xml:space="preserve">The LS </w:t>
      </w:r>
      <w:r w:rsidR="000C669E">
        <w:rPr>
          <w:bCs/>
        </w:rPr>
        <w:t>S2-2411455</w:t>
      </w:r>
      <w:r w:rsidR="002D25E3">
        <w:rPr>
          <w:bCs/>
        </w:rPr>
        <w:t xml:space="preserve"> </w:t>
      </w:r>
      <w:r w:rsidR="000C669E">
        <w:rPr>
          <w:bCs/>
        </w:rPr>
        <w:t>(</w:t>
      </w:r>
      <w:r w:rsidR="002D25E3">
        <w:rPr>
          <w:bCs/>
        </w:rPr>
        <w:t>RP</w:t>
      </w:r>
      <w:r>
        <w:rPr>
          <w:bCs/>
        </w:rPr>
        <w:t>-24</w:t>
      </w:r>
      <w:r w:rsidR="002D25E3">
        <w:rPr>
          <w:bCs/>
        </w:rPr>
        <w:t>2389</w:t>
      </w:r>
      <w:r w:rsidR="000C669E">
        <w:rPr>
          <w:bCs/>
        </w:rPr>
        <w:t>)</w:t>
      </w:r>
      <w:r>
        <w:rPr>
          <w:bCs/>
        </w:rPr>
        <w:t xml:space="preserve"> from RAN </w:t>
      </w:r>
      <w:r w:rsidR="00B3587C">
        <w:rPr>
          <w:bCs/>
        </w:rPr>
        <w:t>ask</w:t>
      </w:r>
      <w:r w:rsidR="002D25E3">
        <w:rPr>
          <w:bCs/>
        </w:rPr>
        <w:t>ed</w:t>
      </w:r>
      <w:r w:rsidR="00B3587C">
        <w:rPr>
          <w:bCs/>
        </w:rPr>
        <w:t xml:space="preserve"> SA2 to provide views on Solution 1b, Solution 2 and Solution 3. </w:t>
      </w:r>
    </w:p>
    <w:p w14:paraId="101CA259" w14:textId="594F5414" w:rsidR="004B2961" w:rsidRDefault="00BE49A1" w:rsidP="00AC54DB">
      <w:pPr>
        <w:rPr>
          <w:bCs/>
        </w:rPr>
      </w:pPr>
      <w:r>
        <w:rPr>
          <w:bCs/>
        </w:rPr>
        <w:t xml:space="preserve">In the LS, RAN highlighted their </w:t>
      </w:r>
      <w:r w:rsidR="00CD417E">
        <w:rPr>
          <w:bCs/>
        </w:rPr>
        <w:t xml:space="preserve">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B2961" w:rsidRPr="00DC0D67" w14:paraId="57C9C2D2" w14:textId="77777777" w:rsidTr="004B2961">
        <w:tc>
          <w:tcPr>
            <w:tcW w:w="9628" w:type="dxa"/>
            <w:shd w:val="clear" w:color="auto" w:fill="auto"/>
          </w:tcPr>
          <w:p w14:paraId="4DEA7ACC" w14:textId="77777777" w:rsidR="004B2961" w:rsidRDefault="004B2961" w:rsidP="00E51714">
            <w:pPr>
              <w:rPr>
                <w:rStyle w:val="Strong"/>
                <w:rFonts w:eastAsia="SimSun"/>
              </w:rPr>
            </w:pPr>
            <w:bookmarkStart w:id="0"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3775B123" w14:textId="77777777" w:rsidR="004B2961" w:rsidRDefault="004B2961" w:rsidP="004B2961">
            <w:pPr>
              <w:pStyle w:val="ListParagraph"/>
              <w:numPr>
                <w:ilvl w:val="2"/>
                <w:numId w:val="41"/>
              </w:numPr>
              <w:overflowPunct/>
              <w:autoSpaceDE/>
              <w:autoSpaceDN/>
              <w:adjustRightInd/>
              <w:spacing w:after="160" w:line="259" w:lineRule="auto"/>
              <w:textAlignment w:val="auto"/>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39195B11" w14:textId="77777777" w:rsidR="004B2961" w:rsidRPr="00305143" w:rsidRDefault="004B2961" w:rsidP="004B2961">
            <w:pPr>
              <w:pStyle w:val="ListParagraph"/>
              <w:numPr>
                <w:ilvl w:val="2"/>
                <w:numId w:val="41"/>
              </w:numPr>
              <w:overflowPunct/>
              <w:autoSpaceDE/>
              <w:autoSpaceDN/>
              <w:adjustRightInd/>
              <w:spacing w:after="160" w:line="259" w:lineRule="auto"/>
              <w:textAlignment w:val="auto"/>
              <w:rPr>
                <w:rFonts w:eastAsia="SimSun"/>
                <w:bCs/>
              </w:rPr>
            </w:pPr>
            <w:r w:rsidRPr="00305143">
              <w:rPr>
                <w:rFonts w:eastAsia="SimSun"/>
                <w:bCs/>
              </w:rPr>
              <w:t>User data  privacy, anonymity and user consent is respected.</w:t>
            </w:r>
          </w:p>
          <w:p w14:paraId="1CC75C5E" w14:textId="77777777" w:rsidR="004B2961" w:rsidRDefault="004B2961" w:rsidP="004B2961">
            <w:pPr>
              <w:pStyle w:val="ListParagraph"/>
              <w:numPr>
                <w:ilvl w:val="2"/>
                <w:numId w:val="41"/>
              </w:numPr>
              <w:overflowPunct/>
              <w:autoSpaceDE/>
              <w:autoSpaceDN/>
              <w:adjustRightInd/>
              <w:spacing w:after="160" w:line="259" w:lineRule="auto"/>
              <w:textAlignment w:val="auto"/>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72F36AD" w14:textId="77777777" w:rsidR="004B2961" w:rsidRPr="00305143" w:rsidRDefault="004B2961" w:rsidP="004B2961">
            <w:pPr>
              <w:pStyle w:val="ListParagraph"/>
              <w:numPr>
                <w:ilvl w:val="2"/>
                <w:numId w:val="41"/>
              </w:numPr>
              <w:overflowPunct/>
              <w:autoSpaceDE/>
              <w:autoSpaceDN/>
              <w:adjustRightInd/>
              <w:spacing w:after="160" w:line="259" w:lineRule="auto"/>
              <w:textAlignment w:val="auto"/>
              <w:rPr>
                <w:rFonts w:eastAsia="SimSun"/>
                <w:bCs/>
              </w:rPr>
            </w:pPr>
            <w:r w:rsidRPr="00305143">
              <w:rPr>
                <w:rFonts w:eastAsia="SimSun"/>
                <w:bCs/>
              </w:rPr>
              <w:t xml:space="preserve">MNO has full visibility for standardized data.  </w:t>
            </w:r>
          </w:p>
          <w:p w14:paraId="59514AFC" w14:textId="77777777" w:rsidR="004B2961" w:rsidRDefault="004B2961" w:rsidP="004B2961">
            <w:pPr>
              <w:pStyle w:val="ListParagraph"/>
              <w:numPr>
                <w:ilvl w:val="2"/>
                <w:numId w:val="41"/>
              </w:numPr>
              <w:overflowPunct/>
              <w:autoSpaceDE/>
              <w:autoSpaceDN/>
              <w:adjustRightInd/>
              <w:spacing w:after="160" w:line="259" w:lineRule="auto"/>
              <w:textAlignment w:val="auto"/>
              <w:rPr>
                <w:rFonts w:eastAsia="SimSun"/>
                <w:bCs/>
              </w:rPr>
            </w:pPr>
            <w:r>
              <w:rPr>
                <w:rFonts w:eastAsia="SimSun"/>
                <w:bCs/>
              </w:rPr>
              <w:t>The design is futureproof and extendable.</w:t>
            </w:r>
          </w:p>
          <w:p w14:paraId="1EB691F8" w14:textId="77777777" w:rsidR="004B2961" w:rsidRDefault="004B2961" w:rsidP="00E51714">
            <w:pPr>
              <w:ind w:left="720"/>
              <w:rPr>
                <w:rFonts w:eastAsia="SimSun"/>
                <w:bCs/>
              </w:rPr>
            </w:pPr>
            <w:r>
              <w:rPr>
                <w:rFonts w:eastAsia="SimSun"/>
                <w:bCs/>
              </w:rPr>
              <w:t xml:space="preserve">FFS/study if and how to handle non-standardized data (i.e. partial visibility).  </w:t>
            </w:r>
          </w:p>
          <w:p w14:paraId="5D0AAA90" w14:textId="77777777" w:rsidR="004B2961" w:rsidRDefault="004B2961" w:rsidP="00E51714">
            <w:pPr>
              <w:ind w:left="720"/>
              <w:rPr>
                <w:rFonts w:eastAsia="SimSun"/>
                <w:bCs/>
              </w:rPr>
            </w:pPr>
            <w:r>
              <w:rPr>
                <w:rFonts w:eastAsia="SimSun"/>
              </w:rPr>
              <w:t>FFS controllability on data collection</w:t>
            </w:r>
          </w:p>
          <w:p w14:paraId="7D3E3D7C" w14:textId="77777777" w:rsidR="004B2961" w:rsidRDefault="004B2961" w:rsidP="00E51714">
            <w:pPr>
              <w:snapToGrid w:val="0"/>
              <w:spacing w:beforeLines="50" w:before="120" w:afterLines="50" w:after="120"/>
              <w:rPr>
                <w:rFonts w:eastAsia="SimSun"/>
              </w:rPr>
            </w:pPr>
            <w:r>
              <w:rPr>
                <w:rFonts w:eastAsia="SimSun"/>
                <w:bCs/>
              </w:rPr>
              <w:t>S</w:t>
            </w:r>
            <w:r>
              <w:rPr>
                <w:rFonts w:eastAsia="SimSun"/>
              </w:rPr>
              <w:t xml:space="preserve">tandardized </w:t>
            </w:r>
            <w:r>
              <w:rPr>
                <w:rFonts w:eastAsia="SimSun"/>
                <w:bCs/>
              </w:rPr>
              <w:t>Solutions should follow the principle of aiming to minimize air interface overhead and impact to NW operation</w:t>
            </w:r>
            <w:bookmarkEnd w:id="0"/>
          </w:p>
        </w:tc>
      </w:tr>
    </w:tbl>
    <w:p w14:paraId="1F5F4696" w14:textId="77777777" w:rsidR="00B72DF6" w:rsidRDefault="00B72DF6" w:rsidP="00AC54DB">
      <w:pPr>
        <w:rPr>
          <w:bCs/>
        </w:rPr>
      </w:pPr>
    </w:p>
    <w:p w14:paraId="6CDEB1D6" w14:textId="77777777" w:rsidR="00305143" w:rsidRDefault="00305143" w:rsidP="00AC54DB">
      <w:pPr>
        <w:rPr>
          <w:bCs/>
        </w:rPr>
      </w:pPr>
    </w:p>
    <w:p w14:paraId="5054A7EC" w14:textId="414D20DB" w:rsidR="00305143" w:rsidRDefault="00305143" w:rsidP="00AC54DB">
      <w:pPr>
        <w:rPr>
          <w:bCs/>
        </w:rPr>
      </w:pPr>
      <w:r>
        <w:rPr>
          <w:bCs/>
        </w:rPr>
        <w:t xml:space="preserve">RAN </w:t>
      </w:r>
      <w:r w:rsidR="00456ADA">
        <w:rPr>
          <w:bCs/>
        </w:rPr>
        <w:t>made</w:t>
      </w:r>
      <w:r>
        <w:rPr>
          <w:bCs/>
        </w:rPr>
        <w:t xml:space="preserve"> the following request towards SA2 </w:t>
      </w:r>
    </w:p>
    <w:tbl>
      <w:tblPr>
        <w:tblStyle w:val="TableGrid"/>
        <w:tblW w:w="0" w:type="auto"/>
        <w:tblLook w:val="04A0" w:firstRow="1" w:lastRow="0" w:firstColumn="1" w:lastColumn="0" w:noHBand="0" w:noVBand="1"/>
      </w:tblPr>
      <w:tblGrid>
        <w:gridCol w:w="9628"/>
      </w:tblGrid>
      <w:tr w:rsidR="00456ADA" w14:paraId="7BA1810E" w14:textId="77777777" w:rsidTr="00456ADA">
        <w:tc>
          <w:tcPr>
            <w:tcW w:w="9628" w:type="dxa"/>
          </w:tcPr>
          <w:p w14:paraId="0362AD5D" w14:textId="2E42488A" w:rsidR="00456ADA" w:rsidRDefault="00456ADA" w:rsidP="00AC54DB">
            <w:pPr>
              <w:rPr>
                <w:bCs/>
              </w:rPr>
            </w:pPr>
            <w:r w:rsidRPr="00456ADA">
              <w:rPr>
                <w:bCs/>
              </w:rPr>
              <w:t>RAN2 could not reach consensus without input from SA groups on feasibility of MNO full controllability and full visibility (Note 5) for option 1b and couldn’t reach consensus on the feasibility of UP solution for option 2 and option 3 (Note 7).</w:t>
            </w:r>
          </w:p>
        </w:tc>
      </w:tr>
    </w:tbl>
    <w:p w14:paraId="501BE1AD" w14:textId="77777777" w:rsidR="00456ADA" w:rsidRDefault="00456ADA" w:rsidP="00AC54DB">
      <w:pPr>
        <w:rPr>
          <w:bCs/>
        </w:rPr>
      </w:pPr>
    </w:p>
    <w:p w14:paraId="6C27BBD4" w14:textId="1695B427" w:rsidR="002D25E3" w:rsidRDefault="002D25E3" w:rsidP="00AC54DB">
      <w:pPr>
        <w:rPr>
          <w:bCs/>
        </w:rPr>
      </w:pPr>
      <w:r>
        <w:rPr>
          <w:bCs/>
        </w:rPr>
        <w:t xml:space="preserve">…. </w:t>
      </w:r>
    </w:p>
    <w:tbl>
      <w:tblPr>
        <w:tblStyle w:val="TableGrid"/>
        <w:tblW w:w="0" w:type="auto"/>
        <w:tblLook w:val="04A0" w:firstRow="1" w:lastRow="0" w:firstColumn="1" w:lastColumn="0" w:noHBand="0" w:noVBand="1"/>
      </w:tblPr>
      <w:tblGrid>
        <w:gridCol w:w="9628"/>
      </w:tblGrid>
      <w:tr w:rsidR="00456ADA" w14:paraId="0897DB15" w14:textId="77777777" w:rsidTr="00456ADA">
        <w:tc>
          <w:tcPr>
            <w:tcW w:w="9628" w:type="dxa"/>
          </w:tcPr>
          <w:p w14:paraId="6BD940CD" w14:textId="445D3B80" w:rsidR="00456ADA" w:rsidRDefault="00456ADA" w:rsidP="00AC54DB">
            <w:pPr>
              <w:rPr>
                <w:bCs/>
              </w:rPr>
            </w:pPr>
            <w:r w:rsidRPr="00456ADA">
              <w:rPr>
                <w:bCs/>
                <w:lang w:val="en-US"/>
              </w:rPr>
              <w:t>The standardized solutions for data collection (if standardized) need to meet the requirements above. TSG RAN kindly asks TSG SA to initiate the work and at least for SA2 to provide inputs on solutions 1b, 2, and 3 by RAN#106.</w:t>
            </w:r>
          </w:p>
        </w:tc>
      </w:tr>
    </w:tbl>
    <w:p w14:paraId="3CBA5A97" w14:textId="77777777" w:rsidR="00456ADA" w:rsidRDefault="00456ADA" w:rsidP="00AC54DB">
      <w:pPr>
        <w:rPr>
          <w:bCs/>
        </w:rPr>
      </w:pPr>
    </w:p>
    <w:p w14:paraId="3B197BF8" w14:textId="77777777" w:rsidR="00305143" w:rsidRDefault="00305143" w:rsidP="00AC54DB">
      <w:pPr>
        <w:rPr>
          <w:bCs/>
        </w:rPr>
      </w:pPr>
    </w:p>
    <w:p w14:paraId="5A28F69E" w14:textId="40738D49" w:rsidR="004B2961" w:rsidRDefault="004B2961" w:rsidP="004B2961">
      <w:pPr>
        <w:rPr>
          <w:bCs/>
        </w:rPr>
      </w:pPr>
      <w:r>
        <w:rPr>
          <w:bCs/>
        </w:rPr>
        <w:t>This discussion paper analyse</w:t>
      </w:r>
      <w:r w:rsidR="00456ADA">
        <w:rPr>
          <w:bCs/>
        </w:rPr>
        <w:t>s the status of SA2 discussions</w:t>
      </w:r>
      <w:r w:rsidR="00305143">
        <w:rPr>
          <w:bCs/>
        </w:rPr>
        <w:t xml:space="preserve"> </w:t>
      </w:r>
      <w:r w:rsidR="00456ADA">
        <w:rPr>
          <w:bCs/>
        </w:rPr>
        <w:t xml:space="preserve">and proposes </w:t>
      </w:r>
      <w:r w:rsidR="002D25E3">
        <w:rPr>
          <w:bCs/>
        </w:rPr>
        <w:t>a</w:t>
      </w:r>
      <w:r w:rsidR="00456ADA">
        <w:rPr>
          <w:bCs/>
        </w:rPr>
        <w:t xml:space="preserve"> way forward</w:t>
      </w:r>
      <w:r>
        <w:rPr>
          <w:bCs/>
        </w:rPr>
        <w:t xml:space="preserve">. </w:t>
      </w:r>
    </w:p>
    <w:p w14:paraId="2C7F6B5F" w14:textId="30DFDFBE" w:rsidR="004B2961" w:rsidRPr="00B0552A" w:rsidRDefault="007A353B" w:rsidP="00F628A2">
      <w:pPr>
        <w:pStyle w:val="Heading2"/>
      </w:pPr>
      <w:r>
        <w:t xml:space="preserve">1.1 </w:t>
      </w:r>
      <w:r w:rsidR="004B2961" w:rsidRPr="00B0552A">
        <w:t>D</w:t>
      </w:r>
      <w:r w:rsidR="00305143">
        <w:t xml:space="preserve">iscussion in SA2#165 </w:t>
      </w:r>
      <w:r w:rsidR="004B2961" w:rsidRPr="00B0552A">
        <w:t xml:space="preserve">  </w:t>
      </w:r>
    </w:p>
    <w:p w14:paraId="2DC369D5" w14:textId="15FEA039" w:rsidR="00456ADA" w:rsidRDefault="00456ADA" w:rsidP="00305143">
      <w:pPr>
        <w:rPr>
          <w:bCs/>
        </w:rPr>
      </w:pPr>
      <w:r>
        <w:rPr>
          <w:bCs/>
        </w:rPr>
        <w:t>The input contributions in SA2#165 demonstrated varying interpretation of</w:t>
      </w:r>
      <w:r w:rsidR="004E2189">
        <w:rPr>
          <w:bCs/>
        </w:rPr>
        <w:t xml:space="preserve"> requirements from</w:t>
      </w:r>
      <w:r>
        <w:rPr>
          <w:bCs/>
        </w:rPr>
        <w:t xml:space="preserve"> RAN2. The terminology </w:t>
      </w:r>
      <w:r w:rsidR="004E2189">
        <w:rPr>
          <w:bCs/>
        </w:rPr>
        <w:t>‘</w:t>
      </w:r>
      <w:r>
        <w:rPr>
          <w:bCs/>
        </w:rPr>
        <w:t>full controllability</w:t>
      </w:r>
      <w:r w:rsidR="004E2189">
        <w:rPr>
          <w:bCs/>
        </w:rPr>
        <w:t>’</w:t>
      </w:r>
      <w:r>
        <w:rPr>
          <w:bCs/>
        </w:rPr>
        <w:t xml:space="preserve"> and </w:t>
      </w:r>
      <w:r w:rsidR="004E2189">
        <w:rPr>
          <w:bCs/>
        </w:rPr>
        <w:t>‘</w:t>
      </w:r>
      <w:r>
        <w:rPr>
          <w:bCs/>
        </w:rPr>
        <w:t>full visibility</w:t>
      </w:r>
      <w:r w:rsidR="004E2189">
        <w:rPr>
          <w:bCs/>
        </w:rPr>
        <w:t>’</w:t>
      </w:r>
      <w:r>
        <w:rPr>
          <w:bCs/>
        </w:rPr>
        <w:t xml:space="preserve"> caused confusion among other unclear aspects from these requirements. SA2 agreed on an LS to RAN2 to clarify some of the aspects from RAN2 agreements in SA2#165 (</w:t>
      </w:r>
      <w:hyperlink r:id="rId12" w:history="1">
        <w:r w:rsidRPr="004E2189">
          <w:rPr>
            <w:rStyle w:val="Hyperlink"/>
            <w:bCs/>
          </w:rPr>
          <w:t>S2-</w:t>
        </w:r>
        <w:r w:rsidR="0039160A" w:rsidRPr="004E2189">
          <w:rPr>
            <w:rStyle w:val="Hyperlink"/>
            <w:bCs/>
          </w:rPr>
          <w:t>2411191</w:t>
        </w:r>
      </w:hyperlink>
      <w:r w:rsidR="0039160A">
        <w:rPr>
          <w:bCs/>
        </w:rPr>
        <w:t xml:space="preserve">). </w:t>
      </w:r>
      <w:r>
        <w:rPr>
          <w:bCs/>
        </w:rPr>
        <w:t xml:space="preserve">  </w:t>
      </w:r>
    </w:p>
    <w:p w14:paraId="4A19A2A7" w14:textId="529B7BC1" w:rsidR="00456ADA" w:rsidRDefault="0039160A" w:rsidP="00305143">
      <w:pPr>
        <w:rPr>
          <w:bCs/>
        </w:rPr>
      </w:pPr>
      <w:r>
        <w:rPr>
          <w:bCs/>
        </w:rPr>
        <w:t xml:space="preserve">It is expected that SA2 will receive an early reply from RAN2 during the SA2#166. This discussion paper analyses </w:t>
      </w:r>
      <w:r w:rsidR="005278E1">
        <w:rPr>
          <w:bCs/>
        </w:rPr>
        <w:t>the current state of discussion</w:t>
      </w:r>
      <w:r>
        <w:rPr>
          <w:bCs/>
        </w:rPr>
        <w:t xml:space="preserve"> to </w:t>
      </w:r>
      <w:r w:rsidR="007E029B">
        <w:rPr>
          <w:bCs/>
        </w:rPr>
        <w:t xml:space="preserve">propose a </w:t>
      </w:r>
      <w:r>
        <w:rPr>
          <w:bCs/>
        </w:rPr>
        <w:t xml:space="preserve">way forward in SA2. </w:t>
      </w:r>
    </w:p>
    <w:p w14:paraId="69568332" w14:textId="77777777" w:rsidR="0039160A" w:rsidRDefault="0039160A" w:rsidP="0039160A">
      <w:pPr>
        <w:pStyle w:val="Heading2"/>
      </w:pPr>
      <w:r>
        <w:t xml:space="preserve">1.2 </w:t>
      </w:r>
      <w:r w:rsidR="00305143">
        <w:t>Applicab</w:t>
      </w:r>
      <w:r w:rsidR="00232B61">
        <w:t>i</w:t>
      </w:r>
      <w:r w:rsidR="00305143">
        <w:t xml:space="preserve">lity of Option 1b </w:t>
      </w:r>
      <w:r>
        <w:t xml:space="preserve"> </w:t>
      </w:r>
    </w:p>
    <w:p w14:paraId="14DB2EBB" w14:textId="77777777" w:rsidR="00A83A57" w:rsidRDefault="007E029B" w:rsidP="00305143">
      <w:pPr>
        <w:rPr>
          <w:bCs/>
        </w:rPr>
      </w:pPr>
      <w:r>
        <w:rPr>
          <w:bCs/>
        </w:rPr>
        <w:t>Option 1b is defined as a</w:t>
      </w:r>
      <w:r w:rsidR="00EA205C">
        <w:rPr>
          <w:bCs/>
        </w:rPr>
        <w:t>n application layer data collection scheme. For data collection from the UE, it uses an Application Function (DCAF) that collects data from UE applications.</w:t>
      </w:r>
      <w:r>
        <w:rPr>
          <w:bCs/>
        </w:rPr>
        <w:t xml:space="preserve"> </w:t>
      </w:r>
      <w:r w:rsidR="00EA205C">
        <w:rPr>
          <w:bCs/>
        </w:rPr>
        <w:t xml:space="preserve">The </w:t>
      </w:r>
      <w:r w:rsidR="00A83A57">
        <w:rPr>
          <w:bCs/>
        </w:rPr>
        <w:t xml:space="preserve">data traffic is over the 5G user plane. </w:t>
      </w:r>
    </w:p>
    <w:p w14:paraId="4956811B" w14:textId="5666CD54" w:rsidR="00305143" w:rsidRDefault="00A83A57" w:rsidP="00305143">
      <w:pPr>
        <w:rPr>
          <w:bCs/>
        </w:rPr>
      </w:pPr>
      <w:r>
        <w:rPr>
          <w:bCs/>
        </w:rPr>
        <w:t xml:space="preserve">However, only a customised deployment of </w:t>
      </w:r>
      <w:r w:rsidR="00305143">
        <w:rPr>
          <w:bCs/>
        </w:rPr>
        <w:t xml:space="preserve">option 1b </w:t>
      </w:r>
      <w:r>
        <w:rPr>
          <w:bCs/>
        </w:rPr>
        <w:t xml:space="preserve">can be considered for evaluation against RAN2 requirements of controllability and visibility for MNO. The </w:t>
      </w:r>
      <w:r w:rsidR="00305143">
        <w:rPr>
          <w:bCs/>
        </w:rPr>
        <w:t xml:space="preserve">DCAF </w:t>
      </w:r>
      <w:r>
        <w:rPr>
          <w:bCs/>
        </w:rPr>
        <w:t>has to be deployed in</w:t>
      </w:r>
      <w:r w:rsidR="00305143">
        <w:rPr>
          <w:bCs/>
        </w:rPr>
        <w:t xml:space="preserve"> MNO domain</w:t>
      </w:r>
      <w:r>
        <w:rPr>
          <w:bCs/>
        </w:rPr>
        <w:t>. The limitations imposed by such a deployment (</w:t>
      </w:r>
      <w:r w:rsidR="004418F9">
        <w:rPr>
          <w:bCs/>
        </w:rPr>
        <w:t>various DCAF instances per UE vendor</w:t>
      </w:r>
      <w:r>
        <w:rPr>
          <w:bCs/>
        </w:rPr>
        <w:t xml:space="preserve">) and whether any modifications are required </w:t>
      </w:r>
      <w:r w:rsidR="004418F9">
        <w:rPr>
          <w:bCs/>
        </w:rPr>
        <w:t xml:space="preserve">(e.g., </w:t>
      </w:r>
      <w:r>
        <w:rPr>
          <w:bCs/>
        </w:rPr>
        <w:t>to make this architecture work with different</w:t>
      </w:r>
      <w:r w:rsidR="004418F9">
        <w:rPr>
          <w:bCs/>
        </w:rPr>
        <w:t xml:space="preserve"> vendors) r</w:t>
      </w:r>
      <w:r w:rsidR="00305143">
        <w:rPr>
          <w:bCs/>
        </w:rPr>
        <w:t>equires</w:t>
      </w:r>
      <w:r w:rsidR="004418F9">
        <w:rPr>
          <w:bCs/>
        </w:rPr>
        <w:t xml:space="preserve"> more</w:t>
      </w:r>
      <w:r w:rsidR="00305143">
        <w:rPr>
          <w:bCs/>
        </w:rPr>
        <w:t xml:space="preserve"> study</w:t>
      </w:r>
      <w:r w:rsidR="004418F9">
        <w:rPr>
          <w:bCs/>
        </w:rPr>
        <w:t xml:space="preserve"> in SA2. </w:t>
      </w:r>
    </w:p>
    <w:p w14:paraId="672F541E" w14:textId="7356A292" w:rsidR="004418F9" w:rsidRDefault="004418F9" w:rsidP="004418F9">
      <w:pPr>
        <w:pStyle w:val="Heading2"/>
      </w:pPr>
      <w:r>
        <w:t xml:space="preserve">1.3 </w:t>
      </w:r>
      <w:r w:rsidR="008118F8">
        <w:t xml:space="preserve">User plane approach for </w:t>
      </w:r>
      <w:r>
        <w:t xml:space="preserve">Option 2 </w:t>
      </w:r>
    </w:p>
    <w:p w14:paraId="5ABBCD98" w14:textId="76171739" w:rsidR="008118F8" w:rsidRDefault="004418F9" w:rsidP="00305143">
      <w:pPr>
        <w:rPr>
          <w:bCs/>
        </w:rPr>
      </w:pPr>
      <w:r>
        <w:rPr>
          <w:bCs/>
        </w:rPr>
        <w:t xml:space="preserve">In Option 2, a Network Function in the 5G CN is responsible for collection of data </w:t>
      </w:r>
      <w:r w:rsidR="008118F8">
        <w:rPr>
          <w:bCs/>
        </w:rPr>
        <w:t xml:space="preserve">from the UE </w:t>
      </w:r>
      <w:r>
        <w:rPr>
          <w:bCs/>
        </w:rPr>
        <w:t>and exposure of data outside of MNO domain.</w:t>
      </w:r>
      <w:r w:rsidR="008118F8">
        <w:rPr>
          <w:bCs/>
        </w:rPr>
        <w:t xml:space="preserve"> The request from RAN2 is to provide feasibility analysis of a user plane architecture in this option. The main aspect to analyse is which entity is performing this data collection from the UE. There is no NF with this functionality today. A feasibility analysis becomes impossible when we have to evaluate various candidate NFs that can be made </w:t>
      </w:r>
      <w:r w:rsidR="00D616FE">
        <w:rPr>
          <w:bCs/>
        </w:rPr>
        <w:t>responsible</w:t>
      </w:r>
      <w:r w:rsidR="008118F8">
        <w:rPr>
          <w:bCs/>
        </w:rPr>
        <w:t xml:space="preserve"> for UE data collection.</w:t>
      </w:r>
    </w:p>
    <w:p w14:paraId="3B49D0B5" w14:textId="6634B502" w:rsidR="001D461E" w:rsidRDefault="008118F8" w:rsidP="008118F8">
      <w:pPr>
        <w:pStyle w:val="Heading2"/>
      </w:pPr>
      <w:r>
        <w:t xml:space="preserve">1.4 Mix of control plane and user plane   </w:t>
      </w:r>
      <w:r w:rsidR="004418F9">
        <w:t xml:space="preserve">  </w:t>
      </w:r>
      <w:r w:rsidR="00305143">
        <w:t xml:space="preserve"> </w:t>
      </w:r>
      <w:r w:rsidR="00B22AAE">
        <w:t xml:space="preserve"> </w:t>
      </w:r>
    </w:p>
    <w:p w14:paraId="5A2E9BD3" w14:textId="08B59813" w:rsidR="00305143" w:rsidRPr="00D616FE" w:rsidRDefault="00D616FE" w:rsidP="00305143">
      <w:pPr>
        <w:rPr>
          <w:bCs/>
        </w:rPr>
      </w:pPr>
      <w:r w:rsidRPr="00D616FE">
        <w:rPr>
          <w:bCs/>
        </w:rPr>
        <w:t>Discus</w:t>
      </w:r>
      <w:r>
        <w:rPr>
          <w:bCs/>
        </w:rPr>
        <w:t>sions in SA2#165 also proposed approaches which combines control plane and user plane. One of the possibilities is to provide measurement configuration through control plane, collect data using user plane and further expose data using service based interfaces. Such an approach</w:t>
      </w:r>
      <w:r w:rsidR="00871DB6">
        <w:rPr>
          <w:bCs/>
        </w:rPr>
        <w:t xml:space="preserve"> offers flexibility, but that</w:t>
      </w:r>
      <w:r>
        <w:rPr>
          <w:bCs/>
        </w:rPr>
        <w:t xml:space="preserve"> also needs </w:t>
      </w:r>
      <w:r w:rsidR="00871DB6">
        <w:rPr>
          <w:bCs/>
        </w:rPr>
        <w:t xml:space="preserve">time to </w:t>
      </w:r>
      <w:r>
        <w:rPr>
          <w:bCs/>
        </w:rPr>
        <w:t>study and evaluat</w:t>
      </w:r>
      <w:r w:rsidR="00871DB6">
        <w:rPr>
          <w:bCs/>
        </w:rPr>
        <w:t>e</w:t>
      </w:r>
      <w:r>
        <w:rPr>
          <w:bCs/>
        </w:rPr>
        <w:t xml:space="preserve"> against complexity. </w:t>
      </w:r>
    </w:p>
    <w:p w14:paraId="6F54F541" w14:textId="3EC0EB69" w:rsidR="008118F8" w:rsidRDefault="00D616FE" w:rsidP="00D616FE">
      <w:pPr>
        <w:pStyle w:val="Heading2"/>
      </w:pPr>
      <w:r>
        <w:t xml:space="preserve">1.5 Provisioning data collection requirements from external AFs </w:t>
      </w:r>
    </w:p>
    <w:p w14:paraId="5CE0664A" w14:textId="18134703" w:rsidR="0076638B" w:rsidRPr="00D616FE" w:rsidRDefault="00D616FE" w:rsidP="00305143">
      <w:pPr>
        <w:rPr>
          <w:bCs/>
        </w:rPr>
      </w:pPr>
      <w:r>
        <w:rPr>
          <w:bCs/>
        </w:rPr>
        <w:t xml:space="preserve">The purpose of data collection is to train UE side </w:t>
      </w:r>
      <w:r w:rsidR="002D25E3">
        <w:rPr>
          <w:bCs/>
        </w:rPr>
        <w:t xml:space="preserve">ML </w:t>
      </w:r>
      <w:r>
        <w:rPr>
          <w:bCs/>
        </w:rPr>
        <w:t xml:space="preserve">models. This training is to be performed by an entity external to 3GPP network. The collected data is useful for model training if it is customised according to the requirements from the external entities responsible for model training. </w:t>
      </w:r>
      <w:r w:rsidR="0076638B" w:rsidRPr="00D616FE">
        <w:rPr>
          <w:bCs/>
        </w:rPr>
        <w:t xml:space="preserve">SA2 need to study how to receive requirements from AF (entity responsible for performing training), how to reflect these </w:t>
      </w:r>
      <w:r w:rsidR="00232B61" w:rsidRPr="00D616FE">
        <w:rPr>
          <w:bCs/>
        </w:rPr>
        <w:t>requirements</w:t>
      </w:r>
      <w:r w:rsidR="0076638B" w:rsidRPr="00D616FE">
        <w:rPr>
          <w:bCs/>
        </w:rPr>
        <w:t xml:space="preserve"> to configuration, data collection and reporting</w:t>
      </w:r>
      <w:r>
        <w:rPr>
          <w:bCs/>
        </w:rPr>
        <w:t xml:space="preserve">. </w:t>
      </w:r>
      <w:r w:rsidR="0076638B" w:rsidRPr="00D616FE">
        <w:rPr>
          <w:bCs/>
        </w:rPr>
        <w:t xml:space="preserve"> </w:t>
      </w:r>
    </w:p>
    <w:p w14:paraId="745D4D39" w14:textId="164C53F9" w:rsidR="0076638B" w:rsidRDefault="00D616FE" w:rsidP="00D616FE">
      <w:pPr>
        <w:pStyle w:val="Heading2"/>
      </w:pPr>
      <w:r>
        <w:t xml:space="preserve">1.6 Option 3 </w:t>
      </w:r>
    </w:p>
    <w:p w14:paraId="52DEFE54" w14:textId="761704D8" w:rsidR="0076638B" w:rsidRPr="00D616FE" w:rsidRDefault="00232B61" w:rsidP="00305143">
      <w:pPr>
        <w:rPr>
          <w:bCs/>
        </w:rPr>
      </w:pPr>
      <w:r w:rsidRPr="00D616FE">
        <w:rPr>
          <w:bCs/>
        </w:rPr>
        <w:t>Option 3</w:t>
      </w:r>
      <w:r w:rsidR="004225D5">
        <w:rPr>
          <w:bCs/>
        </w:rPr>
        <w:t xml:space="preserve"> performs data collection using an entity located in the OAM domain. This requires coordination with SA5 to identify the suitable entity that is talking with NG-RAN and the UE to configure measurements and collect data from the UE. </w:t>
      </w:r>
      <w:r w:rsidRPr="00D616FE">
        <w:rPr>
          <w:bCs/>
        </w:rPr>
        <w:t>SA2 ha</w:t>
      </w:r>
      <w:r w:rsidR="004225D5">
        <w:rPr>
          <w:bCs/>
        </w:rPr>
        <w:t>ve</w:t>
      </w:r>
      <w:r w:rsidRPr="00D616FE">
        <w:rPr>
          <w:bCs/>
        </w:rPr>
        <w:t xml:space="preserve"> not </w:t>
      </w:r>
      <w:r w:rsidR="004225D5">
        <w:rPr>
          <w:bCs/>
        </w:rPr>
        <w:t>discussed th</w:t>
      </w:r>
      <w:r w:rsidR="005278E1">
        <w:rPr>
          <w:bCs/>
        </w:rPr>
        <w:t>e</w:t>
      </w:r>
      <w:r w:rsidR="004225D5">
        <w:rPr>
          <w:bCs/>
        </w:rPr>
        <w:t xml:space="preserve"> detail</w:t>
      </w:r>
      <w:r w:rsidR="005278E1">
        <w:rPr>
          <w:bCs/>
        </w:rPr>
        <w:t>s</w:t>
      </w:r>
      <w:r w:rsidRPr="00D616FE">
        <w:rPr>
          <w:bCs/>
        </w:rPr>
        <w:t>.</w:t>
      </w:r>
      <w:r w:rsidR="004225D5">
        <w:rPr>
          <w:bCs/>
        </w:rPr>
        <w:t xml:space="preserve"> </w:t>
      </w:r>
      <w:r w:rsidRPr="00D616FE">
        <w:rPr>
          <w:bCs/>
        </w:rPr>
        <w:t xml:space="preserve"> </w:t>
      </w:r>
    </w:p>
    <w:p w14:paraId="72BC3ACE" w14:textId="35AAF385" w:rsidR="00D616FE" w:rsidRDefault="004225D5" w:rsidP="004225D5">
      <w:pPr>
        <w:pStyle w:val="Heading2"/>
      </w:pPr>
      <w:r>
        <w:t xml:space="preserve">1.7 Other aspects </w:t>
      </w:r>
    </w:p>
    <w:p w14:paraId="6D9F3DB8" w14:textId="5A717D96" w:rsidR="0076638B" w:rsidRDefault="001A4BCD" w:rsidP="00305143">
      <w:pPr>
        <w:rPr>
          <w:bCs/>
        </w:rPr>
      </w:pPr>
      <w:r>
        <w:rPr>
          <w:bCs/>
        </w:rPr>
        <w:t>I</w:t>
      </w:r>
      <w:r>
        <w:rPr>
          <w:bCs/>
        </w:rPr>
        <w:t>t is likely that even with additional inputs from RAN2</w:t>
      </w:r>
      <w:r>
        <w:rPr>
          <w:bCs/>
        </w:rPr>
        <w:t>, some of the questions posed by SA2 to RAN2 may require additional discussion. Th</w:t>
      </w:r>
      <w:r w:rsidR="004225D5">
        <w:rPr>
          <w:bCs/>
        </w:rPr>
        <w:t xml:space="preserve">ese include </w:t>
      </w:r>
      <w:r w:rsidR="0076638B" w:rsidRPr="004225D5">
        <w:rPr>
          <w:bCs/>
        </w:rPr>
        <w:t xml:space="preserve">conditions that may affect full </w:t>
      </w:r>
      <w:r w:rsidR="00232B61" w:rsidRPr="004225D5">
        <w:rPr>
          <w:bCs/>
        </w:rPr>
        <w:t>controllability</w:t>
      </w:r>
      <w:r>
        <w:rPr>
          <w:bCs/>
        </w:rPr>
        <w:t xml:space="preserve"> by MNO,</w:t>
      </w:r>
      <w:r w:rsidR="0076638B" w:rsidRPr="004225D5">
        <w:rPr>
          <w:bCs/>
        </w:rPr>
        <w:t xml:space="preserve"> </w:t>
      </w:r>
      <w:r>
        <w:rPr>
          <w:bCs/>
        </w:rPr>
        <w:t xml:space="preserve">impact on </w:t>
      </w:r>
      <w:r w:rsidR="0076638B" w:rsidRPr="004225D5">
        <w:rPr>
          <w:bCs/>
        </w:rPr>
        <w:t>UE’s normal operations and roaming considerations required</w:t>
      </w:r>
      <w:r w:rsidR="00232B61" w:rsidRPr="004225D5">
        <w:rPr>
          <w:bCs/>
        </w:rPr>
        <w:t xml:space="preserve"> </w:t>
      </w:r>
      <w:r w:rsidR="0076638B" w:rsidRPr="004225D5">
        <w:rPr>
          <w:bCs/>
        </w:rPr>
        <w:t xml:space="preserve">for </w:t>
      </w:r>
      <w:r w:rsidR="004225D5">
        <w:rPr>
          <w:bCs/>
        </w:rPr>
        <w:t>UE data collection</w:t>
      </w:r>
      <w:r w:rsidR="0076638B" w:rsidRPr="004225D5">
        <w:rPr>
          <w:bCs/>
        </w:rPr>
        <w:t>. The</w:t>
      </w:r>
      <w:r w:rsidR="004225D5">
        <w:rPr>
          <w:bCs/>
        </w:rPr>
        <w:t xml:space="preserve"> </w:t>
      </w:r>
      <w:r w:rsidR="0076638B" w:rsidRPr="004225D5">
        <w:rPr>
          <w:bCs/>
        </w:rPr>
        <w:t xml:space="preserve">topics </w:t>
      </w:r>
      <w:r w:rsidR="001B01AD">
        <w:rPr>
          <w:bCs/>
        </w:rPr>
        <w:t>highlight</w:t>
      </w:r>
      <w:r w:rsidR="004225D5">
        <w:rPr>
          <w:bCs/>
        </w:rPr>
        <w:t xml:space="preserve"> </w:t>
      </w:r>
      <w:r w:rsidR="001B01AD">
        <w:rPr>
          <w:bCs/>
        </w:rPr>
        <w:t>the</w:t>
      </w:r>
      <w:r w:rsidR="004225D5">
        <w:rPr>
          <w:bCs/>
        </w:rPr>
        <w:t xml:space="preserve"> need to align</w:t>
      </w:r>
      <w:r>
        <w:rPr>
          <w:bCs/>
        </w:rPr>
        <w:t xml:space="preserve"> across WGs</w:t>
      </w:r>
      <w:r w:rsidR="004225D5">
        <w:rPr>
          <w:bCs/>
        </w:rPr>
        <w:t xml:space="preserve"> </w:t>
      </w:r>
      <w:r>
        <w:rPr>
          <w:bCs/>
        </w:rPr>
        <w:t>to</w:t>
      </w:r>
      <w:r w:rsidR="004225D5">
        <w:rPr>
          <w:bCs/>
        </w:rPr>
        <w:t xml:space="preserve"> define requirements that </w:t>
      </w:r>
      <w:r w:rsidR="00096ACC">
        <w:rPr>
          <w:bCs/>
        </w:rPr>
        <w:t>could have</w:t>
      </w:r>
      <w:r w:rsidR="004225D5">
        <w:rPr>
          <w:bCs/>
        </w:rPr>
        <w:t xml:space="preserve"> a system level impact. </w:t>
      </w:r>
    </w:p>
    <w:p w14:paraId="743AF117" w14:textId="43FA21C9" w:rsidR="004225D5" w:rsidRDefault="008523BF" w:rsidP="008523BF">
      <w:pPr>
        <w:pStyle w:val="Heading2"/>
      </w:pPr>
      <w:r>
        <w:lastRenderedPageBreak/>
        <w:t xml:space="preserve">1.8 </w:t>
      </w:r>
      <w:r w:rsidR="004225D5">
        <w:t xml:space="preserve">Proposals </w:t>
      </w:r>
    </w:p>
    <w:p w14:paraId="0A9CDBD3" w14:textId="53D85B58" w:rsidR="004225D5" w:rsidRDefault="004225D5" w:rsidP="00305143">
      <w:pPr>
        <w:rPr>
          <w:bCs/>
        </w:rPr>
      </w:pPr>
      <w:r>
        <w:rPr>
          <w:bCs/>
        </w:rPr>
        <w:t xml:space="preserve">Considering the status of discussion </w:t>
      </w:r>
      <w:r w:rsidR="004E2189">
        <w:rPr>
          <w:bCs/>
        </w:rPr>
        <w:t>as described</w:t>
      </w:r>
      <w:r>
        <w:rPr>
          <w:bCs/>
        </w:rPr>
        <w:t xml:space="preserve"> above, it </w:t>
      </w:r>
      <w:r w:rsidR="00EC62CF">
        <w:rPr>
          <w:bCs/>
        </w:rPr>
        <w:t xml:space="preserve">is clear that SA2 needs to go into more detailed analysis of options before providing a feasibility analysis that RAN has requested. </w:t>
      </w:r>
    </w:p>
    <w:p w14:paraId="32C2E2E1" w14:textId="648D37EF" w:rsidR="00EC62CF" w:rsidRPr="00EC62CF" w:rsidRDefault="00EC62CF" w:rsidP="00305143">
      <w:pPr>
        <w:rPr>
          <w:b/>
        </w:rPr>
      </w:pPr>
      <w:r w:rsidRPr="00EC62CF">
        <w:rPr>
          <w:b/>
        </w:rPr>
        <w:t xml:space="preserve">Proposal 1: SA2 sends a reply LS to SA#106 indicating the current status of discussions and requesting dedicated study TUs to address the RAN request.   </w:t>
      </w:r>
    </w:p>
    <w:p w14:paraId="7C6FD01C" w14:textId="77777777" w:rsidR="00D616FE" w:rsidRPr="00C15C1A" w:rsidRDefault="00D616FE" w:rsidP="00305143">
      <w:pPr>
        <w:rPr>
          <w:b/>
        </w:rPr>
      </w:pPr>
    </w:p>
    <w:p w14:paraId="3E92F8EF" w14:textId="743B6BDC" w:rsidR="007A353B" w:rsidRDefault="007A353B" w:rsidP="00F628A2">
      <w:pPr>
        <w:pStyle w:val="Heading1"/>
      </w:pPr>
      <w:r>
        <w:t xml:space="preserve">2. Conclusions </w:t>
      </w:r>
    </w:p>
    <w:p w14:paraId="7D495109" w14:textId="77777777" w:rsidR="004225D5" w:rsidRDefault="004225D5" w:rsidP="00305143">
      <w:pPr>
        <w:rPr>
          <w:bCs/>
        </w:rPr>
      </w:pPr>
    </w:p>
    <w:p w14:paraId="52ACCD69" w14:textId="00B6D2C4" w:rsidR="00DF3C60" w:rsidRDefault="007A353B" w:rsidP="009A78AD">
      <w:pPr>
        <w:rPr>
          <w:bCs/>
        </w:rPr>
      </w:pPr>
      <w:r>
        <w:rPr>
          <w:bCs/>
        </w:rPr>
        <w:t xml:space="preserve">It is proposed to </w:t>
      </w:r>
      <w:r w:rsidR="00305143">
        <w:rPr>
          <w:bCs/>
        </w:rPr>
        <w:t xml:space="preserve">send an LS indicating that more TUs are required for studying these options before providing a feasibility report. </w:t>
      </w:r>
      <w:r w:rsidR="0036495B">
        <w:rPr>
          <w:bCs/>
        </w:rPr>
        <w:t xml:space="preserve"> </w:t>
      </w:r>
    </w:p>
    <w:p w14:paraId="343BFE35" w14:textId="2FC90C09" w:rsidR="00EC62CF" w:rsidRPr="00EC62CF" w:rsidRDefault="00EC62CF" w:rsidP="00EC62CF">
      <w:pPr>
        <w:rPr>
          <w:b/>
        </w:rPr>
      </w:pPr>
      <w:r w:rsidRPr="00EC62CF">
        <w:rPr>
          <w:b/>
        </w:rPr>
        <w:t xml:space="preserve">Proposal 1: SA2 sends a reply LS to SA#106 indicating the current status of discussions and requesting dedicated study TUs to address the RAN request. </w:t>
      </w:r>
      <w:r w:rsidR="004E2189">
        <w:rPr>
          <w:b/>
        </w:rPr>
        <w:t xml:space="preserve">A draft is provided in S2-24xxyyy </w:t>
      </w:r>
      <w:r w:rsidRPr="00EC62CF">
        <w:rPr>
          <w:b/>
        </w:rPr>
        <w:t xml:space="preserve">  </w:t>
      </w:r>
    </w:p>
    <w:p w14:paraId="72E4586B" w14:textId="77777777" w:rsidR="00EC62CF" w:rsidRPr="004225D5" w:rsidRDefault="00EC62CF" w:rsidP="009A78AD">
      <w:pPr>
        <w:rPr>
          <w:bCs/>
        </w:rPr>
      </w:pPr>
    </w:p>
    <w:p w14:paraId="188010F4" w14:textId="19220C86" w:rsidR="00F628A2" w:rsidRDefault="00F628A2" w:rsidP="00F628A2">
      <w:pPr>
        <w:pStyle w:val="Heading1"/>
      </w:pPr>
      <w:r>
        <w:t xml:space="preserve">3. </w:t>
      </w:r>
      <w:r w:rsidRPr="006235E2">
        <w:t>References</w:t>
      </w:r>
    </w:p>
    <w:p w14:paraId="532B2193" w14:textId="0358027F" w:rsidR="00F628A2" w:rsidRDefault="00F628A2" w:rsidP="00F628A2">
      <w:r>
        <w:t xml:space="preserve">1. </w:t>
      </w:r>
      <w:hyperlink r:id="rId13" w:history="1">
        <w:r w:rsidRPr="00F628A2">
          <w:rPr>
            <w:rStyle w:val="Hyperlink"/>
          </w:rPr>
          <w:t>S2-2409600</w:t>
        </w:r>
      </w:hyperlink>
      <w:r>
        <w:t xml:space="preserve"> - </w:t>
      </w:r>
      <w:r w:rsidRPr="00F628A2">
        <w:t>LS from TSG RAN: LS on AIML data collection</w:t>
      </w:r>
      <w:r>
        <w:t xml:space="preserve"> </w:t>
      </w:r>
    </w:p>
    <w:p w14:paraId="467E5C16" w14:textId="7BC23057" w:rsidR="006E5727" w:rsidRPr="00DF3C60" w:rsidRDefault="006E5727" w:rsidP="00F628A2">
      <w:r>
        <w:t xml:space="preserve">2. </w:t>
      </w:r>
      <w:hyperlink r:id="rId14" w:history="1">
        <w:r w:rsidRPr="006E5727">
          <w:rPr>
            <w:rStyle w:val="Hyperlink"/>
          </w:rPr>
          <w:t>S2-2411191</w:t>
        </w:r>
      </w:hyperlink>
      <w:r>
        <w:t xml:space="preserve"> – LS to RAN2 </w:t>
      </w:r>
    </w:p>
    <w:sectPr w:rsidR="006E5727" w:rsidRPr="00DF3C6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5F109" w14:textId="77777777" w:rsidR="002D1503" w:rsidRDefault="002D1503">
      <w:r>
        <w:separator/>
      </w:r>
    </w:p>
    <w:p w14:paraId="594CE7AB" w14:textId="77777777" w:rsidR="002D1503" w:rsidRDefault="002D1503"/>
  </w:endnote>
  <w:endnote w:type="continuationSeparator" w:id="0">
    <w:p w14:paraId="6F0D54FF" w14:textId="77777777" w:rsidR="002D1503" w:rsidRDefault="002D1503">
      <w:r>
        <w:continuationSeparator/>
      </w:r>
    </w:p>
    <w:p w14:paraId="6D82B119" w14:textId="77777777" w:rsidR="002D1503" w:rsidRDefault="002D1503"/>
  </w:endnote>
  <w:endnote w:type="continuationNotice" w:id="1">
    <w:p w14:paraId="6F1414D7" w14:textId="77777777" w:rsidR="002D1503" w:rsidRDefault="002D1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A35B2" w14:textId="77777777" w:rsidR="002D1503" w:rsidRDefault="002D1503">
      <w:r>
        <w:separator/>
      </w:r>
    </w:p>
    <w:p w14:paraId="31FADDC2" w14:textId="77777777" w:rsidR="002D1503" w:rsidRDefault="002D1503"/>
  </w:footnote>
  <w:footnote w:type="continuationSeparator" w:id="0">
    <w:p w14:paraId="06F547B1" w14:textId="77777777" w:rsidR="002D1503" w:rsidRDefault="002D1503">
      <w:r>
        <w:continuationSeparator/>
      </w:r>
    </w:p>
    <w:p w14:paraId="0ACBF559" w14:textId="77777777" w:rsidR="002D1503" w:rsidRDefault="002D1503"/>
  </w:footnote>
  <w:footnote w:type="continuationNotice" w:id="1">
    <w:p w14:paraId="28828DD5" w14:textId="77777777" w:rsidR="002D1503" w:rsidRDefault="002D15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1"/>
  </w:num>
  <w:num w:numId="2" w16cid:durableId="546264430">
    <w:abstractNumId w:val="22"/>
  </w:num>
  <w:num w:numId="3" w16cid:durableId="976226586">
    <w:abstractNumId w:val="13"/>
  </w:num>
  <w:num w:numId="4" w16cid:durableId="816263066">
    <w:abstractNumId w:val="20"/>
  </w:num>
  <w:num w:numId="5" w16cid:durableId="1930458234">
    <w:abstractNumId w:val="29"/>
  </w:num>
  <w:num w:numId="6" w16cid:durableId="212472176">
    <w:abstractNumId w:val="39"/>
  </w:num>
  <w:num w:numId="7" w16cid:durableId="60948834">
    <w:abstractNumId w:val="24"/>
  </w:num>
  <w:num w:numId="8" w16cid:durableId="833450075">
    <w:abstractNumId w:val="28"/>
  </w:num>
  <w:num w:numId="9" w16cid:durableId="138305074">
    <w:abstractNumId w:val="33"/>
  </w:num>
  <w:num w:numId="10" w16cid:durableId="1376542618">
    <w:abstractNumId w:val="40"/>
  </w:num>
  <w:num w:numId="11" w16cid:durableId="1798327382">
    <w:abstractNumId w:val="25"/>
  </w:num>
  <w:num w:numId="12" w16cid:durableId="1221402666">
    <w:abstractNumId w:val="10"/>
  </w:num>
  <w:num w:numId="13" w16cid:durableId="1139225555">
    <w:abstractNumId w:val="17"/>
  </w:num>
  <w:num w:numId="14" w16cid:durableId="925386879">
    <w:abstractNumId w:val="26"/>
  </w:num>
  <w:num w:numId="15" w16cid:durableId="2003192033">
    <w:abstractNumId w:val="38"/>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5"/>
  </w:num>
  <w:num w:numId="27" w16cid:durableId="1201014842">
    <w:abstractNumId w:val="36"/>
  </w:num>
  <w:num w:numId="28" w16cid:durableId="20907469">
    <w:abstractNumId w:val="37"/>
  </w:num>
  <w:num w:numId="29" w16cid:durableId="834958855">
    <w:abstractNumId w:val="15"/>
  </w:num>
  <w:num w:numId="30" w16cid:durableId="2118600509">
    <w:abstractNumId w:val="23"/>
  </w:num>
  <w:num w:numId="31" w16cid:durableId="885145315">
    <w:abstractNumId w:val="14"/>
  </w:num>
  <w:num w:numId="32" w16cid:durableId="328557071">
    <w:abstractNumId w:val="21"/>
  </w:num>
  <w:num w:numId="33" w16cid:durableId="525564251">
    <w:abstractNumId w:val="12"/>
  </w:num>
  <w:num w:numId="34" w16cid:durableId="1224827392">
    <w:abstractNumId w:val="27"/>
  </w:num>
  <w:num w:numId="35" w16cid:durableId="1467815605">
    <w:abstractNumId w:val="11"/>
  </w:num>
  <w:num w:numId="36" w16cid:durableId="628360908">
    <w:abstractNumId w:val="16"/>
  </w:num>
  <w:num w:numId="37" w16cid:durableId="138422062">
    <w:abstractNumId w:val="41"/>
  </w:num>
  <w:num w:numId="38" w16cid:durableId="226840274">
    <w:abstractNumId w:val="32"/>
  </w:num>
  <w:num w:numId="39" w16cid:durableId="372073332">
    <w:abstractNumId w:val="18"/>
  </w:num>
  <w:num w:numId="40" w16cid:durableId="1518035842">
    <w:abstractNumId w:val="34"/>
  </w:num>
  <w:num w:numId="41" w16cid:durableId="334654010">
    <w:abstractNumId w:val="30"/>
  </w:num>
  <w:num w:numId="42" w16cid:durableId="36860560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2EAC"/>
    <w:rsid w:val="001A308C"/>
    <w:rsid w:val="001A337D"/>
    <w:rsid w:val="001A3A7D"/>
    <w:rsid w:val="001A3C9B"/>
    <w:rsid w:val="001A3ED0"/>
    <w:rsid w:val="001A3FB4"/>
    <w:rsid w:val="001A4B54"/>
    <w:rsid w:val="001A4BCD"/>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303"/>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2E3"/>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50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8E1"/>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797"/>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CD5"/>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95"/>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0E7"/>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72DF6"/>
    <w:rPr>
      <w:color w:val="000000"/>
      <w:lang w:val="en-GB" w:eastAsia="ja-JP"/>
    </w:rPr>
  </w:style>
  <w:style w:type="character" w:styleId="Strong">
    <w:name w:val="Strong"/>
    <w:uiPriority w:val="22"/>
    <w:qFormat/>
    <w:rsid w:val="004B2961"/>
    <w:rPr>
      <w:b/>
      <w:bCs/>
    </w:rPr>
  </w:style>
  <w:style w:type="character" w:customStyle="1" w:styleId="normaltextrun">
    <w:name w:val="normaltextrun"/>
    <w:basedOn w:val="DefaultParagraphFont"/>
    <w:rsid w:val="004B2961"/>
  </w:style>
  <w:style w:type="character" w:styleId="UnresolvedMention">
    <w:name w:val="Unresolved Mention"/>
    <w:basedOn w:val="DefaultParagraphFont"/>
    <w:uiPriority w:val="99"/>
    <w:semiHidden/>
    <w:unhideWhenUsed/>
    <w:rsid w:val="00F628A2"/>
    <w:rPr>
      <w:color w:val="605E5C"/>
      <w:shd w:val="clear" w:color="auto" w:fill="E1DFDD"/>
    </w:rPr>
  </w:style>
  <w:style w:type="character" w:styleId="FollowedHyperlink">
    <w:name w:val="FollowedHyperlink"/>
    <w:basedOn w:val="DefaultParagraphFont"/>
    <w:rsid w:val="006E57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5_Hyderabad_2024-10/Docs/S2-240960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2/Inbox/S2-241119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meetings_3gpp_sync/SA2/Inbox/S2-241119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3</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34</cp:revision>
  <cp:lastPrinted>2018-08-14T09:59:00Z</cp:lastPrinted>
  <dcterms:created xsi:type="dcterms:W3CDTF">2024-10-01T09:11:00Z</dcterms:created>
  <dcterms:modified xsi:type="dcterms:W3CDTF">2024-11-08T21:12:00Z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