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3410" w14:textId="48487067" w:rsidR="000006E6" w:rsidRDefault="000006E6" w:rsidP="0011288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43E46">
        <w:fldChar w:fldCharType="begin"/>
      </w:r>
      <w:r w:rsidR="00F43E46">
        <w:instrText>DOCPROPERTY  TSG/WGRef  \* MERGEFORMAT</w:instrText>
      </w:r>
      <w:r w:rsidR="00F43E46">
        <w:fldChar w:fldCharType="separate"/>
      </w:r>
      <w:r w:rsidRPr="004B58A2">
        <w:rPr>
          <w:b/>
          <w:noProof/>
          <w:sz w:val="24"/>
        </w:rPr>
        <w:t>RAN WG4</w:t>
      </w:r>
      <w:r w:rsidR="00F43E46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Pr="006B039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="00E47D83">
        <w:rPr>
          <w:b/>
          <w:bCs/>
          <w:sz w:val="24"/>
          <w:szCs w:val="24"/>
        </w:rPr>
        <w:t>1</w:t>
      </w:r>
      <w:r>
        <w:rPr>
          <w:b/>
          <w:i/>
          <w:noProof/>
          <w:sz w:val="28"/>
        </w:rPr>
        <w:tab/>
      </w:r>
      <w:r w:rsidR="00F43E46">
        <w:fldChar w:fldCharType="begin"/>
      </w:r>
      <w:r w:rsidR="00F43E46">
        <w:instrText>DOCPROPERTY  Tdoc#  \* MERGEFORMAT</w:instrText>
      </w:r>
      <w:r w:rsidR="00F43E46">
        <w:fldChar w:fldCharType="separate"/>
      </w:r>
      <w:r w:rsidRPr="000970FF">
        <w:rPr>
          <w:b/>
          <w:noProof/>
          <w:sz w:val="28"/>
        </w:rPr>
        <w:t>R4-2</w:t>
      </w:r>
      <w:r w:rsidR="00F43E46">
        <w:rPr>
          <w:b/>
          <w:noProof/>
          <w:sz w:val="28"/>
        </w:rPr>
        <w:fldChar w:fldCharType="end"/>
      </w:r>
      <w:r>
        <w:rPr>
          <w:b/>
          <w:noProof/>
          <w:sz w:val="28"/>
        </w:rPr>
        <w:t>40</w:t>
      </w:r>
      <w:r w:rsidR="00095C62">
        <w:rPr>
          <w:b/>
          <w:noProof/>
          <w:sz w:val="28"/>
        </w:rPr>
        <w:t>xxxx</w:t>
      </w:r>
    </w:p>
    <w:p w14:paraId="6CD01689" w14:textId="20A7CBF7" w:rsidR="000006E6" w:rsidRDefault="005516F3" w:rsidP="000006E6">
      <w:pPr>
        <w:pStyle w:val="CRCoverPage"/>
        <w:outlineLvl w:val="0"/>
        <w:rPr>
          <w:b/>
          <w:noProof/>
          <w:sz w:val="24"/>
          <w:lang w:eastAsia="zh-CN"/>
        </w:rPr>
      </w:pPr>
      <w:r>
        <w:rPr>
          <w:b/>
          <w:noProof/>
          <w:sz w:val="24"/>
          <w:lang w:eastAsia="zh-CN"/>
        </w:rPr>
        <w:t>Fukuoka</w:t>
      </w:r>
      <w:r w:rsidR="000006E6" w:rsidRPr="002E1580">
        <w:rPr>
          <w:b/>
          <w:noProof/>
          <w:sz w:val="24"/>
          <w:lang w:eastAsia="zh-CN"/>
        </w:rPr>
        <w:t xml:space="preserve">, </w:t>
      </w:r>
      <w:r>
        <w:rPr>
          <w:b/>
          <w:noProof/>
          <w:sz w:val="24"/>
          <w:lang w:eastAsia="zh-CN"/>
        </w:rPr>
        <w:t>JP</w:t>
      </w:r>
      <w:r w:rsidR="000006E6" w:rsidRPr="002E1580">
        <w:rPr>
          <w:b/>
          <w:noProof/>
          <w:sz w:val="24"/>
          <w:lang w:eastAsia="zh-CN"/>
        </w:rPr>
        <w:t xml:space="preserve">, </w:t>
      </w:r>
      <w:r>
        <w:rPr>
          <w:b/>
          <w:noProof/>
          <w:sz w:val="24"/>
          <w:lang w:eastAsia="zh-CN"/>
        </w:rPr>
        <w:t>May</w:t>
      </w:r>
      <w:r w:rsidR="000006E6" w:rsidRPr="002E1580">
        <w:rPr>
          <w:b/>
          <w:noProof/>
          <w:sz w:val="24"/>
          <w:lang w:eastAsia="zh-CN"/>
        </w:rPr>
        <w:t xml:space="preserve"> </w:t>
      </w:r>
      <w:r>
        <w:rPr>
          <w:b/>
          <w:noProof/>
          <w:sz w:val="24"/>
          <w:lang w:eastAsia="zh-CN"/>
        </w:rPr>
        <w:t>20</w:t>
      </w:r>
      <w:r w:rsidR="000006E6" w:rsidRPr="002E1580">
        <w:rPr>
          <w:b/>
          <w:noProof/>
          <w:sz w:val="24"/>
          <w:lang w:eastAsia="zh-CN"/>
        </w:rPr>
        <w:t xml:space="preserve"> – </w:t>
      </w:r>
      <w:r>
        <w:rPr>
          <w:b/>
          <w:noProof/>
          <w:sz w:val="24"/>
          <w:lang w:eastAsia="zh-CN"/>
        </w:rPr>
        <w:t>May</w:t>
      </w:r>
      <w:r w:rsidR="000006E6">
        <w:rPr>
          <w:b/>
          <w:noProof/>
          <w:sz w:val="24"/>
          <w:lang w:eastAsia="zh-CN"/>
        </w:rPr>
        <w:t xml:space="preserve"> </w:t>
      </w:r>
      <w:r>
        <w:rPr>
          <w:b/>
          <w:noProof/>
          <w:sz w:val="24"/>
          <w:lang w:eastAsia="zh-CN"/>
        </w:rPr>
        <w:t>24</w:t>
      </w:r>
      <w:r w:rsidR="000006E6" w:rsidRPr="002E1580">
        <w:rPr>
          <w:b/>
          <w:noProof/>
          <w:sz w:val="24"/>
          <w:lang w:eastAsia="zh-CN"/>
        </w:rPr>
        <w:t>, 202</w:t>
      </w:r>
      <w:r w:rsidR="000006E6">
        <w:rPr>
          <w:b/>
          <w:noProof/>
          <w:sz w:val="24"/>
          <w:lang w:eastAsia="zh-CN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CCC240C" w:rsidR="001E41F3" w:rsidRPr="003635D5" w:rsidRDefault="006264A6" w:rsidP="00E13F3D">
            <w:pPr>
              <w:pStyle w:val="CRCoverPage"/>
              <w:spacing w:after="0"/>
              <w:jc w:val="right"/>
              <w:rPr>
                <w:b/>
                <w:noProof/>
                <w:sz w:val="24"/>
                <w:szCs w:val="24"/>
              </w:rPr>
            </w:pPr>
            <w:r w:rsidRPr="00144EEA">
              <w:fldChar w:fldCharType="begin"/>
            </w:r>
            <w:r>
              <w:instrText xml:space="preserve"> DOCPROPERTY  Spec#  \* MERGEFORMAT </w:instrText>
            </w:r>
            <w:r w:rsidRPr="00144EEA">
              <w:fldChar w:fldCharType="separate"/>
            </w:r>
            <w:r w:rsidRPr="004B58A2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8</w:t>
            </w:r>
            <w:r w:rsidRPr="004B58A2">
              <w:rPr>
                <w:b/>
                <w:noProof/>
                <w:sz w:val="28"/>
              </w:rPr>
              <w:t>.</w:t>
            </w:r>
            <w:r w:rsidRPr="00144EEA">
              <w:rPr>
                <w:b/>
                <w:noProof/>
                <w:sz w:val="28"/>
                <w:szCs w:val="28"/>
              </w:rPr>
              <w:fldChar w:fldCharType="end"/>
            </w:r>
            <w:r>
              <w:rPr>
                <w:b/>
                <w:noProof/>
                <w:sz w:val="28"/>
                <w:szCs w:val="28"/>
              </w:rPr>
              <w:t>751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4696138" w:rsidR="001E41F3" w:rsidRPr="00410371" w:rsidRDefault="000D573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0006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58D6F28" w:rsidR="001E41F3" w:rsidRPr="009764C5" w:rsidRDefault="001F5207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 w:rsidRPr="009764C5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E9D0D27" w:rsidR="001E41F3" w:rsidRPr="00410371" w:rsidRDefault="008A3A1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0330EF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01EA479" w:rsidR="00F25D98" w:rsidRDefault="0062213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829204F" w:rsidR="001E41F3" w:rsidRDefault="00FC3058" w:rsidP="00FC3058">
            <w:pPr>
              <w:pStyle w:val="CRCoverPage"/>
              <w:spacing w:after="0"/>
              <w:rPr>
                <w:noProof/>
              </w:rPr>
            </w:pPr>
            <w:r>
              <w:rPr>
                <w:rFonts w:cs="Arial"/>
                <w:sz w:val="18"/>
                <w:szCs w:val="18"/>
                <w:lang w:val="en-US" w:eastAsia="ja-JP"/>
              </w:rPr>
              <w:t>[</w:t>
            </w:r>
            <w:r w:rsidRPr="00302FBE">
              <w:rPr>
                <w:rFonts w:cs="Arial"/>
                <w:sz w:val="18"/>
                <w:szCs w:val="18"/>
                <w:lang w:val="en-US" w:eastAsia="ja-JP"/>
              </w:rPr>
              <w:t>NR_FR2_multiRX_DL-Perf</w:t>
            </w:r>
            <w:r>
              <w:rPr>
                <w:lang w:val="en-US"/>
              </w:rPr>
              <w:t xml:space="preserve">] </w:t>
            </w:r>
            <w:r w:rsidRPr="003D6079">
              <w:t xml:space="preserve">CR </w:t>
            </w:r>
            <w:r>
              <w:t>to TR38.751 Receiver assumption and conclusions for FR2 multi-Rx demodulation evaluations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776B222" w:rsidR="001E41F3" w:rsidRDefault="000D06D0" w:rsidP="002C76B7">
            <w:pPr>
              <w:pStyle w:val="CRCoverPage"/>
              <w:spacing w:after="0"/>
              <w:rPr>
                <w:noProof/>
              </w:rPr>
            </w:pPr>
            <w:r>
              <w:t>Qualcomm Inc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AC77EC0" w:rsidR="001E41F3" w:rsidRDefault="00547669" w:rsidP="002C76B7">
            <w:pPr>
              <w:pStyle w:val="CRCoverPage"/>
              <w:spacing w:after="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779567F" w:rsidR="001E41F3" w:rsidRPr="002201CB" w:rsidRDefault="002201CB" w:rsidP="0082752D">
            <w:pPr>
              <w:pStyle w:val="CRCoverPage"/>
              <w:spacing w:after="0"/>
              <w:rPr>
                <w:noProof/>
                <w:lang w:val="pt-BR"/>
              </w:rPr>
            </w:pPr>
            <w:r w:rsidRPr="00484E3D">
              <w:rPr>
                <w:rFonts w:cs="Arial"/>
                <w:sz w:val="18"/>
                <w:szCs w:val="18"/>
                <w:lang w:val="pt-BR" w:eastAsia="ja-JP"/>
              </w:rPr>
              <w:t>NR_FR2_multiRX_DL-Perf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2201CB" w:rsidRDefault="001E41F3">
            <w:pPr>
              <w:pStyle w:val="CRCoverPage"/>
              <w:spacing w:after="0"/>
              <w:ind w:right="100"/>
              <w:rPr>
                <w:noProof/>
                <w:lang w:val="pt-BR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7C05A0D" w:rsidR="001E41F3" w:rsidRDefault="002201CB" w:rsidP="002201CB">
            <w:pPr>
              <w:pStyle w:val="CRCoverPage"/>
              <w:spacing w:after="0"/>
              <w:rPr>
                <w:noProof/>
              </w:rPr>
            </w:pPr>
            <w:r>
              <w:t>0</w:t>
            </w:r>
            <w:r w:rsidR="000D3FBA">
              <w:t>5</w:t>
            </w:r>
            <w:r>
              <w:t>/</w:t>
            </w:r>
            <w:r w:rsidR="000D3FBA">
              <w:t>1</w:t>
            </w:r>
            <w:r w:rsidR="00D2777D">
              <w:t>2</w:t>
            </w:r>
            <w:r>
              <w:t>/2024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2201CB" w:rsidRDefault="001E41F3">
            <w:pPr>
              <w:pStyle w:val="CRCoverPage"/>
              <w:spacing w:after="0"/>
              <w:rPr>
                <w:i/>
                <w:iCs/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CD96DCA" w:rsidR="001E41F3" w:rsidRDefault="006961D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1587C03" w:rsidR="001E41F3" w:rsidRPr="002201CB" w:rsidRDefault="002201CB">
            <w:pPr>
              <w:pStyle w:val="CRCoverPage"/>
              <w:spacing w:after="0"/>
              <w:ind w:left="100"/>
              <w:rPr>
                <w:i/>
                <w:iCs/>
                <w:noProof/>
              </w:rPr>
            </w:pPr>
            <w:r w:rsidRPr="002201CB">
              <w:rPr>
                <w:i/>
                <w:iCs/>
              </w:rP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ECCBCF" w14:textId="77777777" w:rsidR="001E41F3" w:rsidRDefault="00D2777D" w:rsidP="00D2777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</w:t>
            </w:r>
            <w:r w:rsidR="003059E9">
              <w:rPr>
                <w:noProof/>
              </w:rPr>
              <w:t xml:space="preserve">It was agreed to </w:t>
            </w:r>
            <w:r w:rsidR="006410A4">
              <w:rPr>
                <w:noProof/>
              </w:rPr>
              <w:t>include</w:t>
            </w:r>
            <w:r w:rsidR="003059E9">
              <w:rPr>
                <w:noProof/>
              </w:rPr>
              <w:t xml:space="preserve"> demodulation evaluations for FR2 multi-Rx</w:t>
            </w:r>
            <w:r w:rsidR="00F424BA">
              <w:rPr>
                <w:noProof/>
              </w:rPr>
              <w:t xml:space="preserve"> in TR38.751 with square brackets</w:t>
            </w:r>
          </w:p>
          <w:p w14:paraId="708AA7DE" w14:textId="68506EFD" w:rsidR="00D2777D" w:rsidRDefault="00D2777D" w:rsidP="00D2777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</w:t>
            </w:r>
            <w:r w:rsidR="00D80ADF">
              <w:rPr>
                <w:noProof/>
              </w:rPr>
              <w:t>Current spec has some formatting issue</w:t>
            </w:r>
            <w:r w:rsidR="00AD661F">
              <w:rPr>
                <w:noProof/>
              </w:rPr>
              <w:t>s</w:t>
            </w:r>
            <w:r w:rsidR="00D80ADF">
              <w:rPr>
                <w:noProof/>
              </w:rPr>
              <w:t xml:space="preserve"> for </w:t>
            </w:r>
            <w:r w:rsidR="00AD661F">
              <w:rPr>
                <w:noProof/>
              </w:rPr>
              <w:t>s</w:t>
            </w:r>
            <w:r w:rsidR="00D80ADF">
              <w:rPr>
                <w:noProof/>
              </w:rPr>
              <w:t>ections 8.3 and 8.4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1EAC5A9" w14:textId="77777777" w:rsidR="001E41F3" w:rsidRDefault="00AD661F" w:rsidP="00AD661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</w:t>
            </w:r>
            <w:r w:rsidR="003059E9">
              <w:rPr>
                <w:noProof/>
              </w:rPr>
              <w:t>Remove square brackets</w:t>
            </w:r>
            <w:r w:rsidR="001838C5">
              <w:rPr>
                <w:noProof/>
              </w:rPr>
              <w:t xml:space="preserve"> (</w:t>
            </w:r>
            <w:r w:rsidR="008F365D">
              <w:rPr>
                <w:noProof/>
              </w:rPr>
              <w:t xml:space="preserve">per </w:t>
            </w:r>
            <w:r w:rsidR="001838C5">
              <w:rPr>
                <w:noProof/>
              </w:rPr>
              <w:t>endorsed draftCR R4-2405934</w:t>
            </w:r>
            <w:r w:rsidR="008F365D">
              <w:rPr>
                <w:noProof/>
              </w:rPr>
              <w:t xml:space="preserve"> from RAN4#110-bis</w:t>
            </w:r>
            <w:r w:rsidR="001838C5">
              <w:rPr>
                <w:noProof/>
              </w:rPr>
              <w:t>)</w:t>
            </w:r>
          </w:p>
          <w:p w14:paraId="31C656EC" w14:textId="76808729" w:rsidR="00AD661F" w:rsidRDefault="00AD661F" w:rsidP="00AD661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-Fix the formatting issue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148F5E6" w:rsidR="001E41F3" w:rsidRDefault="003059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Sqaure brackets will remain in the specfication</w:t>
            </w:r>
            <w:r w:rsidR="00AD661F">
              <w:rPr>
                <w:noProof/>
              </w:rPr>
              <w:t xml:space="preserve"> with uninteded formatting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5B2FF59" w:rsidR="001E41F3" w:rsidRDefault="008D77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8.3, 8.4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DEC6414" w:rsidR="001E41F3" w:rsidRDefault="00C443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46C9665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A7DFC78" w:rsidR="001E41F3" w:rsidRDefault="00C443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39AC4EC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BB69955" w:rsidR="001E41F3" w:rsidRDefault="00C443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13817A90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3E43F2D" w:rsidR="001E41F3" w:rsidRDefault="00463F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Corresponding endorsed draftCR R4-2405934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043DB07" w:rsidR="008863B9" w:rsidRDefault="001F52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of </w:t>
            </w:r>
            <w:fldSimple w:instr="DOCPROPERTY  Tdoc#  \* MERGEFORMAT">
              <w:r w:rsidRPr="001F5207">
                <w:rPr>
                  <w:noProof/>
                </w:rPr>
                <w:t>R4-2</w:t>
              </w:r>
            </w:fldSimple>
            <w:r w:rsidRPr="001F5207">
              <w:rPr>
                <w:noProof/>
              </w:rPr>
              <w:t>408675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C4C9843" w14:textId="56629F17" w:rsidR="00F85FB7" w:rsidRDefault="00F85FB7" w:rsidP="00F85FB7">
      <w:pPr>
        <w:jc w:val="center"/>
        <w:rPr>
          <w:rFonts w:cs="v3.7.0"/>
          <w:b/>
          <w:bCs/>
          <w:color w:val="FF0000"/>
          <w:sz w:val="28"/>
          <w:szCs w:val="28"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lastRenderedPageBreak/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Start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 </w:t>
      </w:r>
      <w:r w:rsidR="00076485">
        <w:rPr>
          <w:rFonts w:cs="v3.7.0"/>
          <w:b/>
          <w:bCs/>
          <w:color w:val="FF0000"/>
          <w:sz w:val="28"/>
          <w:szCs w:val="28"/>
        </w:rPr>
        <w:t>1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---</w:t>
      </w:r>
    </w:p>
    <w:p w14:paraId="5B1094E3" w14:textId="77777777" w:rsidR="00246438" w:rsidRDefault="00246438" w:rsidP="00246438">
      <w:pPr>
        <w:pStyle w:val="Heading2"/>
      </w:pPr>
      <w:bookmarkStart w:id="1" w:name="_Toc162254959"/>
      <w:r>
        <w:t>8.3</w:t>
      </w:r>
      <w:r>
        <w:tab/>
        <w:t>Receiver assumptions</w:t>
      </w:r>
      <w:bookmarkEnd w:id="1"/>
    </w:p>
    <w:p w14:paraId="262C9EB6" w14:textId="3664DFB8" w:rsidR="00246438" w:rsidRPr="00124F62" w:rsidRDefault="00246438" w:rsidP="00246438">
      <w:del w:id="2" w:author="Qualcomm2" w:date="2024-05-20T23:08:00Z">
        <w:r w:rsidDel="005D6FB2">
          <w:delText>[</w:delText>
        </w:r>
      </w:del>
      <w:r w:rsidRPr="00124F62">
        <w:t xml:space="preserve">In this section, we discuss the receiver assumptions for FR2 multi-Rx DL reception. During the demodulation performance evaluation, RAN4 considered two types of receiver designs, namely joint processing and independent </w:t>
      </w:r>
      <w:r>
        <w:t xml:space="preserve">processing </w:t>
      </w:r>
      <w:r w:rsidRPr="00124F62">
        <w:t>per TR</w:t>
      </w:r>
      <w:r>
        <w:t>x</w:t>
      </w:r>
      <w:r w:rsidRPr="00124F62">
        <w:t>P</w:t>
      </w:r>
      <w:r>
        <w:t xml:space="preserve">, i.e., separate </w:t>
      </w:r>
      <w:r w:rsidRPr="00124F62">
        <w:t>processing. In case of joint processing, UE estimates both channels from TR</w:t>
      </w:r>
      <w:r>
        <w:t>x</w:t>
      </w:r>
      <w:r w:rsidRPr="00124F62">
        <w:t>Ps to the Rx chains through orthogonal DMRS antenna ports. The corresponding MMSE coefficients are derived considering the estimated channel</w:t>
      </w:r>
      <w:r>
        <w:t xml:space="preserve">s </w:t>
      </w:r>
      <w:r w:rsidRPr="00124F62">
        <w:t>from both TR</w:t>
      </w:r>
      <w:r>
        <w:t>xPs</w:t>
      </w:r>
      <w:r w:rsidRPr="00124F62">
        <w:t xml:space="preserve"> to UE </w:t>
      </w:r>
      <w:r>
        <w:t>and estimated noise</w:t>
      </w:r>
      <w:r w:rsidRPr="00124F62">
        <w:t xml:space="preserve">. </w:t>
      </w:r>
      <w:r>
        <w:t xml:space="preserve">In case of separate processing, </w:t>
      </w:r>
      <w:r w:rsidRPr="00124F62">
        <w:t>each Rx chain will treat signal received from the corresponding TR</w:t>
      </w:r>
      <w:r>
        <w:t>x</w:t>
      </w:r>
      <w:r w:rsidRPr="00124F62">
        <w:t>P while the signal from the second TR</w:t>
      </w:r>
      <w:r>
        <w:t>x</w:t>
      </w:r>
      <w:r w:rsidRPr="00124F62">
        <w:t>P may be treated as interference. As such, each Rx chain will essentially operate in a single TR</w:t>
      </w:r>
      <w:r>
        <w:t>x</w:t>
      </w:r>
      <w:r w:rsidRPr="00124F62">
        <w:t>P mode as it will receive data only from the intended TR</w:t>
      </w:r>
      <w:r>
        <w:t>x</w:t>
      </w:r>
      <w:r w:rsidRPr="00124F62">
        <w:t>P while being impaired by the interference from the second TR</w:t>
      </w:r>
      <w:r>
        <w:t>x</w:t>
      </w:r>
      <w:r w:rsidRPr="00124F62">
        <w:t>P.</w:t>
      </w:r>
    </w:p>
    <w:p w14:paraId="18D16238" w14:textId="77777777" w:rsidR="00246438" w:rsidRDefault="00246438" w:rsidP="00246438">
      <w:r w:rsidRPr="00124F62">
        <w:t>As the joint processing treats interference from the second TR</w:t>
      </w:r>
      <w:r>
        <w:t>x</w:t>
      </w:r>
      <w:r w:rsidRPr="00124F62">
        <w:t xml:space="preserve">P into constructing the MMSE channel coefficients, it is expected </w:t>
      </w:r>
      <w:r>
        <w:t xml:space="preserve">such an implementation </w:t>
      </w:r>
      <w:r w:rsidRPr="00124F62">
        <w:t xml:space="preserve">will perform better. </w:t>
      </w:r>
      <w:r>
        <w:t>In cases with 2+2 layer configuration certain companies’ simulation results show, that it is not feasible to define requirements with separate processing using cross-talk levels above -12dB, however it may be feasible for joint processing using cross-talk levels at -6dB. In addition, it can be noted that one company provided antenna simulation results indicating high cross talk is a likely scenario. Following these certain results, it may be expected that UEs only supporting separate processing may perform poorly in a fully overlapping 2+2 layer configuration with high cross talk power.</w:t>
      </w:r>
    </w:p>
    <w:p w14:paraId="33B1B75E" w14:textId="77777777" w:rsidR="00246438" w:rsidRDefault="00246438" w:rsidP="00246438">
      <w:r>
        <w:t>D</w:t>
      </w:r>
      <w:r w:rsidRPr="00124F62">
        <w:t xml:space="preserve">isadvantages </w:t>
      </w:r>
      <w:r>
        <w:t>of</w:t>
      </w:r>
      <w:r w:rsidRPr="00124F62">
        <w:t xml:space="preserve"> joint processing</w:t>
      </w:r>
      <w:r>
        <w:t xml:space="preserve"> can also be noted</w:t>
      </w:r>
      <w:r w:rsidRPr="00124F62">
        <w:t xml:space="preserve">. For example, the implementation complexity </w:t>
      </w:r>
      <w:r>
        <w:t xml:space="preserve">for joint processing </w:t>
      </w:r>
      <w:r w:rsidRPr="00124F62">
        <w:t>could be a bottleneck</w:t>
      </w:r>
      <w:r>
        <w:t xml:space="preserve">, where the </w:t>
      </w:r>
      <w:r w:rsidRPr="00124F62">
        <w:t xml:space="preserve">processing </w:t>
      </w:r>
      <w:r>
        <w:t xml:space="preserve">complexity will increase </w:t>
      </w:r>
      <w:r w:rsidRPr="00124F62">
        <w:t>exponential</w:t>
      </w:r>
      <w:r>
        <w:t>ly compared to the independent per TRxP processing as UE needs to estimate the interfering channel for transmission from non-intended TRxP as well as incur additional computational complexity due to higher dimensionality of the received signal</w:t>
      </w:r>
      <w:r w:rsidRPr="00124F62">
        <w:t xml:space="preserve">. Therefore, implementation complexity </w:t>
      </w:r>
      <w:r>
        <w:t>could be a limiting factor for practical implementation</w:t>
      </w:r>
      <w:r w:rsidRPr="00124F62">
        <w:t>.</w:t>
      </w:r>
      <w:r>
        <w:t xml:space="preserve"> </w:t>
      </w:r>
      <w:r w:rsidRPr="00124F62">
        <w:t>Additionally, compared to FR1, FR2 involves a higher aggregated bandwidth, e.g., 800MHz.</w:t>
      </w:r>
      <w:r>
        <w:t>, which may require more processing power.</w:t>
      </w:r>
      <w:r w:rsidRPr="00124F62">
        <w:t xml:space="preserve"> </w:t>
      </w:r>
      <w:r>
        <w:t>In</w:t>
      </w:r>
      <w:r w:rsidRPr="00124F62">
        <w:t xml:space="preserve"> certain implementation</w:t>
      </w:r>
      <w:r>
        <w:t>s</w:t>
      </w:r>
      <w:r w:rsidRPr="00124F62">
        <w:t xml:space="preserve"> of Rx chains</w:t>
      </w:r>
      <w:r>
        <w:t xml:space="preserve">, it </w:t>
      </w:r>
      <w:r w:rsidRPr="00124F62">
        <w:t xml:space="preserve">may not </w:t>
      </w:r>
      <w:r>
        <w:t xml:space="preserve">be possible to fully benefit from </w:t>
      </w:r>
      <w:r w:rsidRPr="00124F62">
        <w:t>joint processing, e.g., w</w:t>
      </w:r>
      <w:r w:rsidRPr="00124F62">
        <w:rPr>
          <w:lang w:val="en-US" w:eastAsia="zh-CN"/>
        </w:rPr>
        <w:t xml:space="preserve">hen Rx chains are placed on the left and right side of the UE. </w:t>
      </w:r>
      <w:r w:rsidRPr="00124F62">
        <w:t>In contrast, separate processing may offer lower implementation complexity with a reasonable performance trade-off</w:t>
      </w:r>
      <w:r>
        <w:t xml:space="preserve"> in case of fully overlapping and a layer combination of 1+1 where in contrast in the case of fully overlapping and a layer combination of 2+2 the gain of joint processing is</w:t>
      </w:r>
      <w:r w:rsidRPr="00C067E9">
        <w:rPr>
          <w:strike/>
        </w:rPr>
        <w:t xml:space="preserve"> </w:t>
      </w:r>
      <w:r w:rsidRPr="002B7ED3">
        <w:t>higher</w:t>
      </w:r>
      <w:r>
        <w:t xml:space="preserve"> and would likely provide a reasonable performance trace-off</w:t>
      </w:r>
      <w:r w:rsidRPr="00124F62">
        <w:t>.</w:t>
      </w:r>
    </w:p>
    <w:p w14:paraId="43D44D64" w14:textId="641C4411" w:rsidR="00246438" w:rsidRDefault="00246438" w:rsidP="00246438">
      <w:r>
        <w:t>When deciding receiver assumptions for demodulation requirements, RAN4 considered several cross-talk levels for initial evaluations. For example, RAN4 observed the following performance deviations between joint and separate processing for mDCI fully-overlapping scenario.</w:t>
      </w:r>
      <w:del w:id="3" w:author="Qualcomm2" w:date="2024-05-20T23:08:00Z">
        <w:r w:rsidDel="005D6FB2">
          <w:delText>]</w:delText>
        </w:r>
      </w:del>
    </w:p>
    <w:p w14:paraId="42A9D0AA" w14:textId="77777777" w:rsidR="00246438" w:rsidRPr="00A73471" w:rsidRDefault="00246438" w:rsidP="00246438">
      <w:pPr>
        <w:pStyle w:val="TH"/>
      </w:pPr>
      <w:r>
        <w:t>Table 1: Performance delta between joint and separate processing for mDCI fully overlapping case.</w:t>
      </w:r>
    </w:p>
    <w:tbl>
      <w:tblPr>
        <w:tblW w:w="7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316"/>
        <w:gridCol w:w="1400"/>
        <w:gridCol w:w="1360"/>
        <w:gridCol w:w="940"/>
        <w:gridCol w:w="1317"/>
      </w:tblGrid>
      <w:tr w:rsidR="00246438" w:rsidRPr="00661997" w14:paraId="0E85F366" w14:textId="77777777" w:rsidTr="00D3082F">
        <w:trPr>
          <w:trHeight w:val="522"/>
          <w:jc w:val="center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B6F3B6" w14:textId="77777777" w:rsidR="00246438" w:rsidRPr="00661997" w:rsidRDefault="00246438" w:rsidP="00100678">
            <w:pPr>
              <w:pStyle w:val="TAH"/>
              <w:rPr>
                <w:lang w:val="en-US"/>
              </w:rPr>
            </w:pPr>
            <w:r w:rsidRPr="00661997">
              <w:rPr>
                <w:lang w:val="en-US"/>
              </w:rPr>
              <w:t>MCS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B03A74" w14:textId="77777777" w:rsidR="00246438" w:rsidRPr="00661997" w:rsidRDefault="00246438" w:rsidP="00100678">
            <w:pPr>
              <w:pStyle w:val="TAH"/>
              <w:rPr>
                <w:lang w:val="en-US"/>
              </w:rPr>
            </w:pPr>
            <w:r w:rsidRPr="00661997">
              <w:rPr>
                <w:lang w:val="en-US"/>
              </w:rPr>
              <w:t>Layer Combination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BF237F" w14:textId="77777777" w:rsidR="00246438" w:rsidRPr="00661997" w:rsidRDefault="00246438" w:rsidP="00100678">
            <w:pPr>
              <w:pStyle w:val="TAH"/>
              <w:rPr>
                <w:lang w:val="en-US"/>
              </w:rPr>
            </w:pPr>
            <w:r w:rsidRPr="00661997">
              <w:rPr>
                <w:lang w:val="en-US"/>
              </w:rPr>
              <w:t>FO for TRP2 (Hz)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C1912E" w14:textId="77777777" w:rsidR="00246438" w:rsidRPr="00661997" w:rsidRDefault="00246438" w:rsidP="00100678">
            <w:pPr>
              <w:pStyle w:val="TAH"/>
              <w:rPr>
                <w:lang w:val="en-US"/>
              </w:rPr>
            </w:pPr>
            <w:r w:rsidRPr="00661997">
              <w:rPr>
                <w:lang w:val="en-US"/>
              </w:rPr>
              <w:t>TO for TRP2 (us)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EB8DF2" w14:textId="77777777" w:rsidR="00246438" w:rsidRPr="00661997" w:rsidRDefault="00246438" w:rsidP="00100678">
            <w:pPr>
              <w:pStyle w:val="TAH"/>
              <w:rPr>
                <w:lang w:val="en-US"/>
              </w:rPr>
            </w:pPr>
            <w:r w:rsidRPr="00661997">
              <w:rPr>
                <w:rFonts w:ascii="Symbol" w:hAnsi="Symbol"/>
                <w:lang w:val="en-US"/>
              </w:rPr>
              <w:t>r</w:t>
            </w:r>
            <w:r w:rsidRPr="00661997">
              <w:rPr>
                <w:lang w:val="en-US"/>
              </w:rPr>
              <w:t xml:space="preserve"> (dB)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B13689" w14:textId="77777777" w:rsidR="00246438" w:rsidRPr="00661997" w:rsidRDefault="00246438" w:rsidP="00100678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Performance delta</w:t>
            </w:r>
          </w:p>
        </w:tc>
      </w:tr>
      <w:tr w:rsidR="00246438" w:rsidRPr="00661997" w14:paraId="63D42EE3" w14:textId="77777777" w:rsidTr="00D3082F">
        <w:trPr>
          <w:trHeight w:val="267"/>
          <w:jc w:val="center"/>
        </w:trPr>
        <w:tc>
          <w:tcPr>
            <w:tcW w:w="920" w:type="dxa"/>
            <w:tcBorders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14:paraId="43D74A6D" w14:textId="77777777" w:rsidR="00246438" w:rsidRPr="00661997" w:rsidRDefault="00246438" w:rsidP="00100678">
            <w:pPr>
              <w:pStyle w:val="TAC"/>
              <w:rPr>
                <w:lang w:val="en-US"/>
              </w:rPr>
            </w:pPr>
            <w:r w:rsidRPr="00661997">
              <w:rPr>
                <w:lang w:val="en-US"/>
              </w:rPr>
              <w:t>17</w:t>
            </w:r>
          </w:p>
        </w:tc>
        <w:tc>
          <w:tcPr>
            <w:tcW w:w="1194" w:type="dxa"/>
            <w:tcBorders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14:paraId="354EFE2E" w14:textId="77777777" w:rsidR="00246438" w:rsidRPr="00661997" w:rsidRDefault="00246438" w:rsidP="00100678">
            <w:pPr>
              <w:pStyle w:val="TAC"/>
              <w:rPr>
                <w:lang w:val="en-US"/>
              </w:rPr>
            </w:pPr>
            <w:r w:rsidRPr="00661997">
              <w:rPr>
                <w:lang w:val="en-US"/>
              </w:rPr>
              <w:t>1+1</w:t>
            </w:r>
          </w:p>
        </w:tc>
        <w:tc>
          <w:tcPr>
            <w:tcW w:w="1400" w:type="dxa"/>
            <w:tcBorders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14:paraId="327A0899" w14:textId="77777777" w:rsidR="00246438" w:rsidRPr="00661997" w:rsidRDefault="00246438" w:rsidP="00100678">
            <w:pPr>
              <w:pStyle w:val="TAC"/>
              <w:rPr>
                <w:lang w:val="en-US"/>
              </w:rPr>
            </w:pPr>
            <w:r w:rsidRPr="00A73471">
              <w:rPr>
                <w:lang w:val="en-US"/>
              </w:rPr>
              <w:t>600</w:t>
            </w:r>
          </w:p>
        </w:tc>
        <w:tc>
          <w:tcPr>
            <w:tcW w:w="1360" w:type="dxa"/>
            <w:tcBorders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14:paraId="0EA89FEA" w14:textId="77777777" w:rsidR="00246438" w:rsidRPr="00661997" w:rsidRDefault="00246438" w:rsidP="00100678">
            <w:pPr>
              <w:pStyle w:val="TAC"/>
              <w:rPr>
                <w:lang w:val="en-US"/>
              </w:rPr>
            </w:pPr>
            <w:r w:rsidRPr="00A73471">
              <w:rPr>
                <w:lang w:val="en-US"/>
              </w:rPr>
              <w:t>-</w:t>
            </w:r>
            <w:r w:rsidRPr="00661997">
              <w:rPr>
                <w:lang w:val="en-US"/>
              </w:rPr>
              <w:t>0</w:t>
            </w:r>
            <w:r w:rsidRPr="00A73471">
              <w:rPr>
                <w:lang w:val="en-US"/>
              </w:rPr>
              <w:t>.0625</w:t>
            </w:r>
          </w:p>
        </w:tc>
        <w:tc>
          <w:tcPr>
            <w:tcW w:w="940" w:type="dxa"/>
            <w:shd w:val="clear" w:color="000000" w:fill="FFFFFF" w:themeFill="background1"/>
            <w:noWrap/>
            <w:vAlign w:val="center"/>
            <w:hideMark/>
          </w:tcPr>
          <w:p w14:paraId="760B8EAC" w14:textId="77777777" w:rsidR="00246438" w:rsidRPr="00661997" w:rsidRDefault="00246438" w:rsidP="00100678">
            <w:pPr>
              <w:pStyle w:val="TAC"/>
              <w:rPr>
                <w:lang w:val="en-US"/>
              </w:rPr>
            </w:pPr>
            <w:r w:rsidRPr="00661997">
              <w:rPr>
                <w:lang w:val="en-US"/>
              </w:rPr>
              <w:t>-15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center"/>
            <w:hideMark/>
          </w:tcPr>
          <w:p w14:paraId="346D654E" w14:textId="77777777" w:rsidR="00246438" w:rsidRPr="00661997" w:rsidRDefault="00246438" w:rsidP="00100678">
            <w:pPr>
              <w:pStyle w:val="TAC"/>
              <w:rPr>
                <w:lang w:val="en-US"/>
              </w:rPr>
            </w:pPr>
            <w:r w:rsidRPr="00A73471">
              <w:rPr>
                <w:lang w:val="en-US"/>
              </w:rPr>
              <w:t>0.4</w:t>
            </w:r>
            <w:r>
              <w:rPr>
                <w:lang w:val="en-US"/>
              </w:rPr>
              <w:t>0</w:t>
            </w:r>
          </w:p>
        </w:tc>
      </w:tr>
      <w:tr w:rsidR="00246438" w:rsidRPr="00661997" w14:paraId="3E16E373" w14:textId="77777777" w:rsidTr="00D3082F">
        <w:trPr>
          <w:trHeight w:val="255"/>
          <w:jc w:val="center"/>
        </w:trPr>
        <w:tc>
          <w:tcPr>
            <w:tcW w:w="920" w:type="dxa"/>
            <w:tcBorders>
              <w:top w:val="nil"/>
              <w:bottom w:val="nil"/>
            </w:tcBorders>
            <w:shd w:val="clear" w:color="000000" w:fill="FFFFFF" w:themeFill="background1"/>
            <w:vAlign w:val="center"/>
            <w:hideMark/>
          </w:tcPr>
          <w:p w14:paraId="5E17943A" w14:textId="77777777" w:rsidR="00246438" w:rsidRPr="00661997" w:rsidRDefault="00246438" w:rsidP="00100678">
            <w:pPr>
              <w:pStyle w:val="TAC"/>
              <w:rPr>
                <w:lang w:val="en-US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000000" w:fill="FFFFFF" w:themeFill="background1"/>
            <w:vAlign w:val="center"/>
            <w:hideMark/>
          </w:tcPr>
          <w:p w14:paraId="499E6623" w14:textId="77777777" w:rsidR="00246438" w:rsidRPr="00661997" w:rsidRDefault="00246438" w:rsidP="00100678">
            <w:pPr>
              <w:pStyle w:val="TAC"/>
              <w:rPr>
                <w:lang w:val="en-US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000000" w:fill="FFFFFF" w:themeFill="background1"/>
            <w:vAlign w:val="center"/>
            <w:hideMark/>
          </w:tcPr>
          <w:p w14:paraId="5CC12A39" w14:textId="77777777" w:rsidR="00246438" w:rsidRPr="00661997" w:rsidRDefault="00246438" w:rsidP="00100678">
            <w:pPr>
              <w:pStyle w:val="TAC"/>
              <w:rPr>
                <w:lang w:val="en-US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000000" w:fill="FFFFFF" w:themeFill="background1"/>
            <w:vAlign w:val="center"/>
            <w:hideMark/>
          </w:tcPr>
          <w:p w14:paraId="797DC0EB" w14:textId="77777777" w:rsidR="00246438" w:rsidRPr="00661997" w:rsidRDefault="00246438" w:rsidP="00100678">
            <w:pPr>
              <w:pStyle w:val="TAC"/>
              <w:rPr>
                <w:lang w:val="en-US"/>
              </w:rPr>
            </w:pPr>
          </w:p>
        </w:tc>
        <w:tc>
          <w:tcPr>
            <w:tcW w:w="940" w:type="dxa"/>
            <w:shd w:val="clear" w:color="000000" w:fill="FFFFFF" w:themeFill="background1"/>
            <w:noWrap/>
            <w:vAlign w:val="center"/>
            <w:hideMark/>
          </w:tcPr>
          <w:p w14:paraId="685EED02" w14:textId="77777777" w:rsidR="00246438" w:rsidRPr="00661997" w:rsidRDefault="00246438" w:rsidP="00100678">
            <w:pPr>
              <w:pStyle w:val="TAC"/>
              <w:rPr>
                <w:lang w:val="en-US"/>
              </w:rPr>
            </w:pPr>
            <w:r w:rsidRPr="00661997">
              <w:rPr>
                <w:lang w:val="en-US"/>
              </w:rPr>
              <w:t>-12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center"/>
            <w:hideMark/>
          </w:tcPr>
          <w:p w14:paraId="1CB74676" w14:textId="77777777" w:rsidR="00246438" w:rsidRPr="00661997" w:rsidRDefault="00246438" w:rsidP="00100678">
            <w:pPr>
              <w:pStyle w:val="TAC"/>
              <w:rPr>
                <w:lang w:val="en-US"/>
              </w:rPr>
            </w:pPr>
            <w:r w:rsidRPr="00A73471">
              <w:rPr>
                <w:lang w:val="en-US"/>
              </w:rPr>
              <w:t>1.1</w:t>
            </w:r>
            <w:r>
              <w:rPr>
                <w:lang w:val="en-US"/>
              </w:rPr>
              <w:t>0</w:t>
            </w:r>
          </w:p>
        </w:tc>
      </w:tr>
      <w:tr w:rsidR="00246438" w:rsidRPr="00661997" w14:paraId="09BD385F" w14:textId="77777777" w:rsidTr="00D3082F">
        <w:trPr>
          <w:trHeight w:val="255"/>
          <w:jc w:val="center"/>
        </w:trPr>
        <w:tc>
          <w:tcPr>
            <w:tcW w:w="920" w:type="dxa"/>
            <w:tcBorders>
              <w:top w:val="nil"/>
              <w:bottom w:val="nil"/>
            </w:tcBorders>
            <w:shd w:val="clear" w:color="000000" w:fill="FFFFFF" w:themeFill="background1"/>
            <w:vAlign w:val="center"/>
            <w:hideMark/>
          </w:tcPr>
          <w:p w14:paraId="0F2090AA" w14:textId="77777777" w:rsidR="00246438" w:rsidRPr="00661997" w:rsidRDefault="00246438" w:rsidP="00100678">
            <w:pPr>
              <w:pStyle w:val="TAC"/>
              <w:rPr>
                <w:lang w:val="en-US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000000" w:fill="FFFFFF" w:themeFill="background1"/>
            <w:vAlign w:val="center"/>
            <w:hideMark/>
          </w:tcPr>
          <w:p w14:paraId="6F5A9416" w14:textId="77777777" w:rsidR="00246438" w:rsidRPr="00661997" w:rsidRDefault="00246438" w:rsidP="00100678">
            <w:pPr>
              <w:pStyle w:val="TAC"/>
              <w:rPr>
                <w:lang w:val="en-US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000000" w:fill="FFFFFF" w:themeFill="background1"/>
            <w:vAlign w:val="center"/>
            <w:hideMark/>
          </w:tcPr>
          <w:p w14:paraId="00EFF107" w14:textId="77777777" w:rsidR="00246438" w:rsidRPr="00661997" w:rsidRDefault="00246438" w:rsidP="00100678">
            <w:pPr>
              <w:pStyle w:val="TAC"/>
              <w:rPr>
                <w:lang w:val="en-US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000000" w:fill="FFFFFF" w:themeFill="background1"/>
            <w:vAlign w:val="center"/>
            <w:hideMark/>
          </w:tcPr>
          <w:p w14:paraId="0FFE55B7" w14:textId="77777777" w:rsidR="00246438" w:rsidRPr="00661997" w:rsidRDefault="00246438" w:rsidP="00100678">
            <w:pPr>
              <w:pStyle w:val="TAC"/>
              <w:rPr>
                <w:lang w:val="en-US"/>
              </w:rPr>
            </w:pPr>
          </w:p>
        </w:tc>
        <w:tc>
          <w:tcPr>
            <w:tcW w:w="940" w:type="dxa"/>
            <w:shd w:val="clear" w:color="000000" w:fill="FFFFFF" w:themeFill="background1"/>
            <w:noWrap/>
            <w:vAlign w:val="center"/>
            <w:hideMark/>
          </w:tcPr>
          <w:p w14:paraId="2B2AFB7D" w14:textId="77777777" w:rsidR="00246438" w:rsidRPr="00661997" w:rsidRDefault="00246438" w:rsidP="00100678">
            <w:pPr>
              <w:pStyle w:val="TAC"/>
              <w:rPr>
                <w:lang w:val="en-US"/>
              </w:rPr>
            </w:pPr>
            <w:r w:rsidRPr="00661997">
              <w:rPr>
                <w:lang w:val="en-US"/>
              </w:rPr>
              <w:t>-9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center"/>
            <w:hideMark/>
          </w:tcPr>
          <w:p w14:paraId="2AFEBD9F" w14:textId="77777777" w:rsidR="00246438" w:rsidRPr="00661997" w:rsidRDefault="00246438" w:rsidP="00100678">
            <w:pPr>
              <w:pStyle w:val="TAC"/>
              <w:rPr>
                <w:lang w:val="en-US"/>
              </w:rPr>
            </w:pPr>
            <w:r w:rsidRPr="00A73471">
              <w:rPr>
                <w:lang w:val="en-US"/>
              </w:rPr>
              <w:t>2.8</w:t>
            </w:r>
            <w:r>
              <w:rPr>
                <w:lang w:val="en-US"/>
              </w:rPr>
              <w:t>0</w:t>
            </w:r>
          </w:p>
        </w:tc>
      </w:tr>
      <w:tr w:rsidR="00246438" w:rsidRPr="00661997" w14:paraId="78AC53E1" w14:textId="77777777" w:rsidTr="00D3082F">
        <w:trPr>
          <w:trHeight w:val="255"/>
          <w:jc w:val="center"/>
        </w:trPr>
        <w:tc>
          <w:tcPr>
            <w:tcW w:w="920" w:type="dxa"/>
            <w:tcBorders>
              <w:top w:val="nil"/>
            </w:tcBorders>
            <w:shd w:val="clear" w:color="000000" w:fill="FFFFFF" w:themeFill="background1"/>
            <w:vAlign w:val="center"/>
          </w:tcPr>
          <w:p w14:paraId="3B2847CD" w14:textId="77777777" w:rsidR="00246438" w:rsidRPr="00661997" w:rsidRDefault="00246438" w:rsidP="00100678">
            <w:pPr>
              <w:pStyle w:val="TAC"/>
              <w:rPr>
                <w:lang w:val="en-US"/>
              </w:rPr>
            </w:pPr>
          </w:p>
        </w:tc>
        <w:tc>
          <w:tcPr>
            <w:tcW w:w="1194" w:type="dxa"/>
            <w:tcBorders>
              <w:top w:val="nil"/>
            </w:tcBorders>
            <w:shd w:val="clear" w:color="000000" w:fill="FFFFFF" w:themeFill="background1"/>
            <w:vAlign w:val="center"/>
          </w:tcPr>
          <w:p w14:paraId="135756E9" w14:textId="77777777" w:rsidR="00246438" w:rsidRPr="00661997" w:rsidRDefault="00246438" w:rsidP="00100678">
            <w:pPr>
              <w:pStyle w:val="TAC"/>
              <w:rPr>
                <w:lang w:val="en-US"/>
              </w:rPr>
            </w:pPr>
          </w:p>
        </w:tc>
        <w:tc>
          <w:tcPr>
            <w:tcW w:w="1400" w:type="dxa"/>
            <w:tcBorders>
              <w:top w:val="nil"/>
            </w:tcBorders>
            <w:shd w:val="clear" w:color="000000" w:fill="FFFFFF" w:themeFill="background1"/>
            <w:vAlign w:val="center"/>
          </w:tcPr>
          <w:p w14:paraId="18ADD2C2" w14:textId="77777777" w:rsidR="00246438" w:rsidRPr="00661997" w:rsidRDefault="00246438" w:rsidP="00100678">
            <w:pPr>
              <w:pStyle w:val="TAC"/>
              <w:rPr>
                <w:lang w:val="en-US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000000" w:fill="FFFFFF" w:themeFill="background1"/>
            <w:vAlign w:val="center"/>
          </w:tcPr>
          <w:p w14:paraId="5F7B1319" w14:textId="77777777" w:rsidR="00246438" w:rsidRPr="00661997" w:rsidRDefault="00246438" w:rsidP="00100678">
            <w:pPr>
              <w:pStyle w:val="TAC"/>
              <w:rPr>
                <w:lang w:val="en-US"/>
              </w:rPr>
            </w:pPr>
          </w:p>
        </w:tc>
        <w:tc>
          <w:tcPr>
            <w:tcW w:w="940" w:type="dxa"/>
            <w:shd w:val="clear" w:color="000000" w:fill="FFFFFF" w:themeFill="background1"/>
            <w:noWrap/>
            <w:vAlign w:val="center"/>
          </w:tcPr>
          <w:p w14:paraId="0F988FE2" w14:textId="77777777" w:rsidR="00246438" w:rsidRPr="00661997" w:rsidRDefault="00246438" w:rsidP="0010067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-6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center"/>
          </w:tcPr>
          <w:p w14:paraId="6AD496DC" w14:textId="77777777" w:rsidR="00246438" w:rsidRPr="00A73471" w:rsidRDefault="00246438" w:rsidP="0010067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2.35</w:t>
            </w:r>
          </w:p>
        </w:tc>
      </w:tr>
      <w:tr w:rsidR="00246438" w:rsidRPr="00A73471" w14:paraId="681DCF76" w14:textId="77777777" w:rsidTr="00D3082F">
        <w:trPr>
          <w:trHeight w:val="360"/>
          <w:jc w:val="center"/>
        </w:trPr>
        <w:tc>
          <w:tcPr>
            <w:tcW w:w="920" w:type="dxa"/>
            <w:tcBorders>
              <w:bottom w:val="nil"/>
            </w:tcBorders>
            <w:vAlign w:val="center"/>
          </w:tcPr>
          <w:p w14:paraId="061AD68D" w14:textId="77777777" w:rsidR="00246438" w:rsidRPr="00A73471" w:rsidRDefault="00246438" w:rsidP="0010067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14:paraId="4EA5A3C8" w14:textId="77777777" w:rsidR="00246438" w:rsidRPr="00A73471" w:rsidRDefault="00246438" w:rsidP="0010067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2+2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14:paraId="43891137" w14:textId="77777777" w:rsidR="00246438" w:rsidRPr="00A73471" w:rsidRDefault="00246438" w:rsidP="0010067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360" w:type="dxa"/>
            <w:tcBorders>
              <w:bottom w:val="nil"/>
            </w:tcBorders>
            <w:vAlign w:val="center"/>
          </w:tcPr>
          <w:p w14:paraId="7C66317C" w14:textId="77777777" w:rsidR="00246438" w:rsidRPr="00A73471" w:rsidRDefault="00246438" w:rsidP="0010067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0.0625</w:t>
            </w:r>
          </w:p>
        </w:tc>
        <w:tc>
          <w:tcPr>
            <w:tcW w:w="940" w:type="dxa"/>
            <w:shd w:val="clear" w:color="000000" w:fill="FFFFFF" w:themeFill="background1"/>
            <w:noWrap/>
            <w:vAlign w:val="center"/>
          </w:tcPr>
          <w:p w14:paraId="77855F53" w14:textId="77777777" w:rsidR="00246438" w:rsidRPr="00A73471" w:rsidRDefault="00246438" w:rsidP="0010067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-15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center"/>
          </w:tcPr>
          <w:p w14:paraId="52A6E7F7" w14:textId="77777777" w:rsidR="00246438" w:rsidRPr="00A73471" w:rsidRDefault="00246438" w:rsidP="0010067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1.05</w:t>
            </w:r>
          </w:p>
        </w:tc>
      </w:tr>
      <w:tr w:rsidR="00246438" w:rsidRPr="00A73471" w14:paraId="282F3E33" w14:textId="77777777" w:rsidTr="00D3082F">
        <w:trPr>
          <w:trHeight w:val="360"/>
          <w:jc w:val="center"/>
        </w:trPr>
        <w:tc>
          <w:tcPr>
            <w:tcW w:w="920" w:type="dxa"/>
            <w:tcBorders>
              <w:top w:val="nil"/>
              <w:bottom w:val="nil"/>
            </w:tcBorders>
            <w:vAlign w:val="center"/>
          </w:tcPr>
          <w:p w14:paraId="5AACCED0" w14:textId="77777777" w:rsidR="00246438" w:rsidRPr="00A73471" w:rsidRDefault="00246438" w:rsidP="00100678">
            <w:pPr>
              <w:pStyle w:val="TAC"/>
              <w:rPr>
                <w:lang w:val="en-US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  <w:vAlign w:val="center"/>
          </w:tcPr>
          <w:p w14:paraId="3286DF73" w14:textId="77777777" w:rsidR="00246438" w:rsidRPr="00A73471" w:rsidRDefault="00246438" w:rsidP="00100678">
            <w:pPr>
              <w:pStyle w:val="TAC"/>
              <w:rPr>
                <w:lang w:val="en-US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14:paraId="7B37091A" w14:textId="77777777" w:rsidR="00246438" w:rsidRPr="00A73471" w:rsidRDefault="00246438" w:rsidP="00100678">
            <w:pPr>
              <w:pStyle w:val="TAC"/>
              <w:rPr>
                <w:lang w:val="en-US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14:paraId="096531D8" w14:textId="77777777" w:rsidR="00246438" w:rsidRPr="00A73471" w:rsidRDefault="00246438" w:rsidP="00100678">
            <w:pPr>
              <w:pStyle w:val="TAC"/>
              <w:rPr>
                <w:lang w:val="en-US"/>
              </w:rPr>
            </w:pPr>
          </w:p>
        </w:tc>
        <w:tc>
          <w:tcPr>
            <w:tcW w:w="940" w:type="dxa"/>
            <w:shd w:val="clear" w:color="000000" w:fill="FFFFFF" w:themeFill="background1"/>
            <w:noWrap/>
            <w:vAlign w:val="center"/>
          </w:tcPr>
          <w:p w14:paraId="0A35E7A4" w14:textId="77777777" w:rsidR="00246438" w:rsidRPr="00A73471" w:rsidRDefault="00246438" w:rsidP="0010067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-12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center"/>
          </w:tcPr>
          <w:p w14:paraId="51042C95" w14:textId="77777777" w:rsidR="00246438" w:rsidRPr="00A73471" w:rsidRDefault="00246438" w:rsidP="0010067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2.45</w:t>
            </w:r>
          </w:p>
        </w:tc>
      </w:tr>
      <w:tr w:rsidR="00246438" w:rsidRPr="00A73471" w14:paraId="124A87FE" w14:textId="77777777" w:rsidTr="00D3082F">
        <w:trPr>
          <w:trHeight w:val="165"/>
          <w:jc w:val="center"/>
        </w:trPr>
        <w:tc>
          <w:tcPr>
            <w:tcW w:w="920" w:type="dxa"/>
            <w:tcBorders>
              <w:top w:val="nil"/>
            </w:tcBorders>
            <w:vAlign w:val="center"/>
          </w:tcPr>
          <w:p w14:paraId="3771FDD9" w14:textId="77777777" w:rsidR="00246438" w:rsidRPr="00A73471" w:rsidRDefault="00246438" w:rsidP="00100678">
            <w:pPr>
              <w:pStyle w:val="TAC"/>
              <w:rPr>
                <w:lang w:val="en-US"/>
              </w:rPr>
            </w:pPr>
          </w:p>
        </w:tc>
        <w:tc>
          <w:tcPr>
            <w:tcW w:w="1194" w:type="dxa"/>
            <w:tcBorders>
              <w:top w:val="nil"/>
            </w:tcBorders>
            <w:vAlign w:val="center"/>
          </w:tcPr>
          <w:p w14:paraId="2B244713" w14:textId="77777777" w:rsidR="00246438" w:rsidRPr="00A73471" w:rsidRDefault="00246438" w:rsidP="00100678">
            <w:pPr>
              <w:pStyle w:val="TAC"/>
              <w:rPr>
                <w:lang w:val="en-US"/>
              </w:rPr>
            </w:pPr>
          </w:p>
        </w:tc>
        <w:tc>
          <w:tcPr>
            <w:tcW w:w="1400" w:type="dxa"/>
            <w:tcBorders>
              <w:top w:val="nil"/>
            </w:tcBorders>
            <w:vAlign w:val="center"/>
          </w:tcPr>
          <w:p w14:paraId="29C76431" w14:textId="77777777" w:rsidR="00246438" w:rsidRPr="00A73471" w:rsidRDefault="00246438" w:rsidP="00100678">
            <w:pPr>
              <w:pStyle w:val="TAC"/>
              <w:rPr>
                <w:lang w:val="en-US"/>
              </w:rPr>
            </w:pPr>
          </w:p>
        </w:tc>
        <w:tc>
          <w:tcPr>
            <w:tcW w:w="1360" w:type="dxa"/>
            <w:tcBorders>
              <w:top w:val="nil"/>
            </w:tcBorders>
            <w:vAlign w:val="center"/>
          </w:tcPr>
          <w:p w14:paraId="615B7FCB" w14:textId="77777777" w:rsidR="00246438" w:rsidRPr="00A73471" w:rsidRDefault="00246438" w:rsidP="00100678">
            <w:pPr>
              <w:pStyle w:val="TAC"/>
              <w:rPr>
                <w:lang w:val="en-US"/>
              </w:rPr>
            </w:pPr>
          </w:p>
        </w:tc>
        <w:tc>
          <w:tcPr>
            <w:tcW w:w="940" w:type="dxa"/>
            <w:shd w:val="clear" w:color="000000" w:fill="FFFFFF" w:themeFill="background1"/>
            <w:noWrap/>
            <w:vAlign w:val="center"/>
          </w:tcPr>
          <w:p w14:paraId="0E428057" w14:textId="77777777" w:rsidR="00246438" w:rsidRPr="00A73471" w:rsidRDefault="00246438" w:rsidP="0010067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-9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center"/>
          </w:tcPr>
          <w:p w14:paraId="28424B2B" w14:textId="77777777" w:rsidR="00246438" w:rsidRPr="00A73471" w:rsidRDefault="00246438" w:rsidP="00100678">
            <w:pPr>
              <w:pStyle w:val="TAC"/>
              <w:rPr>
                <w:lang w:val="en-US"/>
              </w:rPr>
            </w:pPr>
            <w:commentRangeStart w:id="4"/>
            <w:r>
              <w:rPr>
                <w:lang w:val="en-US"/>
              </w:rPr>
              <w:t>3.25</w:t>
            </w:r>
            <w:commentRangeEnd w:id="4"/>
            <w:r w:rsidR="001378DC">
              <w:rPr>
                <w:rStyle w:val="CommentReference"/>
                <w:rFonts w:ascii="Times New Roman" w:hAnsi="Times New Roman"/>
              </w:rPr>
              <w:commentReference w:id="4"/>
            </w:r>
          </w:p>
        </w:tc>
      </w:tr>
    </w:tbl>
    <w:p w14:paraId="28A556AC" w14:textId="54E16267" w:rsidR="00D3082F" w:rsidRDefault="00246438" w:rsidP="00DA1868">
      <w:pPr>
        <w:rPr>
          <w:ins w:id="5" w:author="Qualcomm2" w:date="2024-05-20T23:13:00Z"/>
        </w:rPr>
      </w:pPr>
      <w:del w:id="6" w:author="Qualcomm2" w:date="2024-05-20T23:13:00Z">
        <w:r w:rsidDel="00D3082F">
          <w:delText>[</w:delText>
        </w:r>
      </w:del>
      <w:commentRangeStart w:id="7"/>
      <w:r w:rsidRPr="00D3082F">
        <w:t>In</w:t>
      </w:r>
      <w:commentRangeEnd w:id="7"/>
      <w:r w:rsidR="00F43E46">
        <w:rPr>
          <w:rStyle w:val="CommentReference"/>
        </w:rPr>
        <w:commentReference w:id="7"/>
      </w:r>
      <w:r w:rsidRPr="00D3082F">
        <w:t xml:space="preserve"> the above table, a positive performance delta refers to improvement that is observed due to joint processing at the receiver side. While this is expected that joint processing would perform better especially for fully-overlapping 2+2 cases, other disadvantaged cannot be ignored for practical implementation of such a receiver. With these constraints in mind, it was decided to only consider separate processing for FR2 multi-Rx in Rel-18. More simulation results can be found in [1]</w:t>
      </w:r>
      <w:del w:id="8" w:author="Qualcomm2" w:date="2024-05-20T23:13:00Z">
        <w:r w:rsidDel="00D3082F">
          <w:delText>]</w:delText>
        </w:r>
      </w:del>
      <w:r>
        <w:t>.</w:t>
      </w:r>
      <w:del w:id="9" w:author="Qualcomm2" w:date="2024-05-20T23:13:00Z">
        <w:r w:rsidDel="00D3082F">
          <w:delText>]</w:delText>
        </w:r>
      </w:del>
      <w:bookmarkStart w:id="10" w:name="_Toc162254960"/>
    </w:p>
    <w:p w14:paraId="504FC6CE" w14:textId="5398D161" w:rsidR="00246438" w:rsidRDefault="00246438" w:rsidP="00246438">
      <w:pPr>
        <w:pStyle w:val="Heading2"/>
      </w:pPr>
      <w:r>
        <w:t>8.4</w:t>
      </w:r>
      <w:r>
        <w:tab/>
        <w:t>Conclusions</w:t>
      </w:r>
      <w:bookmarkEnd w:id="10"/>
    </w:p>
    <w:p w14:paraId="690B634F" w14:textId="6BF241C0" w:rsidR="00246438" w:rsidRPr="00246438" w:rsidRDefault="00246438" w:rsidP="00246438">
      <w:del w:id="11" w:author="Qualcomm2" w:date="2024-05-20T23:19:00Z">
        <w:r w:rsidDel="00D2777D">
          <w:delText>[</w:delText>
        </w:r>
      </w:del>
      <w:r>
        <w:t xml:space="preserve">In this section, we discussed the demodulation aspects of FR2 multi-Rx DL reception. In particular, we considered the correlation model as well as the receiver assumptions for this WI. We note that the correlation model captures the </w:t>
      </w:r>
      <w:r>
        <w:lastRenderedPageBreak/>
        <w:t>spatial relationship between two TRPs and UE Rx chains in a compact form, allowing simulations for demodulation performance requirements.</w:t>
      </w:r>
      <w:r w:rsidRPr="00C9498E">
        <w:rPr>
          <w:strike/>
        </w:rPr>
        <w:t xml:space="preserve"> </w:t>
      </w:r>
      <w:r>
        <w:t>With the considered correlation model,</w:t>
      </w:r>
      <w:r w:rsidRPr="00AA1751">
        <w:t xml:space="preserve"> RAN4 studied both joint and separate processing for receiver assumptions</w:t>
      </w:r>
      <w:r>
        <w:t xml:space="preserve"> covering 1+1/2+2 layer combinations with different spatial configurations. To this end, trade-offs around performance and receiver implementation complexity were considered, which led to adoption of separate processing as receiver assumption in Rel-18 with the possibility of introducing joint processing receiver requirements in future releases.</w:t>
      </w:r>
      <w:del w:id="12" w:author="Qualcomm2" w:date="2024-05-20T23:20:00Z">
        <w:r w:rsidDel="00D2777D">
          <w:delText>]</w:delText>
        </w:r>
      </w:del>
    </w:p>
    <w:p w14:paraId="68C9CD36" w14:textId="3F1480E2" w:rsidR="001E41F3" w:rsidRPr="006B332C" w:rsidRDefault="00F85FB7" w:rsidP="00246438">
      <w:pPr>
        <w:jc w:val="center"/>
        <w:rPr>
          <w:rFonts w:cs="v3.7.0"/>
          <w:b/>
          <w:bCs/>
          <w:color w:val="FF0000"/>
          <w:sz w:val="28"/>
          <w:szCs w:val="28"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End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</w:t>
      </w:r>
      <w:r>
        <w:rPr>
          <w:rFonts w:cs="v3.7.0"/>
          <w:b/>
          <w:bCs/>
          <w:color w:val="FF0000"/>
          <w:sz w:val="28"/>
          <w:szCs w:val="28"/>
        </w:rPr>
        <w:t xml:space="preserve"> </w:t>
      </w:r>
      <w:r w:rsidRPr="008D7D64">
        <w:rPr>
          <w:rFonts w:cs="v3.7.0"/>
          <w:b/>
          <w:bCs/>
          <w:color w:val="FF0000"/>
          <w:sz w:val="28"/>
          <w:szCs w:val="28"/>
        </w:rPr>
        <w:t>---</w:t>
      </w:r>
    </w:p>
    <w:sectPr w:rsidR="001E41F3" w:rsidRPr="006B332C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Qualcomm2" w:date="2024-05-21T00:02:00Z" w:initials="MJR">
    <w:p w14:paraId="7306A952" w14:textId="77777777" w:rsidR="001378DC" w:rsidRDefault="001378DC" w:rsidP="001378DC">
      <w:pPr>
        <w:pStyle w:val="CommentText"/>
      </w:pPr>
      <w:r>
        <w:rPr>
          <w:rStyle w:val="CommentReference"/>
        </w:rPr>
        <w:annotationRef/>
      </w:r>
      <w:r>
        <w:t>Changed the background color to white.</w:t>
      </w:r>
    </w:p>
  </w:comment>
  <w:comment w:id="7" w:author="Qualcomm2" w:date="2024-05-21T00:03:00Z" w:initials="MJR">
    <w:p w14:paraId="6BC39DB7" w14:textId="77777777" w:rsidR="00F43E46" w:rsidRDefault="00F43E46" w:rsidP="00F43E46">
      <w:pPr>
        <w:pStyle w:val="CommentText"/>
      </w:pPr>
      <w:r>
        <w:rPr>
          <w:rStyle w:val="CommentReference"/>
        </w:rPr>
        <w:annotationRef/>
      </w:r>
      <w:r>
        <w:t>Changed the font size and inserted a new line before 8.4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06A952" w15:done="0"/>
  <w15:commentEx w15:paraId="6BC39D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50B10C8" w16cex:dateUtc="2024-05-21T07:02:00Z"/>
  <w16cex:commentExtensible w16cex:durableId="51EA3392" w16cex:dateUtc="2024-05-21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06A952" w16cid:durableId="350B10C8"/>
  <w16cid:commentId w16cid:paraId="6BC39DB7" w16cid:durableId="51EA339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1F3B" w14:textId="77777777" w:rsidR="009741B3" w:rsidRDefault="009741B3">
      <w:r>
        <w:separator/>
      </w:r>
    </w:p>
  </w:endnote>
  <w:endnote w:type="continuationSeparator" w:id="0">
    <w:p w14:paraId="6E36DD5F" w14:textId="77777777" w:rsidR="009741B3" w:rsidRDefault="0097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3.7.0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39DA" w14:textId="77777777" w:rsidR="009741B3" w:rsidRDefault="009741B3">
      <w:r>
        <w:separator/>
      </w:r>
    </w:p>
  </w:footnote>
  <w:footnote w:type="continuationSeparator" w:id="0">
    <w:p w14:paraId="09F3FFBC" w14:textId="77777777" w:rsidR="009741B3" w:rsidRDefault="0097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BFA"/>
    <w:multiLevelType w:val="hybridMultilevel"/>
    <w:tmpl w:val="38B01242"/>
    <w:lvl w:ilvl="0" w:tplc="4648AE10">
      <w:start w:val="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4AB41F2"/>
    <w:multiLevelType w:val="hybridMultilevel"/>
    <w:tmpl w:val="7AC07482"/>
    <w:lvl w:ilvl="0" w:tplc="0F6871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939537">
    <w:abstractNumId w:val="0"/>
  </w:num>
  <w:num w:numId="2" w16cid:durableId="177721465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2">
    <w15:presenceInfo w15:providerId="None" w15:userId="Qualcomm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6E6"/>
    <w:rsid w:val="00022E4A"/>
    <w:rsid w:val="000330EF"/>
    <w:rsid w:val="00070E09"/>
    <w:rsid w:val="00076485"/>
    <w:rsid w:val="00095C62"/>
    <w:rsid w:val="000A6394"/>
    <w:rsid w:val="000B7FED"/>
    <w:rsid w:val="000C038A"/>
    <w:rsid w:val="000C6598"/>
    <w:rsid w:val="000D06D0"/>
    <w:rsid w:val="000D3FBA"/>
    <w:rsid w:val="000D44B3"/>
    <w:rsid w:val="000D573E"/>
    <w:rsid w:val="000F6803"/>
    <w:rsid w:val="001378DC"/>
    <w:rsid w:val="00145D43"/>
    <w:rsid w:val="001838C5"/>
    <w:rsid w:val="00192C46"/>
    <w:rsid w:val="001A08B3"/>
    <w:rsid w:val="001A7B60"/>
    <w:rsid w:val="001B52F0"/>
    <w:rsid w:val="001B7A65"/>
    <w:rsid w:val="001C487C"/>
    <w:rsid w:val="001E41F3"/>
    <w:rsid w:val="001F5207"/>
    <w:rsid w:val="002201CB"/>
    <w:rsid w:val="002227A9"/>
    <w:rsid w:val="00246438"/>
    <w:rsid w:val="0026004D"/>
    <w:rsid w:val="002640DD"/>
    <w:rsid w:val="00275D12"/>
    <w:rsid w:val="00284FEB"/>
    <w:rsid w:val="002860C4"/>
    <w:rsid w:val="002B5741"/>
    <w:rsid w:val="002C76B7"/>
    <w:rsid w:val="002E472E"/>
    <w:rsid w:val="00305409"/>
    <w:rsid w:val="003059E9"/>
    <w:rsid w:val="003609EF"/>
    <w:rsid w:val="0036231A"/>
    <w:rsid w:val="003635D5"/>
    <w:rsid w:val="00374DD4"/>
    <w:rsid w:val="00395D67"/>
    <w:rsid w:val="003E1A36"/>
    <w:rsid w:val="00406A8D"/>
    <w:rsid w:val="00410371"/>
    <w:rsid w:val="004242F1"/>
    <w:rsid w:val="00435DEA"/>
    <w:rsid w:val="00463F82"/>
    <w:rsid w:val="00485AEA"/>
    <w:rsid w:val="00495652"/>
    <w:rsid w:val="004A792B"/>
    <w:rsid w:val="004B75B7"/>
    <w:rsid w:val="004C720A"/>
    <w:rsid w:val="005141D9"/>
    <w:rsid w:val="0051580D"/>
    <w:rsid w:val="00535254"/>
    <w:rsid w:val="00547111"/>
    <w:rsid w:val="00547669"/>
    <w:rsid w:val="005516F3"/>
    <w:rsid w:val="00575C50"/>
    <w:rsid w:val="00592D74"/>
    <w:rsid w:val="005C7004"/>
    <w:rsid w:val="005D6FB2"/>
    <w:rsid w:val="005E2C44"/>
    <w:rsid w:val="00621188"/>
    <w:rsid w:val="00622131"/>
    <w:rsid w:val="006257ED"/>
    <w:rsid w:val="006264A6"/>
    <w:rsid w:val="006410A4"/>
    <w:rsid w:val="00653DE4"/>
    <w:rsid w:val="00665117"/>
    <w:rsid w:val="00665C47"/>
    <w:rsid w:val="00695808"/>
    <w:rsid w:val="006961D4"/>
    <w:rsid w:val="006B332C"/>
    <w:rsid w:val="006B46FB"/>
    <w:rsid w:val="006D2603"/>
    <w:rsid w:val="006E21FB"/>
    <w:rsid w:val="00792342"/>
    <w:rsid w:val="007977A8"/>
    <w:rsid w:val="007B512A"/>
    <w:rsid w:val="007C2097"/>
    <w:rsid w:val="007D6A07"/>
    <w:rsid w:val="007F7259"/>
    <w:rsid w:val="008040A8"/>
    <w:rsid w:val="008123A8"/>
    <w:rsid w:val="008178FA"/>
    <w:rsid w:val="0082752D"/>
    <w:rsid w:val="008279FA"/>
    <w:rsid w:val="00831DA2"/>
    <w:rsid w:val="008626E7"/>
    <w:rsid w:val="00870EE7"/>
    <w:rsid w:val="008863B9"/>
    <w:rsid w:val="008A3A1A"/>
    <w:rsid w:val="008A45A6"/>
    <w:rsid w:val="008D3CCC"/>
    <w:rsid w:val="008D7761"/>
    <w:rsid w:val="008F365D"/>
    <w:rsid w:val="008F3789"/>
    <w:rsid w:val="008F686C"/>
    <w:rsid w:val="009148DE"/>
    <w:rsid w:val="00934B97"/>
    <w:rsid w:val="00941E30"/>
    <w:rsid w:val="009531B0"/>
    <w:rsid w:val="00960292"/>
    <w:rsid w:val="009741B3"/>
    <w:rsid w:val="009764C5"/>
    <w:rsid w:val="009777D9"/>
    <w:rsid w:val="00991B88"/>
    <w:rsid w:val="009A356D"/>
    <w:rsid w:val="009A5753"/>
    <w:rsid w:val="009A579D"/>
    <w:rsid w:val="009D784E"/>
    <w:rsid w:val="009E3297"/>
    <w:rsid w:val="009F734F"/>
    <w:rsid w:val="00A246B6"/>
    <w:rsid w:val="00A32C2F"/>
    <w:rsid w:val="00A47E70"/>
    <w:rsid w:val="00A50CF0"/>
    <w:rsid w:val="00A7671C"/>
    <w:rsid w:val="00AA2CBC"/>
    <w:rsid w:val="00AC5820"/>
    <w:rsid w:val="00AD1CD8"/>
    <w:rsid w:val="00AD4560"/>
    <w:rsid w:val="00AD661F"/>
    <w:rsid w:val="00AE66B0"/>
    <w:rsid w:val="00B258BB"/>
    <w:rsid w:val="00B53935"/>
    <w:rsid w:val="00B67B97"/>
    <w:rsid w:val="00B968C8"/>
    <w:rsid w:val="00BA3EC5"/>
    <w:rsid w:val="00BA51D9"/>
    <w:rsid w:val="00BB5DFC"/>
    <w:rsid w:val="00BD279D"/>
    <w:rsid w:val="00BD6BB8"/>
    <w:rsid w:val="00BE166B"/>
    <w:rsid w:val="00C4434B"/>
    <w:rsid w:val="00C66BA2"/>
    <w:rsid w:val="00C870F6"/>
    <w:rsid w:val="00C95985"/>
    <w:rsid w:val="00CC5026"/>
    <w:rsid w:val="00CC68D0"/>
    <w:rsid w:val="00D03F9A"/>
    <w:rsid w:val="00D06D51"/>
    <w:rsid w:val="00D24991"/>
    <w:rsid w:val="00D2777D"/>
    <w:rsid w:val="00D3082F"/>
    <w:rsid w:val="00D50255"/>
    <w:rsid w:val="00D66520"/>
    <w:rsid w:val="00D755BB"/>
    <w:rsid w:val="00D80ADF"/>
    <w:rsid w:val="00D84AE9"/>
    <w:rsid w:val="00D9124E"/>
    <w:rsid w:val="00DA1868"/>
    <w:rsid w:val="00DE34CF"/>
    <w:rsid w:val="00E0338A"/>
    <w:rsid w:val="00E13F3D"/>
    <w:rsid w:val="00E34898"/>
    <w:rsid w:val="00E46A21"/>
    <w:rsid w:val="00E47D83"/>
    <w:rsid w:val="00EB09B7"/>
    <w:rsid w:val="00EE7D7C"/>
    <w:rsid w:val="00F25D98"/>
    <w:rsid w:val="00F300FB"/>
    <w:rsid w:val="00F34C53"/>
    <w:rsid w:val="00F424BA"/>
    <w:rsid w:val="00F43E46"/>
    <w:rsid w:val="00F85FB7"/>
    <w:rsid w:val="00FB4656"/>
    <w:rsid w:val="00FB6386"/>
    <w:rsid w:val="00FC3058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DO NOT USE_h2,h2,h21,H2,Head2A,2,UNDERRUBRIK 1-2,level 2,Heading 2 3GPP,H21,Head 2,l2,TitreProp,Header 2,ITT t2,PA Major Section,Livello 2,R2,Heading 2 Hidden,Head1,2nd level,heading 2,I2,Section Title,Heading2,list2,H2-Heading 2,H2-Heading 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0006E6"/>
    <w:rPr>
      <w:rFonts w:ascii="Arial" w:hAnsi="Arial"/>
      <w:lang w:val="en-GB" w:eastAsia="en-US"/>
    </w:rPr>
  </w:style>
  <w:style w:type="character" w:customStyle="1" w:styleId="Heading2Char">
    <w:name w:val="Heading 2 Char"/>
    <w:aliases w:val="DO NOT USE_h2 Char,h2 Char,h21 Char,H2 Char,Head2A Char,2 Char,UNDERRUBRIK 1-2 Char,level 2 Char,Heading 2 3GPP Char,H21 Char,Head 2 Char,l2 Char,TitreProp Char,Header 2 Char,ITT t2 Char,PA Major Section Char,Livello 2 Char,R2 Char"/>
    <w:basedOn w:val="DefaultParagraphFont"/>
    <w:link w:val="Heading2"/>
    <w:rsid w:val="00F85FB7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96029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246438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24643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46438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3664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6982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Qualcomm2</cp:lastModifiedBy>
  <cp:revision>88</cp:revision>
  <cp:lastPrinted>1900-01-01T08:00:00Z</cp:lastPrinted>
  <dcterms:created xsi:type="dcterms:W3CDTF">2020-02-03T08:32:00Z</dcterms:created>
  <dcterms:modified xsi:type="dcterms:W3CDTF">2024-05-21T07:03:00Z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