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8F485D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w:t>
      </w:r>
      <w:r w:rsidRPr="00FD2426">
        <w:rPr>
          <w:rFonts w:eastAsia="SimSun"/>
          <w:color w:val="000000" w:themeColor="text1"/>
          <w:szCs w:val="24"/>
          <w:lang w:eastAsia="zh-CN"/>
        </w:rPr>
        <w:t>:</w:t>
      </w:r>
      <w:r w:rsidRPr="00FD2426">
        <w:rPr>
          <w:rFonts w:eastAsia="SimSun"/>
          <w:color w:val="000000" w:themeColor="text1"/>
          <w:szCs w:val="24"/>
          <w:lang w:eastAsia="zh-CN"/>
        </w:rPr>
        <w:t xml:space="preserve">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encompass</w:t>
      </w:r>
      <w:r w:rsidRPr="00FD2426">
        <w:rPr>
          <w:color w:val="000000" w:themeColor="text1"/>
          <w:highlight w:val="yellow"/>
        </w:rPr>
        <w:t>es</w:t>
      </w:r>
      <w:r w:rsidRPr="00FD2426">
        <w:rPr>
          <w:color w:val="000000" w:themeColor="text1"/>
        </w:rPr>
        <w:t xml:space="preserve"> a transparent </w:t>
      </w:r>
      <w:r w:rsidRPr="00FD2426">
        <w:rPr>
          <w:color w:val="000000" w:themeColor="text1"/>
          <w:highlight w:val="yellow"/>
        </w:rPr>
        <w:t>or regenerative</w:t>
      </w:r>
      <w:r w:rsidRPr="00FD2426">
        <w:rPr>
          <w:color w:val="000000" w:themeColor="text1"/>
        </w:rPr>
        <w:t xml:space="preserve">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w:t>
      </w:r>
      <w:r w:rsidRPr="00FD2426">
        <w:rPr>
          <w:rFonts w:eastAsia="SimSun"/>
          <w:color w:val="000000" w:themeColor="text1"/>
          <w:szCs w:val="24"/>
          <w:lang w:eastAsia="zh-CN"/>
        </w:rPr>
        <w:t>:</w:t>
      </w:r>
      <w:r w:rsidRPr="00FD2426">
        <w:rPr>
          <w:rFonts w:eastAsia="SimSun"/>
          <w:color w:val="000000" w:themeColor="text1"/>
          <w:szCs w:val="24"/>
          <w:lang w:eastAsia="zh-CN"/>
        </w:rPr>
        <w:t xml:space="preserve">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w:t>
      </w:r>
      <w:r w:rsidRPr="00FD2426">
        <w:rPr>
          <w:rFonts w:eastAsia="SimSun"/>
          <w:color w:val="000000" w:themeColor="text1"/>
          <w:szCs w:val="24"/>
          <w:lang w:eastAsia="zh-CN"/>
        </w:rPr>
        <w:t>:</w:t>
      </w:r>
      <w:r w:rsidRPr="00FD2426">
        <w:rPr>
          <w:rFonts w:eastAsia="SimSun"/>
          <w:color w:val="000000" w:themeColor="text1"/>
          <w:szCs w:val="24"/>
          <w:lang w:eastAsia="zh-CN"/>
        </w:rPr>
        <w:t xml:space="preserve"> </w:t>
      </w:r>
      <w:r w:rsidRPr="00FD2426">
        <w:rPr>
          <w:rFonts w:eastAsia="SimSun"/>
          <w:color w:val="000000" w:themeColor="text1"/>
          <w:szCs w:val="24"/>
          <w:lang w:eastAsia="zh-CN"/>
        </w:rPr>
        <w:t>TS 38.101-5 and TS 38.181 (scope, definitions, SAN figures) to be aligned with modifications related to introduction of regenerative payload in TS 38.108.</w:t>
      </w:r>
      <w:r w:rsidRPr="00FD2426">
        <w:rPr>
          <w:rFonts w:eastAsia="SimSun"/>
          <w:color w:val="000000" w:themeColor="text1"/>
          <w:szCs w:val="24"/>
          <w:lang w:eastAsia="zh-CN"/>
        </w:rPr>
        <w:t xml:space="preserve">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w:t>
      </w:r>
      <w:r w:rsidRPr="00FD2426">
        <w:rPr>
          <w:rFonts w:ascii="Arial" w:hAnsi="Arial" w:cs="Arial"/>
          <w:color w:val="000000" w:themeColor="text1"/>
          <w:sz w:val="18"/>
          <w:szCs w:val="18"/>
        </w:rPr>
        <w:t>m</w:t>
      </w:r>
      <w:r w:rsidRPr="00FD2426">
        <w:rPr>
          <w:rFonts w:ascii="Arial" w:hAnsi="Arial" w:cs="Arial"/>
          <w:color w:val="000000" w:themeColor="text1"/>
          <w:sz w:val="18"/>
          <w:szCs w:val="18"/>
        </w:rPr>
        <w:t xml:space="preserve">aintenance </w:t>
      </w:r>
      <w:r w:rsidRPr="00FD2426">
        <w:rPr>
          <w:rFonts w:ascii="Arial" w:hAnsi="Arial" w:cs="Arial"/>
          <w:color w:val="000000" w:themeColor="text1"/>
          <w:sz w:val="18"/>
          <w:szCs w:val="18"/>
        </w:rPr>
        <w:t>A</w:t>
      </w:r>
      <w:r w:rsidRPr="00FD2426">
        <w:rPr>
          <w:rFonts w:ascii="Arial" w:hAnsi="Arial" w:cs="Arial"/>
          <w:color w:val="000000" w:themeColor="text1"/>
          <w:sz w:val="18"/>
          <w:szCs w:val="18"/>
        </w:rPr>
        <w:t>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2AD9D03A" w14:textId="7FE0D34A" w:rsidR="00FD2426" w:rsidRPr="00FD2426" w:rsidRDefault="00FA7F20"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Agreement</w:t>
      </w:r>
      <w:r w:rsidRPr="00FD2426">
        <w:rPr>
          <w:rFonts w:eastAsia="SimSun"/>
          <w:color w:val="000000" w:themeColor="text1"/>
          <w:szCs w:val="24"/>
          <w:lang w:eastAsia="zh-CN"/>
        </w:rPr>
        <w:t>:</w:t>
      </w:r>
      <w:r w:rsidRPr="00FD2426">
        <w:rPr>
          <w:rFonts w:eastAsia="SimSun"/>
          <w:color w:val="000000" w:themeColor="text1"/>
          <w:szCs w:val="24"/>
          <w:lang w:eastAsia="zh-CN"/>
        </w:rPr>
        <w:t xml:space="preserve"> companies to clarify and confirm “transient time” value for </w:t>
      </w:r>
      <w:r w:rsidR="00FD2426" w:rsidRPr="00FD2426">
        <w:rPr>
          <w:rFonts w:eastAsia="SimSun"/>
          <w:color w:val="000000" w:themeColor="text1"/>
          <w:szCs w:val="24"/>
          <w:lang w:eastAsia="zh-CN"/>
        </w:rPr>
        <w:t xml:space="preserve">SAN beam hopping in </w:t>
      </w:r>
      <w:r w:rsidRPr="00FD2426">
        <w:rPr>
          <w:rFonts w:eastAsia="SimSun"/>
          <w:color w:val="000000" w:themeColor="text1"/>
          <w:szCs w:val="24"/>
          <w:lang w:eastAsia="zh-CN"/>
        </w:rPr>
        <w:t>DL coverage enhancements for both FR1 and FR2.</w:t>
      </w:r>
      <w:r w:rsidR="00FD2426" w:rsidRPr="00FD2426">
        <w:rPr>
          <w:rFonts w:eastAsia="SimSun"/>
          <w:color w:val="000000" w:themeColor="text1"/>
          <w:szCs w:val="24"/>
          <w:lang w:eastAsia="zh-CN"/>
        </w:rPr>
        <w:t xml:space="preserve"> If transient time is of the order of 100ns, the current understanding is that is not a need to define any specific requirement for Rel-19 specification.</w:t>
      </w:r>
    </w:p>
    <w:p w14:paraId="3D79D55F" w14:textId="4EEE89F6" w:rsidR="00FD2426" w:rsidRPr="00FD2426" w:rsidRDefault="00FD2426"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 xml:space="preserve">NOTE1: </w:t>
      </w:r>
      <w:r w:rsidR="00FA7F20" w:rsidRPr="00FD2426">
        <w:rPr>
          <w:color w:val="000000" w:themeColor="text1"/>
          <w:lang w:eastAsia="x-none"/>
        </w:rPr>
        <w:t>For NR NTN Rel-19 DL coverage evaluation, a value of beam steering latency equal to zero at least if SAN phase array antenna is assumed. Values different from zero beam steering latency can be optionally reported by companies</w:t>
      </w:r>
      <w:r w:rsidRPr="00FD2426">
        <w:rPr>
          <w:color w:val="000000" w:themeColor="text1"/>
          <w:lang w:eastAsia="x-none"/>
        </w:rPr>
        <w:t xml:space="preserve"> if any potential issue identified</w:t>
      </w:r>
      <w:r w:rsidR="00FA7F20" w:rsidRPr="00FD2426">
        <w:rPr>
          <w:color w:val="000000" w:themeColor="text1"/>
          <w:lang w:eastAsia="x-none"/>
        </w:rPr>
        <w:t>.</w:t>
      </w:r>
    </w:p>
    <w:p w14:paraId="529769E5" w14:textId="05FB7136" w:rsidR="00FA7F20" w:rsidRPr="00FD2426" w:rsidRDefault="00FA7F20" w:rsidP="00FD2426">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D2426">
        <w:rPr>
          <w:color w:val="000000" w:themeColor="text1"/>
          <w:lang w:eastAsia="x-none"/>
        </w:rPr>
        <w:t>NOTE</w:t>
      </w:r>
      <w:r w:rsidR="00FD2426" w:rsidRPr="00FD2426">
        <w:rPr>
          <w:color w:val="000000" w:themeColor="text1"/>
          <w:lang w:eastAsia="x-none"/>
        </w:rPr>
        <w:t>2</w:t>
      </w:r>
      <w:r w:rsidRPr="00FD2426">
        <w:rPr>
          <w:color w:val="000000" w:themeColor="text1"/>
          <w:lang w:eastAsia="x-none"/>
        </w:rPr>
        <w:t xml:space="preserve">: Other implementation with </w:t>
      </w:r>
      <w:proofErr w:type="spellStart"/>
      <w:r w:rsidRPr="00FD2426">
        <w:rPr>
          <w:color w:val="000000" w:themeColor="text1"/>
          <w:lang w:eastAsia="x-none"/>
        </w:rPr>
        <w:t>analog</w:t>
      </w:r>
      <w:proofErr w:type="spellEnd"/>
      <w:r w:rsidRPr="00FD2426">
        <w:rPr>
          <w:color w:val="000000" w:themeColor="text1"/>
          <w:lang w:eastAsia="x-none"/>
        </w:rPr>
        <w:t xml:space="preserve"> beam steering technologies </w:t>
      </w:r>
      <w:proofErr w:type="gramStart"/>
      <w:r w:rsidRPr="00FD2426">
        <w:rPr>
          <w:color w:val="000000" w:themeColor="text1"/>
          <w:lang w:eastAsia="x-none"/>
        </w:rPr>
        <w:t>are</w:t>
      </w:r>
      <w:proofErr w:type="gramEnd"/>
      <w:r w:rsidRPr="00FD2426">
        <w:rPr>
          <w:color w:val="000000" w:themeColor="text1"/>
          <w:lang w:eastAsia="x-none"/>
        </w:rPr>
        <w:t xml:space="preserve"> not precluded. Companies to further discuss if </w:t>
      </w:r>
      <w:proofErr w:type="spellStart"/>
      <w:r w:rsidRPr="00FD2426">
        <w:rPr>
          <w:color w:val="000000" w:themeColor="text1"/>
          <w:lang w:eastAsia="x-none"/>
        </w:rPr>
        <w:t>analog</w:t>
      </w:r>
      <w:proofErr w:type="spellEnd"/>
      <w:r w:rsidRPr="00FD2426">
        <w:rPr>
          <w:color w:val="000000" w:themeColor="text1"/>
          <w:lang w:eastAsia="x-none"/>
        </w:rPr>
        <w:t>/digital antenna assumptions and for which FR1/FR2 implementations.</w:t>
      </w:r>
    </w:p>
    <w:p w14:paraId="7C4D1BBA" w14:textId="4193EC0D" w:rsidR="00FD2426" w:rsidRPr="00FD2426" w:rsidRDefault="00FD2426"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r w:rsidRPr="00FD2426">
        <w:rPr>
          <w:rFonts w:eastAsia="SimSun"/>
          <w:color w:val="000000" w:themeColor="text1"/>
          <w:szCs w:val="24"/>
          <w:lang w:eastAsia="zh-CN"/>
        </w:rPr>
        <w:t>Working hypothesis</w:t>
      </w:r>
      <w:r w:rsidRPr="00FD2426">
        <w:rPr>
          <w:rFonts w:eastAsia="SimSun"/>
          <w:color w:val="000000" w:themeColor="text1"/>
          <w:szCs w:val="24"/>
          <w:lang w:eastAsia="zh-CN"/>
        </w:rPr>
        <w:t xml:space="preserve">: </w:t>
      </w:r>
      <w:r w:rsidRPr="00FD2426">
        <w:rPr>
          <w:rFonts w:eastAsia="SimSun"/>
          <w:color w:val="000000" w:themeColor="text1"/>
          <w:szCs w:val="24"/>
          <w:lang w:eastAsia="zh-CN"/>
        </w:rPr>
        <w:t xml:space="preserve">PA always on, </w:t>
      </w:r>
      <w:r>
        <w:rPr>
          <w:rFonts w:eastAsia="SimSun"/>
          <w:color w:val="000000" w:themeColor="text1"/>
          <w:szCs w:val="24"/>
          <w:lang w:eastAsia="zh-CN"/>
        </w:rPr>
        <w:t xml:space="preserve">phase shift (pre-)reconfiguration to perform beam-hopping. </w:t>
      </w: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RDefault="006A602B" w:rsidP="00CB600F">
      <w:pPr>
        <w:rPr>
          <w:rFonts w:eastAsiaTheme="minorEastAsia"/>
          <w:b/>
          <w:lang w:eastAsia="zh-CN"/>
        </w:rPr>
      </w:pPr>
    </w:p>
    <w:p w14:paraId="07985DC1"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lastRenderedPageBreak/>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Ericsson:  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r>
        <w:rPr>
          <w:color w:val="000000" w:themeColor="text1"/>
        </w:rPr>
        <w:t>SAN performs b</w:t>
      </w:r>
      <w:r w:rsidRPr="00021817">
        <w:rPr>
          <w:color w:val="000000" w:themeColor="text1"/>
        </w:rPr>
        <w:t xml:space="preserve">eam hopping. The satellite is always transmitting, just not able to illuminate all beams at the same time. Other </w:t>
      </w:r>
      <w:r w:rsidRPr="00021817">
        <w:rPr>
          <w:color w:val="000000" w:themeColor="text1"/>
        </w:rPr>
        <w:t>implementations</w:t>
      </w:r>
      <w:r w:rsidRPr="00021817">
        <w:rPr>
          <w:color w:val="000000" w:themeColor="text1"/>
        </w:rPr>
        <w:t xml:space="preserve"> might be different.</w:t>
      </w:r>
    </w:p>
    <w:p w14:paraId="11996F1A" w14:textId="77777777" w:rsidR="00021817" w:rsidRPr="00021817" w:rsidRDefault="00021817" w:rsidP="00021817">
      <w:pPr>
        <w:rPr>
          <w:color w:val="000000" w:themeColor="text1"/>
        </w:rPr>
      </w:pPr>
      <w:r w:rsidRPr="00021817">
        <w:rPr>
          <w:color w:val="000000" w:themeColor="text1"/>
        </w:rPr>
        <w:t>Huawei:  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Thales:  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ZTE:  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t xml:space="preserve">Ericsson: Whether we need a requirement depends on the expected value. Whether such switching delay will cause a system problem.  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Thales:  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lastRenderedPageBreak/>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Ericsson:  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Samsung:  RAN1 has not developed a solution for DL coverage enhancements. They have only agreed initial simulation parameters.  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w:t>
      </w:r>
      <w:r w:rsidRPr="00021817">
        <w:rPr>
          <w:color w:val="000000" w:themeColor="text1"/>
        </w:rPr>
        <w:t>synchronization</w:t>
      </w:r>
      <w:r w:rsidRPr="00021817">
        <w:rPr>
          <w:color w:val="000000" w:themeColor="text1"/>
        </w:rPr>
        <w:t xml:space="preserve">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 xml:space="preserve">Inmarsat: This is present also in Rel-17, it’s not new for Rel-19. Even for TN if the BB and radio are in separate units, there is also some kind of </w:t>
      </w:r>
      <w:r w:rsidRPr="00021817">
        <w:rPr>
          <w:color w:val="000000" w:themeColor="text1"/>
        </w:rPr>
        <w:t>synchronization</w:t>
      </w:r>
      <w:r w:rsidRPr="00021817">
        <w:rPr>
          <w:color w:val="000000" w:themeColor="text1"/>
        </w:rPr>
        <w:t xml:space="preserve">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7"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8"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9"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0"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1"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2"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3"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4"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F753" w14:textId="77777777" w:rsidR="008B50CE" w:rsidRPr="00A10429" w:rsidRDefault="008B50CE" w:rsidP="0064547A">
      <w:pPr>
        <w:spacing w:after="0"/>
        <w:rPr>
          <w:kern w:val="2"/>
          <w:lang w:eastAsia="zh-CN"/>
        </w:rPr>
      </w:pPr>
      <w:r>
        <w:separator/>
      </w:r>
    </w:p>
  </w:endnote>
  <w:endnote w:type="continuationSeparator" w:id="0">
    <w:p w14:paraId="5DBFB10C" w14:textId="77777777" w:rsidR="008B50CE" w:rsidRPr="00A10429" w:rsidRDefault="008B50C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237E" w14:textId="77777777" w:rsidR="008B50CE" w:rsidRPr="00A10429" w:rsidRDefault="008B50CE" w:rsidP="0064547A">
      <w:pPr>
        <w:spacing w:after="0"/>
        <w:rPr>
          <w:kern w:val="2"/>
          <w:lang w:eastAsia="zh-CN"/>
        </w:rPr>
      </w:pPr>
      <w:r>
        <w:separator/>
      </w:r>
    </w:p>
  </w:footnote>
  <w:footnote w:type="continuationSeparator" w:id="0">
    <w:p w14:paraId="052972E0" w14:textId="77777777" w:rsidR="008B50CE" w:rsidRPr="00A10429" w:rsidRDefault="008B50C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목록단락"/>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0bis/Docs/R4-2404869.zip" TargetMode="External"/><Relationship Id="rId13" Type="http://schemas.openxmlformats.org/officeDocument/2006/relationships/hyperlink" Target="https://www.3gpp.org/ftp/TSG_RAN/WG4_Radio/TSGR4_110bis/Docs/R4-2405082.zip" TargetMode="External"/><Relationship Id="rId3" Type="http://schemas.openxmlformats.org/officeDocument/2006/relationships/settings" Target="settings.xml"/><Relationship Id="rId7" Type="http://schemas.openxmlformats.org/officeDocument/2006/relationships/hyperlink" Target="https://www.3gpp.org/ftp/TSG_RAN/WG4_Radio/TSGR4_111/Docs/R4-2409107.zip" TargetMode="External"/><Relationship Id="rId12" Type="http://schemas.openxmlformats.org/officeDocument/2006/relationships/hyperlink" Target="https://www.3gpp.org/ftp/TSG_RAN/WG4_Radio/TSGR4_111/Docs/R4-2408071.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4_Radio/TSGR4_111/Docs/R4-2408071.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gpp.org/ftp/TSG_RAN/WG4_Radio/TSGR4_111/Docs/R4-2409107.zip" TargetMode="External"/><Relationship Id="rId4" Type="http://schemas.openxmlformats.org/officeDocument/2006/relationships/webSettings" Target="webSettings.xml"/><Relationship Id="rId9" Type="http://schemas.openxmlformats.org/officeDocument/2006/relationships/hyperlink" Target="https://www.3gpp.org/ftp/TSG_RAN/WG4_Radio/TSGR4_111/Docs/R4-2408071.zip" TargetMode="External"/><Relationship Id="rId14" Type="http://schemas.openxmlformats.org/officeDocument/2006/relationships/hyperlink" Target="https://www.3gpp.org/ftp/TSG_RAN/WG4_Radio/TSGR4_111/Docs/R4-240807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37</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5</cp:revision>
  <dcterms:created xsi:type="dcterms:W3CDTF">2024-05-24T00:10:00Z</dcterms:created>
  <dcterms:modified xsi:type="dcterms:W3CDTF">2024-05-24T00:50:00Z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