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64E00" w14:textId="4F41DEA4" w:rsidR="00A77C34" w:rsidRDefault="00A77C34" w:rsidP="00A77C3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="00BC0A67" w:rsidRPr="00BC0A67">
        <w:rPr>
          <w:rFonts w:ascii="Arial" w:eastAsiaTheme="minorEastAsia" w:hAnsi="Arial" w:cs="Arial"/>
          <w:b/>
        </w:rPr>
        <w:t>2419722</w:t>
      </w:r>
    </w:p>
    <w:p w14:paraId="514B372E" w14:textId="77777777" w:rsidR="00A77C34" w:rsidRDefault="00A77C34" w:rsidP="00A77C3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Orlando, US, November</w:t>
      </w:r>
      <w:r>
        <w:rPr>
          <w:rFonts w:ascii="Arial" w:hAnsi="Arial" w:cs="Arial"/>
          <w:b/>
        </w:rPr>
        <w:t xml:space="preserve"> 18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bCs/>
        </w:rPr>
        <w:t>, 2024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26EF7191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152BD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7D4974">
        <w:rPr>
          <w:rFonts w:ascii="Arial" w:eastAsiaTheme="minorEastAsia" w:hAnsi="Arial" w:cs="Arial"/>
          <w:color w:val="000000"/>
          <w:sz w:val="22"/>
        </w:rPr>
        <w:t>3.1</w:t>
      </w:r>
    </w:p>
    <w:p w14:paraId="2D108A79" w14:textId="5851ECAF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  <w:r w:rsidR="00573660">
        <w:rPr>
          <w:rFonts w:ascii="Arial" w:hAnsi="Arial" w:cs="Arial"/>
          <w:color w:val="000000"/>
          <w:sz w:val="22"/>
        </w:rPr>
        <w:t>, Sony</w:t>
      </w:r>
    </w:p>
    <w:p w14:paraId="6E9D025F" w14:textId="75BF6A6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5027A6">
        <w:rPr>
          <w:rFonts w:ascii="Arial" w:eastAsia="MS Mincho" w:hAnsi="Arial" w:cs="Arial"/>
          <w:sz w:val="22"/>
        </w:rPr>
        <w:t xml:space="preserve">Tx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7D4974">
        <w:rPr>
          <w:rFonts w:ascii="Arial" w:eastAsia="MS Mincho" w:hAnsi="Arial" w:cs="Arial"/>
          <w:sz w:val="22"/>
        </w:rPr>
        <w:t>IoT-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B30D558" w14:textId="5EDCABA6" w:rsidR="00226C4F" w:rsidRDefault="00226C4F" w:rsidP="00226C4F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RAN#105,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>
        <w:rPr>
          <w:sz w:val="21"/>
          <w:szCs w:val="21"/>
        </w:rPr>
        <w:t>IoT-NTN with the following objectives:</w:t>
      </w:r>
    </w:p>
    <w:p w14:paraId="4B757659" w14:textId="77777777" w:rsidR="00226C4F" w:rsidRPr="005027A6" w:rsidRDefault="00226C4F" w:rsidP="00226C4F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eMTC based NTN) in FR1-NTN bands and the corresponding LTE NTN bands for the single uplink (UL) carrier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scenario</w:t>
      </w:r>
      <w:proofErr w:type="gramEnd"/>
    </w:p>
    <w:p w14:paraId="744A0507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6AFCF6F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Support other power classes based on the co-existence and feasibility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study</w:t>
      </w:r>
      <w:proofErr w:type="gramEnd"/>
    </w:p>
    <w:p w14:paraId="31B5B2C3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2297A9B9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RF requirements for all considered power classes for NR-NTN and IoT-NTN in FR1-NTN bands and the corresponding LTE NTN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2F56F19B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Tx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357F8127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Investigate and if necessary, specify the solution to address potential SAR (Specific Absorption Rate restriction) requirements for handheld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UE</w:t>
      </w:r>
      <w:proofErr w:type="gramEnd"/>
    </w:p>
    <w:p w14:paraId="778A97B2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AEA8266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Rx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31994AEA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60DBADE6" w14:textId="77777777" w:rsidR="00226C4F" w:rsidRPr="005027A6" w:rsidRDefault="00226C4F" w:rsidP="00226C4F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508ACD01" w14:textId="46112748" w:rsidR="009F3F9B" w:rsidRPr="00770531" w:rsidRDefault="009F3F9B" w:rsidP="009F3F9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</w:t>
      </w:r>
      <w:r w:rsidR="00D53C06">
        <w:rPr>
          <w:sz w:val="21"/>
          <w:szCs w:val="21"/>
        </w:rPr>
        <w:t xml:space="preserve">some of </w:t>
      </w:r>
      <w:r>
        <w:rPr>
          <w:sz w:val="21"/>
          <w:szCs w:val="21"/>
        </w:rPr>
        <w:t xml:space="preserve">the open issues on UE RF Tx requirements for </w:t>
      </w:r>
      <w:r w:rsidR="00B06FCA">
        <w:rPr>
          <w:sz w:val="21"/>
          <w:szCs w:val="21"/>
        </w:rPr>
        <w:t>IoT</w:t>
      </w:r>
      <w:r>
        <w:rPr>
          <w:sz w:val="21"/>
          <w:szCs w:val="21"/>
        </w:rPr>
        <w:t>-NTN HPUE from the approved WF in RAN4#112</w:t>
      </w:r>
      <w:r w:rsidR="00F152BD">
        <w:rPr>
          <w:sz w:val="21"/>
          <w:szCs w:val="21"/>
        </w:rPr>
        <w:t>-bis</w:t>
      </w:r>
      <w:r>
        <w:rPr>
          <w:sz w:val="21"/>
          <w:szCs w:val="21"/>
        </w:rPr>
        <w:t xml:space="preserve"> [2].  </w:t>
      </w:r>
    </w:p>
    <w:p w14:paraId="3D4D3C36" w14:textId="5125C475" w:rsidR="004967D4" w:rsidRPr="004967D4" w:rsidRDefault="009A645F" w:rsidP="004967D4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704941EF" w14:textId="4CEB9D05" w:rsidR="004045F2" w:rsidRPr="004967D4" w:rsidRDefault="004045F2" w:rsidP="004045F2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Tx requirements</w:t>
      </w:r>
    </w:p>
    <w:p w14:paraId="4EFE7DA1" w14:textId="73F1D727" w:rsidR="004967D4" w:rsidRPr="004967D4" w:rsidRDefault="004967D4" w:rsidP="004045F2">
      <w:pPr>
        <w:spacing w:after="180"/>
        <w:rPr>
          <w:rFonts w:eastAsia="SimSun"/>
          <w:bCs/>
          <w:sz w:val="21"/>
          <w:szCs w:val="21"/>
          <w:lang w:val="en-GB" w:eastAsia="ko-KR"/>
        </w:rPr>
      </w:pPr>
      <w:r w:rsidRPr="004967D4">
        <w:rPr>
          <w:rFonts w:eastAsia="SimSun"/>
          <w:bCs/>
          <w:sz w:val="21"/>
          <w:szCs w:val="21"/>
          <w:lang w:val="en-GB" w:eastAsia="ko-KR"/>
        </w:rPr>
        <w:t>First, we</w:t>
      </w:r>
      <w:r>
        <w:rPr>
          <w:rFonts w:eastAsia="SimSun"/>
          <w:bCs/>
          <w:sz w:val="21"/>
          <w:szCs w:val="21"/>
          <w:lang w:val="en-GB" w:eastAsia="ko-KR"/>
        </w:rPr>
        <w:t xml:space="preserve"> discuss the open issue</w:t>
      </w:r>
      <w:r w:rsidR="00573660">
        <w:rPr>
          <w:rFonts w:eastAsia="SimSun"/>
          <w:bCs/>
          <w:sz w:val="21"/>
          <w:szCs w:val="21"/>
          <w:lang w:val="en-GB" w:eastAsia="ko-KR"/>
        </w:rPr>
        <w:t xml:space="preserve"> on</w:t>
      </w:r>
      <w:r>
        <w:rPr>
          <w:rFonts w:eastAsia="SimSun"/>
          <w:bCs/>
          <w:sz w:val="21"/>
          <w:szCs w:val="21"/>
          <w:lang w:val="en-GB" w:eastAsia="ko-KR"/>
        </w:rPr>
        <w:t xml:space="preserve"> MOP tolerance requirements:</w:t>
      </w:r>
    </w:p>
    <w:p w14:paraId="6752944A" w14:textId="77777777" w:rsidR="004045F2" w:rsidRPr="004967D4" w:rsidRDefault="004045F2" w:rsidP="004045F2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4967D4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Issue 1-2-</w:t>
      </w:r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5</w:t>
      </w:r>
      <w:r w:rsidRPr="004967D4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: </w:t>
      </w:r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MOP tolerance</w:t>
      </w:r>
    </w:p>
    <w:p w14:paraId="660FD6D0" w14:textId="77777777" w:rsidR="004045F2" w:rsidRPr="004967D4" w:rsidRDefault="004045F2" w:rsidP="004045F2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>Proposals</w:t>
      </w:r>
    </w:p>
    <w:p w14:paraId="08B0D40A" w14:textId="77777777" w:rsidR="004045F2" w:rsidRPr="004967D4" w:rsidRDefault="004045F2" w:rsidP="004045F2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 xml:space="preserve">Proposal 1: </w:t>
      </w:r>
      <w:r w:rsidRPr="004967D4">
        <w:rPr>
          <w:rFonts w:eastAsia="MS Mincho"/>
          <w:i/>
          <w:iCs/>
          <w:sz w:val="21"/>
          <w:szCs w:val="21"/>
          <w:lang w:val="en-GB" w:eastAsia="ja-JP"/>
        </w:rPr>
        <w:t>Re-use LTE TN TS 36.101-1 nominal MOP and ±2 tolerance can be considered as starting point (same as for band n14) for PC2 for IoT-NTN HPUE.</w:t>
      </w:r>
      <w:r w:rsidRPr="004967D4">
        <w:rPr>
          <w:rFonts w:eastAsia="DengXian" w:hint="eastAsia"/>
          <w:i/>
          <w:iCs/>
          <w:sz w:val="21"/>
          <w:szCs w:val="21"/>
          <w:lang w:val="en-GB"/>
        </w:rPr>
        <w:t xml:space="preserve"> (Ericsson)</w:t>
      </w:r>
    </w:p>
    <w:p w14:paraId="02C33B62" w14:textId="77777777" w:rsidR="004045F2" w:rsidRPr="004967D4" w:rsidRDefault="004045F2" w:rsidP="004045F2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>Pro</w:t>
      </w:r>
      <w:r w:rsidRPr="004967D4">
        <w:rPr>
          <w:rFonts w:eastAsia="SimSun"/>
          <w:i/>
          <w:iCs/>
          <w:sz w:val="21"/>
          <w:szCs w:val="21"/>
          <w:lang w:val="en-GB"/>
        </w:rPr>
        <w:t xml:space="preserve">posal 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>2</w:t>
      </w:r>
      <w:r w:rsidRPr="004967D4">
        <w:rPr>
          <w:rFonts w:eastAsia="SimSun"/>
          <w:i/>
          <w:iCs/>
          <w:sz w:val="21"/>
          <w:szCs w:val="21"/>
          <w:lang w:val="en-GB"/>
        </w:rPr>
        <w:t xml:space="preserve">: 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>Others</w:t>
      </w:r>
    </w:p>
    <w:p w14:paraId="16C9D77A" w14:textId="77777777" w:rsidR="004045F2" w:rsidRPr="004967D4" w:rsidRDefault="004045F2" w:rsidP="004045F2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lastRenderedPageBreak/>
        <w:t>Recommended WF</w:t>
      </w:r>
    </w:p>
    <w:p w14:paraId="585C11A1" w14:textId="77777777" w:rsidR="004045F2" w:rsidRPr="004967D4" w:rsidRDefault="004045F2" w:rsidP="004045F2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FFS. </w:t>
      </w:r>
    </w:p>
    <w:p w14:paraId="05785A65" w14:textId="77777777" w:rsidR="004045F2" w:rsidRPr="004967D4" w:rsidRDefault="004045F2" w:rsidP="004045F2">
      <w:pPr>
        <w:rPr>
          <w:sz w:val="21"/>
          <w:szCs w:val="21"/>
          <w:lang w:val="en-GB" w:eastAsia="ja-JP"/>
        </w:rPr>
      </w:pPr>
      <w:r w:rsidRPr="004967D4">
        <w:rPr>
          <w:sz w:val="21"/>
          <w:szCs w:val="21"/>
          <w:lang w:eastAsia="ja-JP"/>
        </w:rPr>
        <w:t xml:space="preserve">Since for band n14, which is the only FDD band in LTE for which PC2 is specified, the tolerance is </w:t>
      </w:r>
      <w:r w:rsidRPr="004967D4">
        <w:rPr>
          <w:sz w:val="21"/>
          <w:szCs w:val="21"/>
          <w:lang w:val="en-GB" w:eastAsia="ja-JP"/>
        </w:rPr>
        <w:t>±2 (which is also the case for all TDD bands except for one), the same could be used as the starting point for IoT-NTN.</w:t>
      </w:r>
    </w:p>
    <w:p w14:paraId="75307B34" w14:textId="77777777" w:rsidR="004045F2" w:rsidRPr="004967D4" w:rsidRDefault="004045F2" w:rsidP="004045F2">
      <w:pPr>
        <w:rPr>
          <w:sz w:val="21"/>
          <w:szCs w:val="21"/>
          <w:lang w:eastAsia="ja-JP"/>
        </w:rPr>
      </w:pPr>
    </w:p>
    <w:p w14:paraId="5FF361AA" w14:textId="16A57296" w:rsidR="004045F2" w:rsidRPr="004967D4" w:rsidRDefault="004045F2" w:rsidP="004045F2">
      <w:pPr>
        <w:rPr>
          <w:b/>
          <w:bCs/>
          <w:sz w:val="21"/>
          <w:szCs w:val="21"/>
          <w:lang w:eastAsia="ja-JP"/>
        </w:rPr>
      </w:pPr>
      <w:r w:rsidRPr="004967D4">
        <w:rPr>
          <w:b/>
          <w:bCs/>
          <w:sz w:val="21"/>
          <w:szCs w:val="21"/>
          <w:lang w:eastAsia="ja-JP"/>
        </w:rPr>
        <w:t xml:space="preserve">Proposal </w:t>
      </w:r>
      <w:r w:rsidR="00573660">
        <w:rPr>
          <w:b/>
          <w:bCs/>
          <w:sz w:val="21"/>
          <w:szCs w:val="21"/>
          <w:lang w:eastAsia="ja-JP"/>
        </w:rPr>
        <w:t>1</w:t>
      </w:r>
      <w:r w:rsidRPr="004967D4">
        <w:rPr>
          <w:b/>
          <w:bCs/>
          <w:sz w:val="21"/>
          <w:szCs w:val="21"/>
          <w:lang w:eastAsia="ja-JP"/>
        </w:rPr>
        <w:t xml:space="preserve">: Re-use LTE TN TS 36.101-1 nominal MOP and </w:t>
      </w:r>
      <w:r w:rsidRPr="004967D4">
        <w:rPr>
          <w:b/>
          <w:bCs/>
          <w:sz w:val="21"/>
          <w:szCs w:val="21"/>
          <w:lang w:val="en-GB" w:eastAsia="ja-JP"/>
        </w:rPr>
        <w:t xml:space="preserve">±2 </w:t>
      </w:r>
      <w:r w:rsidRPr="004967D4">
        <w:rPr>
          <w:b/>
          <w:bCs/>
          <w:sz w:val="21"/>
          <w:szCs w:val="21"/>
          <w:lang w:eastAsia="ja-JP"/>
        </w:rPr>
        <w:t>tolerance can be considered as starting point (same as for band n14) for PC2 for IoT-NTN HPUE.</w:t>
      </w:r>
    </w:p>
    <w:p w14:paraId="29E076BF" w14:textId="77777777" w:rsidR="004045F2" w:rsidRPr="004967D4" w:rsidRDefault="004045F2" w:rsidP="004045F2">
      <w:pPr>
        <w:rPr>
          <w:sz w:val="21"/>
          <w:szCs w:val="21"/>
          <w:lang w:eastAsia="en-GB"/>
        </w:rPr>
      </w:pPr>
    </w:p>
    <w:p w14:paraId="7C7903ED" w14:textId="61CC9162" w:rsidR="00B40859" w:rsidRPr="00B40859" w:rsidRDefault="004045F2" w:rsidP="00EB7EF6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SAR</w:t>
      </w:r>
      <w:r w:rsidR="00B40859">
        <w:rPr>
          <w:sz w:val="32"/>
          <w:szCs w:val="20"/>
          <w:lang w:val="en-US" w:eastAsia="en-GB"/>
        </w:rPr>
        <w:t xml:space="preserve"> </w:t>
      </w:r>
      <w:proofErr w:type="gramStart"/>
      <w:r w:rsidR="00B40859">
        <w:rPr>
          <w:sz w:val="32"/>
          <w:szCs w:val="20"/>
          <w:lang w:val="en-US" w:eastAsia="en-GB"/>
        </w:rPr>
        <w:t>re</w:t>
      </w:r>
      <w:r>
        <w:rPr>
          <w:sz w:val="32"/>
          <w:szCs w:val="20"/>
          <w:lang w:val="en-US" w:eastAsia="en-GB"/>
        </w:rPr>
        <w:t>lated</w:t>
      </w:r>
      <w:proofErr w:type="gramEnd"/>
    </w:p>
    <w:p w14:paraId="4EAB4D2E" w14:textId="55C16962" w:rsidR="004967D4" w:rsidRPr="004967D4" w:rsidRDefault="004967D4" w:rsidP="004045F2">
      <w:pPr>
        <w:spacing w:after="180"/>
        <w:rPr>
          <w:rFonts w:eastAsia="SimSun"/>
          <w:bCs/>
          <w:sz w:val="21"/>
          <w:szCs w:val="21"/>
          <w:lang w:val="en-GB" w:eastAsia="ko-KR"/>
        </w:rPr>
      </w:pPr>
      <w:r>
        <w:rPr>
          <w:rFonts w:eastAsia="SimSun"/>
          <w:bCs/>
          <w:sz w:val="21"/>
          <w:szCs w:val="21"/>
          <w:lang w:val="en-GB" w:eastAsia="ko-KR"/>
        </w:rPr>
        <w:t>In the approved WF [2], the following was captured on SAR related issues:</w:t>
      </w:r>
    </w:p>
    <w:p w14:paraId="2F8536B1" w14:textId="0EFB02E9" w:rsidR="004045F2" w:rsidRPr="004967D4" w:rsidRDefault="004045F2" w:rsidP="004045F2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/>
        </w:rPr>
      </w:pPr>
      <w:r w:rsidRPr="004967D4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</w:t>
      </w:r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>1</w:t>
      </w:r>
      <w:r w:rsidRPr="004967D4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-</w:t>
      </w:r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>3-</w:t>
      </w:r>
      <w:r w:rsidRPr="004967D4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1: </w:t>
      </w:r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 xml:space="preserve">Duty </w:t>
      </w:r>
      <w:proofErr w:type="gramStart"/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cycle based</w:t>
      </w:r>
      <w:proofErr w:type="gramEnd"/>
      <w:r w:rsidRPr="004967D4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 xml:space="preserve"> approach </w:t>
      </w:r>
    </w:p>
    <w:p w14:paraId="248FE0B2" w14:textId="77777777" w:rsidR="004045F2" w:rsidRPr="004967D4" w:rsidRDefault="004045F2" w:rsidP="004045F2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>Proposals</w:t>
      </w:r>
    </w:p>
    <w:p w14:paraId="3EABCF93" w14:textId="77777777" w:rsidR="004045F2" w:rsidRPr="004967D4" w:rsidRDefault="004045F2" w:rsidP="004045F2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Option 1: Support the study of this </w:t>
      </w:r>
      <w:r w:rsidRPr="004967D4">
        <w:rPr>
          <w:rFonts w:eastAsia="SimSun"/>
          <w:i/>
          <w:iCs/>
          <w:sz w:val="21"/>
          <w:szCs w:val="21"/>
          <w:lang w:val="en-GB"/>
        </w:rPr>
        <w:t>direction.</w:t>
      </w:r>
    </w:p>
    <w:p w14:paraId="60471C1B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>O</w:t>
      </w:r>
      <w:r w:rsidRPr="004967D4">
        <w:rPr>
          <w:rFonts w:eastAsia="SimSun"/>
          <w:i/>
          <w:iCs/>
          <w:sz w:val="21"/>
          <w:szCs w:val="21"/>
          <w:lang w:val="en-GB"/>
        </w:rPr>
        <w:t>ther solutions than P-MPR need to be specified for HPUE in NTN to ensure a sufficient uplink budget.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(Sony)</w:t>
      </w:r>
    </w:p>
    <w:p w14:paraId="230E329E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>RAN4 shall check if the duty cycle-based approach for SAR can be applied in NTN system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>. (Sony)</w:t>
      </w:r>
    </w:p>
    <w:p w14:paraId="72B8A612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>Further investigate the duty cycle method for regulation of NTN hand-held UE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(oppo)</w:t>
      </w:r>
    </w:p>
    <w:p w14:paraId="30C7F61A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Consider </w:t>
      </w:r>
      <w:r w:rsidRPr="004967D4">
        <w:rPr>
          <w:rFonts w:eastAsia="SimSun"/>
          <w:i/>
          <w:iCs/>
          <w:sz w:val="21"/>
          <w:szCs w:val="21"/>
          <w:lang w:val="en-GB"/>
        </w:rPr>
        <w:t>applying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the current duty </w:t>
      </w:r>
      <w:r w:rsidRPr="004967D4">
        <w:rPr>
          <w:rFonts w:eastAsia="SimSun"/>
          <w:i/>
          <w:iCs/>
          <w:sz w:val="21"/>
          <w:szCs w:val="21"/>
          <w:lang w:val="en-GB"/>
        </w:rPr>
        <w:t>cycle-based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SAR solution to Iot based NTN. (vivo)</w:t>
      </w:r>
    </w:p>
    <w:p w14:paraId="02391D23" w14:textId="77777777" w:rsidR="004045F2" w:rsidRPr="004967D4" w:rsidRDefault="004045F2" w:rsidP="004045F2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Option 2: Not support this </w:t>
      </w:r>
      <w:r w:rsidRPr="004967D4">
        <w:rPr>
          <w:rFonts w:eastAsia="SimSun"/>
          <w:i/>
          <w:iCs/>
          <w:sz w:val="21"/>
          <w:szCs w:val="21"/>
          <w:lang w:val="en-GB"/>
        </w:rPr>
        <w:t>direction.</w:t>
      </w:r>
    </w:p>
    <w:p w14:paraId="641F8B73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>For SAR requirements for handheld UEs, only P-MPR mechanism shall be used, as it is the case for band n14 in LTE TN.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(Ericsson)</w:t>
      </w:r>
    </w:p>
    <w:p w14:paraId="29359C6A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MS Mincho"/>
          <w:i/>
          <w:iCs/>
          <w:sz w:val="21"/>
          <w:szCs w:val="21"/>
          <w:lang w:val="en-GB" w:eastAsia="en-US"/>
        </w:rPr>
        <w:t>In addition, regarding the SAR requirement for FDD NTN HPUE, we could follow the legacy approach to leave it up to p-MPR design instead of defining any uplink duty cycle to guarantee the SAR limits.</w:t>
      </w:r>
      <w:r w:rsidRPr="004967D4">
        <w:rPr>
          <w:rFonts w:eastAsia="DengXian" w:hint="eastAsia"/>
          <w:i/>
          <w:iCs/>
          <w:sz w:val="21"/>
          <w:szCs w:val="21"/>
          <w:lang w:val="en-GB"/>
        </w:rPr>
        <w:t xml:space="preserve"> (ZTE)</w:t>
      </w:r>
    </w:p>
    <w:p w14:paraId="08BE4CA1" w14:textId="77777777" w:rsidR="004045F2" w:rsidRPr="004967D4" w:rsidRDefault="004045F2" w:rsidP="004045F2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>Option 3: Others</w:t>
      </w:r>
    </w:p>
    <w:p w14:paraId="078E5FDC" w14:textId="77777777" w:rsidR="004045F2" w:rsidRPr="004967D4" w:rsidRDefault="004045F2" w:rsidP="004045F2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/>
          <w:i/>
          <w:iCs/>
          <w:sz w:val="21"/>
          <w:szCs w:val="21"/>
          <w:lang w:val="en-GB"/>
        </w:rPr>
        <w:t xml:space="preserve">The duty </w:t>
      </w:r>
      <w:proofErr w:type="gramStart"/>
      <w:r w:rsidRPr="004967D4">
        <w:rPr>
          <w:rFonts w:eastAsia="SimSun"/>
          <w:i/>
          <w:iCs/>
          <w:sz w:val="21"/>
          <w:szCs w:val="21"/>
          <w:lang w:val="en-GB"/>
        </w:rPr>
        <w:t>cycle based</w:t>
      </w:r>
      <w:proofErr w:type="gramEnd"/>
      <w:r w:rsidRPr="004967D4">
        <w:rPr>
          <w:rFonts w:eastAsia="SimSun"/>
          <w:i/>
          <w:iCs/>
          <w:sz w:val="21"/>
          <w:szCs w:val="21"/>
          <w:lang w:val="en-GB"/>
        </w:rPr>
        <w:t xml:space="preserve"> SAR solution may not be applicable to IoT-NTN cases, as the IoT-NTN uplink duty cycle for each UE (or for each cell/beam) can be up to network implementation.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(Samsung)</w:t>
      </w:r>
    </w:p>
    <w:p w14:paraId="7C002434" w14:textId="77777777" w:rsidR="004045F2" w:rsidRPr="004967D4" w:rsidRDefault="004045F2" w:rsidP="004045F2">
      <w:p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Agreement: Continue the effort to study other potential solutions in </w:t>
      </w:r>
      <w:r w:rsidRPr="004967D4">
        <w:rPr>
          <w:rFonts w:eastAsia="SimSun"/>
          <w:i/>
          <w:iCs/>
          <w:sz w:val="21"/>
          <w:szCs w:val="21"/>
          <w:lang w:val="en-GB"/>
        </w:rPr>
        <w:t>addition</w:t>
      </w:r>
      <w:r w:rsidRPr="004967D4">
        <w:rPr>
          <w:rFonts w:eastAsia="SimSun" w:hint="eastAsia"/>
          <w:i/>
          <w:iCs/>
          <w:sz w:val="21"/>
          <w:szCs w:val="21"/>
          <w:lang w:val="en-GB"/>
        </w:rPr>
        <w:t xml:space="preserve"> to P-MRP solution </w:t>
      </w:r>
    </w:p>
    <w:p w14:paraId="0C4CB809" w14:textId="303358A8" w:rsidR="00AD2FEA" w:rsidRPr="004967D4" w:rsidRDefault="00826E25" w:rsidP="00826E25">
      <w:pPr>
        <w:rPr>
          <w:sz w:val="21"/>
          <w:szCs w:val="21"/>
          <w:lang w:eastAsia="ja-JP"/>
        </w:rPr>
      </w:pPr>
      <w:r w:rsidRPr="004967D4">
        <w:rPr>
          <w:sz w:val="21"/>
          <w:szCs w:val="21"/>
          <w:lang w:eastAsia="ja-JP"/>
        </w:rPr>
        <w:t>For Specific Absorption Rate restriction (SAR) mitigation, in NR TN specifications (TS38.101-1) a</w:t>
      </w:r>
      <w:r w:rsidR="002C33E1" w:rsidRPr="004967D4">
        <w:rPr>
          <w:sz w:val="21"/>
          <w:szCs w:val="21"/>
          <w:lang w:eastAsia="ja-JP"/>
        </w:rPr>
        <w:t>n optional</w:t>
      </w:r>
      <w:r w:rsidRPr="004967D4">
        <w:rPr>
          <w:sz w:val="21"/>
          <w:szCs w:val="21"/>
          <w:lang w:eastAsia="ja-JP"/>
        </w:rPr>
        <w:t xml:space="preserve"> </w:t>
      </w:r>
      <w:r w:rsidR="00194D24" w:rsidRPr="004967D4">
        <w:rPr>
          <w:sz w:val="21"/>
          <w:szCs w:val="21"/>
          <w:lang w:eastAsia="ja-JP"/>
        </w:rPr>
        <w:t>method</w:t>
      </w:r>
      <w:r w:rsidRPr="004967D4">
        <w:rPr>
          <w:sz w:val="21"/>
          <w:szCs w:val="21"/>
          <w:lang w:eastAsia="ja-JP"/>
        </w:rPr>
        <w:t xml:space="preserve"> based on the “UL duty cycle” is specified, </w:t>
      </w:r>
      <w:r w:rsidR="002C33E1" w:rsidRPr="004967D4">
        <w:rPr>
          <w:sz w:val="21"/>
          <w:szCs w:val="21"/>
          <w:lang w:eastAsia="ja-JP"/>
        </w:rPr>
        <w:t xml:space="preserve">where the UE can report </w:t>
      </w:r>
      <w:r w:rsidR="002C33E1" w:rsidRPr="004967D4">
        <w:rPr>
          <w:i/>
          <w:sz w:val="21"/>
          <w:szCs w:val="21"/>
          <w:lang w:val="en-GB" w:eastAsia="en-GB"/>
        </w:rPr>
        <w:t>maxUplinkDutyCycle-PC2-FR1</w:t>
      </w:r>
      <w:r w:rsidR="002C33E1" w:rsidRPr="004967D4">
        <w:rPr>
          <w:sz w:val="21"/>
          <w:szCs w:val="21"/>
          <w:lang w:val="en-GB" w:eastAsia="en-GB"/>
        </w:rPr>
        <w:t xml:space="preserve"> or </w:t>
      </w:r>
      <w:r w:rsidR="002C33E1" w:rsidRPr="004967D4">
        <w:rPr>
          <w:i/>
          <w:iCs/>
          <w:sz w:val="21"/>
          <w:szCs w:val="21"/>
          <w:lang w:val="en-GB" w:eastAsia="en-GB"/>
        </w:rPr>
        <w:t xml:space="preserve">maxUplinkDutyCycle-PC1dot5-MPE-FR1 </w:t>
      </w:r>
      <w:r w:rsidR="002C33E1" w:rsidRPr="004967D4">
        <w:rPr>
          <w:sz w:val="21"/>
          <w:szCs w:val="21"/>
          <w:lang w:val="en-GB" w:eastAsia="en-GB"/>
        </w:rPr>
        <w:t>capabilities (otherwise a default duty cycle of 50% or 25% applies, respectively)</w:t>
      </w:r>
      <w:r w:rsidRPr="004967D4">
        <w:rPr>
          <w:sz w:val="21"/>
          <w:szCs w:val="21"/>
          <w:lang w:eastAsia="ja-JP"/>
        </w:rPr>
        <w:t xml:space="preserve">. </w:t>
      </w:r>
      <w:r w:rsidR="00AD2FEA" w:rsidRPr="004967D4">
        <w:rPr>
          <w:sz w:val="21"/>
          <w:szCs w:val="21"/>
          <w:lang w:eastAsia="ja-JP"/>
        </w:rPr>
        <w:t>If the percentage of transmitted uplink symbols at the UE exceeds the corresponding threshold, the UE is supposed to do a power-class fallback.</w:t>
      </w:r>
    </w:p>
    <w:p w14:paraId="1AC6D20D" w14:textId="77777777" w:rsidR="00AD2FEA" w:rsidRPr="004967D4" w:rsidRDefault="00AD2FEA" w:rsidP="00826E25">
      <w:pPr>
        <w:rPr>
          <w:sz w:val="21"/>
          <w:szCs w:val="21"/>
          <w:lang w:eastAsia="ja-JP"/>
        </w:rPr>
      </w:pPr>
    </w:p>
    <w:p w14:paraId="4936D09E" w14:textId="75706010" w:rsidR="00826E25" w:rsidRPr="00BD77F2" w:rsidRDefault="00194D24" w:rsidP="00826E25">
      <w:pPr>
        <w:rPr>
          <w:sz w:val="21"/>
          <w:szCs w:val="21"/>
          <w:lang w:eastAsia="ja-JP"/>
        </w:rPr>
      </w:pPr>
      <w:r w:rsidRPr="004967D4">
        <w:rPr>
          <w:sz w:val="21"/>
          <w:szCs w:val="21"/>
          <w:lang w:eastAsia="ja-JP"/>
        </w:rPr>
        <w:t>Such method is not well designed f</w:t>
      </w:r>
      <w:r w:rsidR="00826E25" w:rsidRPr="004967D4">
        <w:rPr>
          <w:sz w:val="21"/>
          <w:szCs w:val="21"/>
          <w:lang w:eastAsia="ja-JP"/>
        </w:rPr>
        <w:t>or FDD bands</w:t>
      </w:r>
      <w:r w:rsidRPr="004967D4">
        <w:rPr>
          <w:sz w:val="21"/>
          <w:szCs w:val="21"/>
          <w:lang w:eastAsia="ja-JP"/>
        </w:rPr>
        <w:t xml:space="preserve">, as </w:t>
      </w:r>
      <w:r w:rsidR="00826E25" w:rsidRPr="004967D4">
        <w:rPr>
          <w:sz w:val="21"/>
          <w:szCs w:val="21"/>
          <w:lang w:eastAsia="ja-JP"/>
        </w:rPr>
        <w:t>it is not specified how exactly the UE implements such a solution</w:t>
      </w:r>
      <w:r w:rsidRPr="004967D4">
        <w:rPr>
          <w:sz w:val="21"/>
          <w:szCs w:val="21"/>
          <w:lang w:eastAsia="ja-JP"/>
        </w:rPr>
        <w:t xml:space="preserve"> (</w:t>
      </w:r>
      <w:r w:rsidR="00826E25" w:rsidRPr="004967D4">
        <w:rPr>
          <w:sz w:val="21"/>
          <w:szCs w:val="21"/>
          <w:lang w:eastAsia="ja-JP"/>
        </w:rPr>
        <w:t xml:space="preserve">i.e. </w:t>
      </w:r>
      <w:r w:rsidR="002C33E1" w:rsidRPr="004967D4">
        <w:rPr>
          <w:sz w:val="21"/>
          <w:szCs w:val="21"/>
          <w:lang w:eastAsia="ja-JP"/>
        </w:rPr>
        <w:t xml:space="preserve">what is </w:t>
      </w:r>
      <w:r w:rsidR="00826E25" w:rsidRPr="004967D4">
        <w:rPr>
          <w:sz w:val="21"/>
          <w:szCs w:val="21"/>
          <w:lang w:eastAsia="ja-JP"/>
        </w:rPr>
        <w:t>the averaging period for the duty cycle</w:t>
      </w:r>
      <w:r w:rsidRPr="00BD77F2">
        <w:rPr>
          <w:sz w:val="21"/>
          <w:szCs w:val="21"/>
          <w:lang w:eastAsia="ja-JP"/>
        </w:rPr>
        <w:t xml:space="preserve"> at the UE)</w:t>
      </w:r>
      <w:r w:rsidR="00826E25" w:rsidRPr="00BD77F2">
        <w:rPr>
          <w:sz w:val="21"/>
          <w:szCs w:val="21"/>
          <w:lang w:eastAsia="ja-JP"/>
        </w:rPr>
        <w:t>, since it is only stated that “the percentage of uplink symbols transmitted in a certain evaluation period is larger than X% (The exact evaluation period is no less than one radio frame);” This period could be anything from one radio frame to many radio frames, and the network is not aware of how the UE makes that choice.</w:t>
      </w:r>
      <w:r w:rsidR="002C33E1" w:rsidRPr="00BD77F2">
        <w:rPr>
          <w:sz w:val="21"/>
          <w:szCs w:val="21"/>
          <w:lang w:eastAsia="ja-JP"/>
        </w:rPr>
        <w:t xml:space="preserve"> Moreover, allegedly, no UEs in the field provide these capabilities. UEs use P-MPR </w:t>
      </w:r>
      <w:r w:rsidR="004967D4">
        <w:rPr>
          <w:sz w:val="21"/>
          <w:szCs w:val="21"/>
          <w:lang w:eastAsia="ja-JP"/>
        </w:rPr>
        <w:t xml:space="preserve">method instead </w:t>
      </w:r>
      <w:r w:rsidR="002C33E1" w:rsidRPr="00BD77F2">
        <w:rPr>
          <w:sz w:val="21"/>
          <w:szCs w:val="21"/>
          <w:lang w:eastAsia="ja-JP"/>
        </w:rPr>
        <w:t>for managing excessive duty cycles.</w:t>
      </w:r>
    </w:p>
    <w:p w14:paraId="22F7FBA5" w14:textId="77777777" w:rsidR="002C33E1" w:rsidRPr="00BD77F2" w:rsidRDefault="002C33E1" w:rsidP="00826E25">
      <w:pPr>
        <w:rPr>
          <w:sz w:val="21"/>
          <w:szCs w:val="21"/>
          <w:lang w:eastAsia="ja-JP"/>
        </w:rPr>
      </w:pPr>
    </w:p>
    <w:p w14:paraId="55D4F04C" w14:textId="7D8C1DC7" w:rsidR="002C33E1" w:rsidRDefault="00A37182" w:rsidP="00826E25">
      <w:pPr>
        <w:rPr>
          <w:sz w:val="21"/>
          <w:szCs w:val="21"/>
          <w:lang w:eastAsia="ja-JP"/>
        </w:rPr>
      </w:pPr>
      <w:r w:rsidRPr="00BD77F2">
        <w:rPr>
          <w:sz w:val="21"/>
          <w:szCs w:val="21"/>
          <w:lang w:eastAsia="ja-JP"/>
        </w:rPr>
        <w:t>However</w:t>
      </w:r>
      <w:r w:rsidR="002C33E1" w:rsidRPr="00BD77F2">
        <w:rPr>
          <w:sz w:val="21"/>
          <w:szCs w:val="21"/>
          <w:lang w:eastAsia="ja-JP"/>
        </w:rPr>
        <w:t xml:space="preserve">, the P-MPR method is blind for the network as </w:t>
      </w:r>
      <w:r w:rsidRPr="00BD77F2">
        <w:rPr>
          <w:sz w:val="21"/>
          <w:szCs w:val="21"/>
          <w:lang w:eastAsia="ja-JP"/>
        </w:rPr>
        <w:t>the network</w:t>
      </w:r>
      <w:r w:rsidR="002C33E1" w:rsidRPr="00BD77F2">
        <w:rPr>
          <w:sz w:val="21"/>
          <w:szCs w:val="21"/>
          <w:lang w:eastAsia="ja-JP"/>
        </w:rPr>
        <w:t xml:space="preserve"> is not aware if a P-MPR is applied due to a proximity sensor </w:t>
      </w:r>
      <w:r w:rsidRPr="00BD77F2">
        <w:rPr>
          <w:sz w:val="21"/>
          <w:szCs w:val="21"/>
          <w:lang w:eastAsia="ja-JP"/>
        </w:rPr>
        <w:t xml:space="preserve">or in case of “simultaneous transmissions on multiple RAT(s) for scenarios not in scope of 3GPP RAN specifications” </w:t>
      </w:r>
      <w:r w:rsidR="002C33E1" w:rsidRPr="00BD77F2">
        <w:rPr>
          <w:sz w:val="21"/>
          <w:szCs w:val="21"/>
          <w:lang w:eastAsia="ja-JP"/>
        </w:rPr>
        <w:t>(the original intention</w:t>
      </w:r>
      <w:r w:rsidRPr="00BD77F2">
        <w:rPr>
          <w:sz w:val="21"/>
          <w:szCs w:val="21"/>
          <w:lang w:eastAsia="ja-JP"/>
        </w:rPr>
        <w:t>s</w:t>
      </w:r>
      <w:r w:rsidR="002C33E1" w:rsidRPr="00BD77F2">
        <w:rPr>
          <w:sz w:val="21"/>
          <w:szCs w:val="21"/>
          <w:lang w:eastAsia="ja-JP"/>
        </w:rPr>
        <w:t xml:space="preserve">) or for reducing the average power to facilitate SAR compliance. </w:t>
      </w:r>
    </w:p>
    <w:p w14:paraId="62F60B66" w14:textId="77777777" w:rsidR="00833E7B" w:rsidRDefault="00833E7B" w:rsidP="00826E25">
      <w:pPr>
        <w:rPr>
          <w:sz w:val="21"/>
          <w:szCs w:val="21"/>
          <w:lang w:eastAsia="ja-JP"/>
        </w:rPr>
      </w:pPr>
    </w:p>
    <w:p w14:paraId="33D1B10C" w14:textId="5A732DA5" w:rsidR="00833E7B" w:rsidRPr="00833E7B" w:rsidRDefault="00833E7B" w:rsidP="00826E25">
      <w:pPr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  <w:lang w:eastAsia="ja-JP"/>
        </w:rPr>
        <w:lastRenderedPageBreak/>
        <w:t xml:space="preserve">Observation 1: “Duty-cycle” based method is not well designed for FDD bands and is allegedly not used in the field. P-MPR method is used instead, which is on another hand “blind” for the network. </w:t>
      </w:r>
    </w:p>
    <w:p w14:paraId="3433F805" w14:textId="77777777" w:rsidR="004967D4" w:rsidRDefault="004967D4" w:rsidP="00BD77F2">
      <w:pPr>
        <w:pStyle w:val="BodyText"/>
        <w:rPr>
          <w:rFonts w:eastAsia="SimSun"/>
          <w:sz w:val="21"/>
          <w:szCs w:val="21"/>
        </w:rPr>
      </w:pPr>
    </w:p>
    <w:p w14:paraId="10F101AD" w14:textId="1AE73DA1" w:rsidR="00BD77F2" w:rsidRDefault="00A37182" w:rsidP="00BD77F2">
      <w:pPr>
        <w:pStyle w:val="BodyText"/>
        <w:rPr>
          <w:sz w:val="21"/>
          <w:szCs w:val="21"/>
        </w:rPr>
      </w:pPr>
      <w:r w:rsidRPr="00BD77F2">
        <w:rPr>
          <w:rFonts w:eastAsia="SimSun"/>
          <w:sz w:val="21"/>
          <w:szCs w:val="21"/>
        </w:rPr>
        <w:t xml:space="preserve">In Rel-18, </w:t>
      </w:r>
      <w:r w:rsidR="00BD77F2" w:rsidRPr="00BD77F2">
        <w:rPr>
          <w:rFonts w:eastAsia="SimSun"/>
          <w:sz w:val="21"/>
          <w:szCs w:val="21"/>
        </w:rPr>
        <w:t>as part of “Enhancement of increasing UE power high limit for CA and DC” part of “Further NR coverage enhancements” WI, reporting of ΔP</w:t>
      </w:r>
      <w:r w:rsidR="00BD77F2" w:rsidRPr="00BD77F2">
        <w:rPr>
          <w:rFonts w:eastAsia="SimSun"/>
          <w:sz w:val="21"/>
          <w:szCs w:val="21"/>
          <w:vertAlign w:val="subscript"/>
        </w:rPr>
        <w:t>PowerClass</w:t>
      </w:r>
      <w:r w:rsidR="00BD77F2" w:rsidRPr="00BD77F2">
        <w:rPr>
          <w:rFonts w:eastAsia="SimSun"/>
          <w:sz w:val="21"/>
          <w:szCs w:val="21"/>
        </w:rPr>
        <w:t xml:space="preserve"> </w:t>
      </w:r>
      <w:r w:rsidR="0081016A">
        <w:rPr>
          <w:rFonts w:eastAsia="SimSun"/>
          <w:sz w:val="21"/>
          <w:szCs w:val="21"/>
        </w:rPr>
        <w:t xml:space="preserve">(DPC) </w:t>
      </w:r>
      <w:r w:rsidR="00BD77F2" w:rsidRPr="00BD77F2">
        <w:rPr>
          <w:rFonts w:eastAsia="SimSun"/>
          <w:sz w:val="21"/>
          <w:szCs w:val="21"/>
        </w:rPr>
        <w:t xml:space="preserve">was introduced </w:t>
      </w:r>
      <w:r w:rsidR="0081016A" w:rsidRPr="0081016A">
        <w:rPr>
          <w:rFonts w:eastAsia="SimSun"/>
          <w:sz w:val="21"/>
          <w:szCs w:val="21"/>
        </w:rPr>
        <w:t>in the PHR</w:t>
      </w:r>
      <w:r w:rsidR="00AC16BB">
        <w:rPr>
          <w:rFonts w:eastAsia="SimSun"/>
          <w:sz w:val="21"/>
          <w:szCs w:val="21"/>
        </w:rPr>
        <w:t xml:space="preserve"> (Power Headroom Report)</w:t>
      </w:r>
      <w:r w:rsidR="0081016A" w:rsidRPr="0081016A">
        <w:rPr>
          <w:rFonts w:eastAsia="SimSun"/>
          <w:sz w:val="21"/>
          <w:szCs w:val="21"/>
        </w:rPr>
        <w:t xml:space="preserve"> for improving network scheduling by providing the network with the actual power-capability state of a UE. The ΔP</w:t>
      </w:r>
      <w:r w:rsidR="0081016A" w:rsidRPr="0081016A">
        <w:rPr>
          <w:rFonts w:eastAsia="SimSun"/>
          <w:sz w:val="21"/>
          <w:szCs w:val="21"/>
          <w:vertAlign w:val="subscript"/>
        </w:rPr>
        <w:t>PowerClass</w:t>
      </w:r>
      <w:r w:rsidR="0081016A" w:rsidRPr="0081016A">
        <w:rPr>
          <w:rFonts w:eastAsia="SimSun"/>
          <w:sz w:val="21"/>
          <w:szCs w:val="21"/>
        </w:rPr>
        <w:t xml:space="preserve"> (DPC) in the </w:t>
      </w:r>
      <w:proofErr w:type="gramStart"/>
      <w:r w:rsidR="0081016A" w:rsidRPr="0081016A">
        <w:rPr>
          <w:rFonts w:eastAsia="SimSun"/>
          <w:sz w:val="21"/>
          <w:szCs w:val="21"/>
        </w:rPr>
        <w:t>P</w:t>
      </w:r>
      <w:r w:rsidR="0081016A" w:rsidRPr="0081016A">
        <w:rPr>
          <w:rFonts w:eastAsia="SimSun"/>
          <w:sz w:val="21"/>
          <w:szCs w:val="21"/>
          <w:vertAlign w:val="subscript"/>
        </w:rPr>
        <w:t>CMAX,f</w:t>
      </w:r>
      <w:proofErr w:type="gramEnd"/>
      <w:r w:rsidR="0081016A" w:rsidRPr="0081016A">
        <w:rPr>
          <w:rFonts w:eastAsia="SimSun"/>
          <w:sz w:val="21"/>
          <w:szCs w:val="21"/>
          <w:vertAlign w:val="subscript"/>
        </w:rPr>
        <w:t>,c</w:t>
      </w:r>
      <w:r w:rsidR="0081016A" w:rsidRPr="0081016A">
        <w:rPr>
          <w:rFonts w:eastAsia="SimSun"/>
          <w:sz w:val="21"/>
          <w:szCs w:val="21"/>
        </w:rPr>
        <w:t xml:space="preserve"> for a serving cell c </w:t>
      </w:r>
      <w:r w:rsidR="0081016A">
        <w:rPr>
          <w:rFonts w:eastAsia="SimSun"/>
          <w:sz w:val="21"/>
          <w:szCs w:val="21"/>
        </w:rPr>
        <w:t>is</w:t>
      </w:r>
      <w:r w:rsidR="0081016A" w:rsidRPr="0081016A">
        <w:rPr>
          <w:rFonts w:eastAsia="SimSun"/>
          <w:sz w:val="21"/>
          <w:szCs w:val="21"/>
        </w:rPr>
        <w:t xml:space="preserve"> set by a UE depending on the actual scheduled UL duty cycle in accordance with its reported UL duty cycle capabilities. </w:t>
      </w:r>
      <w:r w:rsidR="00BD77F2" w:rsidRPr="00BD77F2">
        <w:rPr>
          <w:sz w:val="21"/>
          <w:szCs w:val="21"/>
        </w:rPr>
        <w:t>The background to the reporting is that RAN4 was informed by RAN1 that [</w:t>
      </w:r>
      <w:r w:rsidR="00BD77F2">
        <w:rPr>
          <w:sz w:val="21"/>
          <w:szCs w:val="21"/>
        </w:rPr>
        <w:t>4</w:t>
      </w:r>
      <w:r w:rsidR="00BD77F2" w:rsidRPr="00BD77F2">
        <w:rPr>
          <w:sz w:val="21"/>
          <w:szCs w:val="21"/>
        </w:rPr>
        <w:t>]</w:t>
      </w:r>
      <w:r w:rsidR="00BD77F2">
        <w:rPr>
          <w:sz w:val="21"/>
          <w:szCs w:val="21"/>
        </w:rPr>
        <w:t>:</w:t>
      </w:r>
    </w:p>
    <w:p w14:paraId="0480DD8B" w14:textId="77777777" w:rsidR="00BD77F2" w:rsidRDefault="00BD77F2" w:rsidP="00BD77F2">
      <w:pPr>
        <w:pStyle w:val="BodyText"/>
        <w:rPr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77F2" w14:paraId="170B7C1A" w14:textId="77777777" w:rsidTr="00BD77F2">
        <w:tc>
          <w:tcPr>
            <w:tcW w:w="9631" w:type="dxa"/>
          </w:tcPr>
          <w:p w14:paraId="6FE9C80C" w14:textId="77777777" w:rsidR="00BD77F2" w:rsidRDefault="00BD77F2" w:rsidP="00BD77F2">
            <w:pPr>
              <w:spacing w:afterLines="50" w:after="120"/>
              <w:ind w:left="284"/>
              <w:jc w:val="both"/>
              <w:rPr>
                <w:rFonts w:eastAsia="Yu Mincho"/>
                <w:bCs/>
                <w:iCs/>
                <w:sz w:val="21"/>
                <w:szCs w:val="21"/>
                <w:lang w:eastAsia="ja-JP"/>
              </w:rPr>
            </w:pPr>
            <w:r w:rsidRPr="00BD77F2">
              <w:rPr>
                <w:rFonts w:eastAsia="Yu Mincho"/>
                <w:bCs/>
                <w:iCs/>
                <w:sz w:val="21"/>
                <w:szCs w:val="21"/>
                <w:lang w:eastAsia="ja-JP"/>
              </w:rPr>
              <w:t>RAN1 made the following agreement concerning enhancements to realize increasing UE power high limit for CA and DC.</w:t>
            </w:r>
          </w:p>
          <w:p w14:paraId="176176F2" w14:textId="77777777" w:rsidR="00BD77F2" w:rsidRPr="00BD77F2" w:rsidRDefault="00BD77F2" w:rsidP="00BD77F2">
            <w:pPr>
              <w:ind w:left="284"/>
              <w:rPr>
                <w:rFonts w:eastAsia="Batang"/>
                <w:b/>
                <w:sz w:val="21"/>
                <w:szCs w:val="21"/>
                <w:highlight w:val="green"/>
                <w:lang w:eastAsia="en-GB"/>
              </w:rPr>
            </w:pPr>
            <w:r w:rsidRPr="00BD77F2">
              <w:rPr>
                <w:rFonts w:eastAsia="Batang"/>
                <w:b/>
                <w:sz w:val="21"/>
                <w:szCs w:val="21"/>
                <w:highlight w:val="green"/>
                <w:lang w:eastAsia="en-GB"/>
              </w:rPr>
              <w:t>Agreements</w:t>
            </w:r>
          </w:p>
          <w:p w14:paraId="111CEBDF" w14:textId="77777777" w:rsidR="00BD77F2" w:rsidRPr="00BD77F2" w:rsidRDefault="00BD77F2" w:rsidP="00BD77F2">
            <w:pPr>
              <w:ind w:left="284"/>
              <w:jc w:val="both"/>
              <w:rPr>
                <w:rFonts w:eastAsia="Batang"/>
                <w:sz w:val="21"/>
                <w:szCs w:val="21"/>
              </w:rPr>
            </w:pPr>
            <w:r w:rsidRPr="00BD77F2">
              <w:rPr>
                <w:rFonts w:eastAsia="Batang"/>
                <w:sz w:val="21"/>
                <w:szCs w:val="21"/>
                <w:lang w:eastAsia="en-GB"/>
              </w:rPr>
              <w:t xml:space="preserve">For enhancements to realize increasing UE power high limit for CA and DC, RAN1 can study based on RAN4’s </w:t>
            </w:r>
            <w:proofErr w:type="gramStart"/>
            <w:r w:rsidRPr="00BD77F2">
              <w:rPr>
                <w:rFonts w:eastAsia="Batang"/>
                <w:sz w:val="21"/>
                <w:szCs w:val="21"/>
                <w:lang w:eastAsia="en-GB"/>
              </w:rPr>
              <w:t>input</w:t>
            </w:r>
            <w:proofErr w:type="gramEnd"/>
          </w:p>
          <w:p w14:paraId="1D918834" w14:textId="77777777" w:rsidR="00BD77F2" w:rsidRPr="00BD77F2" w:rsidRDefault="00BD77F2" w:rsidP="00BD77F2">
            <w:pPr>
              <w:numPr>
                <w:ilvl w:val="0"/>
                <w:numId w:val="23"/>
              </w:numPr>
              <w:ind w:left="1004"/>
              <w:contextualSpacing/>
              <w:jc w:val="both"/>
              <w:rPr>
                <w:rFonts w:eastAsia="Batang"/>
                <w:sz w:val="21"/>
                <w:szCs w:val="21"/>
                <w:lang w:eastAsia="ja-JP"/>
              </w:rPr>
            </w:pPr>
            <w:r w:rsidRPr="00BD77F2">
              <w:rPr>
                <w:rFonts w:eastAsia="Batang"/>
                <w:sz w:val="21"/>
                <w:szCs w:val="21"/>
                <w:lang w:eastAsia="ja-JP"/>
              </w:rPr>
              <w:t>Whether RAN1 enhancements to information exchange between UE and gNB are needed to improve scheduling and network performance when using</w:t>
            </w:r>
            <w:r w:rsidRPr="00BD77F2">
              <w:rPr>
                <w:rFonts w:eastAsia="Batang"/>
                <w:sz w:val="21"/>
                <w:szCs w:val="21"/>
                <w:u w:val="single"/>
                <w:lang w:eastAsia="ja-JP"/>
              </w:rPr>
              <w:t xml:space="preserve"> </w:t>
            </w:r>
            <w:r w:rsidRPr="00BD77F2">
              <w:rPr>
                <w:rFonts w:eastAsia="Batang"/>
                <w:sz w:val="21"/>
                <w:szCs w:val="21"/>
                <w:lang w:eastAsia="ja-JP"/>
              </w:rPr>
              <w:t>higher power CA/DC.</w:t>
            </w:r>
          </w:p>
          <w:p w14:paraId="2B9BE777" w14:textId="16BF9945" w:rsidR="00BD77F2" w:rsidRPr="00BD77F2" w:rsidRDefault="00BD77F2" w:rsidP="00BD77F2">
            <w:pPr>
              <w:spacing w:afterLines="50" w:after="120"/>
              <w:ind w:left="1004"/>
              <w:jc w:val="both"/>
              <w:rPr>
                <w:rFonts w:eastAsia="Yu Mincho"/>
                <w:bCs/>
                <w:iCs/>
                <w:sz w:val="21"/>
                <w:szCs w:val="21"/>
                <w:lang w:eastAsia="ja-JP"/>
              </w:rPr>
            </w:pPr>
            <w:r w:rsidRPr="00BD77F2">
              <w:rPr>
                <w:rFonts w:eastAsia="Batang"/>
                <w:sz w:val="21"/>
                <w:szCs w:val="21"/>
                <w:lang w:eastAsia="ja-JP"/>
              </w:rPr>
              <w:t>FFS how to realize such information exchange, e.g., signalling enhancement, and what is the spec impact.</w:t>
            </w:r>
          </w:p>
        </w:tc>
      </w:tr>
    </w:tbl>
    <w:p w14:paraId="6D734E22" w14:textId="77777777" w:rsidR="00BD77F2" w:rsidRPr="00BD77F2" w:rsidRDefault="00BD77F2" w:rsidP="00BD77F2">
      <w:pPr>
        <w:pStyle w:val="BodyText"/>
        <w:rPr>
          <w:sz w:val="21"/>
          <w:szCs w:val="21"/>
        </w:rPr>
      </w:pPr>
    </w:p>
    <w:p w14:paraId="108EA412" w14:textId="33E6D78D" w:rsidR="00BD77F2" w:rsidRDefault="0081016A" w:rsidP="00BD77F2">
      <w:pPr>
        <w:pStyle w:val="BodyText"/>
        <w:rPr>
          <w:sz w:val="21"/>
          <w:szCs w:val="21"/>
        </w:rPr>
      </w:pPr>
      <w:r w:rsidRPr="0081016A">
        <w:rPr>
          <w:sz w:val="21"/>
          <w:szCs w:val="21"/>
        </w:rPr>
        <w:t xml:space="preserve">The original </w:t>
      </w:r>
      <w:r>
        <w:rPr>
          <w:sz w:val="21"/>
          <w:szCs w:val="21"/>
        </w:rPr>
        <w:t>scope was only CA and DC, but since the similar issues were recognized for non-CA case as well, it was also included to the RAN4 discussion.</w:t>
      </w:r>
    </w:p>
    <w:p w14:paraId="719BC717" w14:textId="77777777" w:rsidR="0081016A" w:rsidRDefault="0081016A" w:rsidP="00BD77F2">
      <w:pPr>
        <w:pStyle w:val="BodyText"/>
        <w:rPr>
          <w:sz w:val="21"/>
          <w:szCs w:val="21"/>
        </w:rPr>
      </w:pPr>
    </w:p>
    <w:p w14:paraId="6FC461EE" w14:textId="25849D16" w:rsidR="00AC16BB" w:rsidRDefault="00AC16BB" w:rsidP="00AC16BB">
      <w:pPr>
        <w:pStyle w:val="BodyText"/>
        <w:rPr>
          <w:sz w:val="21"/>
          <w:szCs w:val="21"/>
        </w:rPr>
      </w:pPr>
      <w:r>
        <w:rPr>
          <w:rFonts w:eastAsia="SimSun"/>
          <w:sz w:val="21"/>
          <w:szCs w:val="21"/>
        </w:rPr>
        <w:t xml:space="preserve">In RAN4, it was agreed that </w:t>
      </w:r>
      <w:r>
        <w:rPr>
          <w:sz w:val="21"/>
          <w:szCs w:val="21"/>
        </w:rPr>
        <w:t xml:space="preserve">such </w:t>
      </w:r>
      <w:r w:rsidRPr="0081016A">
        <w:rPr>
          <w:sz w:val="21"/>
          <w:szCs w:val="21"/>
        </w:rPr>
        <w:t xml:space="preserve">reporting </w:t>
      </w:r>
      <w:r>
        <w:rPr>
          <w:sz w:val="21"/>
          <w:szCs w:val="21"/>
        </w:rPr>
        <w:t xml:space="preserve">is </w:t>
      </w:r>
      <w:r w:rsidRPr="0081016A">
        <w:rPr>
          <w:sz w:val="21"/>
          <w:szCs w:val="21"/>
        </w:rPr>
        <w:t>triggered upon uplink duty cycle exceedance or upon return to the power class after the duty cycle exceedance</w:t>
      </w:r>
      <w:r>
        <w:rPr>
          <w:sz w:val="21"/>
          <w:szCs w:val="21"/>
        </w:rPr>
        <w:t xml:space="preserve"> (</w:t>
      </w:r>
      <w:r>
        <w:rPr>
          <w:rFonts w:eastAsia="SimSun"/>
          <w:sz w:val="21"/>
          <w:szCs w:val="21"/>
        </w:rPr>
        <w:t xml:space="preserve">the introduced </w:t>
      </w:r>
      <w:r w:rsidRPr="00BD77F2">
        <w:rPr>
          <w:rFonts w:eastAsia="SimSun"/>
          <w:sz w:val="21"/>
          <w:szCs w:val="21"/>
        </w:rPr>
        <w:t>UE capability</w:t>
      </w:r>
      <w:r>
        <w:rPr>
          <w:rFonts w:eastAsia="SimSun"/>
          <w:sz w:val="21"/>
          <w:szCs w:val="21"/>
        </w:rPr>
        <w:t xml:space="preserve"> </w:t>
      </w:r>
      <w:r w:rsidRPr="00BD77F2">
        <w:rPr>
          <w:rFonts w:eastAsia="SimSun"/>
          <w:i/>
          <w:iCs/>
          <w:sz w:val="21"/>
          <w:szCs w:val="21"/>
        </w:rPr>
        <w:t>deltaPowerClassReporting-r18</w:t>
      </w:r>
      <w:r>
        <w:rPr>
          <w:sz w:val="21"/>
          <w:szCs w:val="21"/>
        </w:rPr>
        <w:t>). T</w:t>
      </w:r>
      <w:r w:rsidRPr="00AC16BB">
        <w:rPr>
          <w:sz w:val="21"/>
          <w:szCs w:val="21"/>
        </w:rPr>
        <w:t xml:space="preserve">his would </w:t>
      </w:r>
      <w:r>
        <w:rPr>
          <w:sz w:val="21"/>
          <w:szCs w:val="21"/>
        </w:rPr>
        <w:t xml:space="preserve">indeed </w:t>
      </w:r>
      <w:r w:rsidRPr="00AC16BB">
        <w:rPr>
          <w:sz w:val="21"/>
          <w:szCs w:val="21"/>
        </w:rPr>
        <w:t xml:space="preserve">circumvent some of the difficulties associated with duty-cycle reporting, </w:t>
      </w:r>
      <w:r>
        <w:rPr>
          <w:sz w:val="21"/>
          <w:szCs w:val="21"/>
        </w:rPr>
        <w:t xml:space="preserve">as </w:t>
      </w:r>
      <w:r w:rsidRPr="00AC16BB">
        <w:rPr>
          <w:sz w:val="21"/>
          <w:szCs w:val="21"/>
        </w:rPr>
        <w:t>the network is told when a power class is modified for SAR mitigation without limiting UE implementation to this end</w:t>
      </w:r>
      <w:r>
        <w:rPr>
          <w:sz w:val="21"/>
          <w:szCs w:val="21"/>
        </w:rPr>
        <w:t>.</w:t>
      </w:r>
      <w:r w:rsidR="00A1606B">
        <w:rPr>
          <w:sz w:val="21"/>
          <w:szCs w:val="21"/>
        </w:rPr>
        <w:t xml:space="preserve"> Thus, a “duty cycle” based method together with similar reporting could be considered as a solution for SAR compliance for NTN HPUEs as well. </w:t>
      </w:r>
    </w:p>
    <w:p w14:paraId="580C196C" w14:textId="77777777" w:rsidR="00AC16BB" w:rsidRDefault="00AC16BB" w:rsidP="00AC16BB">
      <w:pPr>
        <w:pStyle w:val="BodyText"/>
        <w:rPr>
          <w:sz w:val="21"/>
          <w:szCs w:val="21"/>
        </w:rPr>
      </w:pPr>
    </w:p>
    <w:p w14:paraId="7DC66F77" w14:textId="276D2BE4" w:rsidR="00AC16BB" w:rsidRDefault="00AC16BB" w:rsidP="00AC16BB">
      <w:pPr>
        <w:pStyle w:val="BodyText"/>
        <w:rPr>
          <w:sz w:val="21"/>
          <w:szCs w:val="21"/>
        </w:rPr>
      </w:pPr>
      <w:r>
        <w:rPr>
          <w:sz w:val="21"/>
          <w:szCs w:val="21"/>
        </w:rPr>
        <w:t xml:space="preserve">However, as stated above, </w:t>
      </w:r>
      <w:r w:rsidR="00A1606B">
        <w:rPr>
          <w:sz w:val="21"/>
          <w:szCs w:val="21"/>
        </w:rPr>
        <w:t xml:space="preserve">the problem is that </w:t>
      </w:r>
      <w:r>
        <w:rPr>
          <w:sz w:val="21"/>
          <w:szCs w:val="21"/>
        </w:rPr>
        <w:t xml:space="preserve">no UEs in the field provide the </w:t>
      </w:r>
      <w:r w:rsidRPr="00AC16BB">
        <w:rPr>
          <w:sz w:val="21"/>
          <w:szCs w:val="21"/>
        </w:rPr>
        <w:t>UL duty-cycle capabilities</w:t>
      </w:r>
      <w:r>
        <w:rPr>
          <w:sz w:val="21"/>
          <w:szCs w:val="21"/>
        </w:rPr>
        <w:t xml:space="preserve"> and UEs use P-MPR method instead</w:t>
      </w:r>
      <w:r w:rsidR="00A1606B">
        <w:rPr>
          <w:sz w:val="21"/>
          <w:szCs w:val="21"/>
        </w:rPr>
        <w:t xml:space="preserve"> (</w:t>
      </w:r>
      <w:r>
        <w:rPr>
          <w:sz w:val="21"/>
          <w:szCs w:val="21"/>
        </w:rPr>
        <w:t>as</w:t>
      </w:r>
      <w:r w:rsidR="00A1606B">
        <w:rPr>
          <w:sz w:val="21"/>
          <w:szCs w:val="21"/>
        </w:rPr>
        <w:t xml:space="preserve"> that method is a better fit for FDD bands)</w:t>
      </w:r>
      <w:r>
        <w:rPr>
          <w:sz w:val="21"/>
          <w:szCs w:val="21"/>
        </w:rPr>
        <w:t xml:space="preserve">. </w:t>
      </w:r>
      <w:r w:rsidR="00A1606B">
        <w:rPr>
          <w:sz w:val="21"/>
          <w:szCs w:val="21"/>
        </w:rPr>
        <w:t>So, for NTN HPUEs the optional DPC-reporting feature should also be</w:t>
      </w:r>
      <w:r>
        <w:rPr>
          <w:sz w:val="21"/>
          <w:szCs w:val="21"/>
        </w:rPr>
        <w:t xml:space="preserve"> </w:t>
      </w:r>
      <w:r w:rsidR="00A1606B" w:rsidRPr="00A1606B">
        <w:rPr>
          <w:sz w:val="21"/>
          <w:szCs w:val="21"/>
        </w:rPr>
        <w:t>available to UEs using P-MPR for managing excessive UL duty cycles</w:t>
      </w:r>
      <w:r w:rsidR="00A1606B">
        <w:rPr>
          <w:sz w:val="21"/>
          <w:szCs w:val="21"/>
        </w:rPr>
        <w:t>, which</w:t>
      </w:r>
      <w:r w:rsidR="00A1606B" w:rsidRPr="00A1606B">
        <w:rPr>
          <w:sz w:val="21"/>
          <w:szCs w:val="21"/>
        </w:rPr>
        <w:t xml:space="preserve"> would ensure </w:t>
      </w:r>
      <w:r w:rsidR="00A1606B">
        <w:rPr>
          <w:sz w:val="21"/>
          <w:szCs w:val="21"/>
        </w:rPr>
        <w:t xml:space="preserve">that </w:t>
      </w:r>
      <w:r w:rsidR="00A1606B" w:rsidRPr="00A1606B">
        <w:rPr>
          <w:sz w:val="21"/>
          <w:szCs w:val="21"/>
        </w:rPr>
        <w:t>the feature can be used for improving scheduling in the field based on the actual power capability for supporting UEs</w:t>
      </w:r>
      <w:r w:rsidR="00A1606B">
        <w:rPr>
          <w:sz w:val="21"/>
          <w:szCs w:val="21"/>
        </w:rPr>
        <w:t>.</w:t>
      </w:r>
    </w:p>
    <w:p w14:paraId="176C4439" w14:textId="77777777" w:rsidR="00833E7B" w:rsidRDefault="00833E7B" w:rsidP="00AC16BB">
      <w:pPr>
        <w:pStyle w:val="BodyText"/>
        <w:rPr>
          <w:sz w:val="21"/>
          <w:szCs w:val="21"/>
        </w:rPr>
      </w:pPr>
    </w:p>
    <w:p w14:paraId="4F8B004A" w14:textId="02365DB9" w:rsidR="00833E7B" w:rsidRPr="00833E7B" w:rsidRDefault="00833E7B" w:rsidP="00833E7B">
      <w:pPr>
        <w:pStyle w:val="BodyText"/>
        <w:rPr>
          <w:b/>
          <w:bCs/>
          <w:sz w:val="21"/>
          <w:szCs w:val="21"/>
        </w:rPr>
      </w:pPr>
      <w:r w:rsidRPr="00833E7B">
        <w:rPr>
          <w:b/>
          <w:bCs/>
          <w:sz w:val="21"/>
          <w:szCs w:val="21"/>
        </w:rPr>
        <w:t xml:space="preserve">Observation 2: </w:t>
      </w:r>
      <w:r w:rsidRPr="00833E7B">
        <w:rPr>
          <w:b/>
          <w:bCs/>
          <w:sz w:val="21"/>
          <w:szCs w:val="21"/>
          <w:lang w:eastAsia="ja-JP"/>
        </w:rPr>
        <w:t xml:space="preserve">“Duty-cycle” based and the P-MPR based methods in combination with reporting of the </w:t>
      </w:r>
      <w:r w:rsidRPr="00833E7B">
        <w:rPr>
          <w:rFonts w:eastAsia="SimSun"/>
          <w:b/>
          <w:bCs/>
          <w:sz w:val="21"/>
          <w:szCs w:val="21"/>
        </w:rPr>
        <w:t>actual power-capability state of a UE</w:t>
      </w:r>
      <w:r w:rsidRPr="00833E7B">
        <w:rPr>
          <w:b/>
          <w:bCs/>
          <w:sz w:val="21"/>
          <w:szCs w:val="21"/>
          <w:lang w:eastAsia="ja-JP"/>
        </w:rPr>
        <w:t xml:space="preserve"> could be considered for NTN HPUEs, </w:t>
      </w:r>
      <w:proofErr w:type="gramStart"/>
      <w:r w:rsidRPr="00833E7B">
        <w:rPr>
          <w:b/>
          <w:bCs/>
          <w:sz w:val="21"/>
          <w:szCs w:val="21"/>
          <w:lang w:eastAsia="ja-JP"/>
        </w:rPr>
        <w:t>similar to</w:t>
      </w:r>
      <w:proofErr w:type="gramEnd"/>
      <w:r w:rsidRPr="00833E7B">
        <w:rPr>
          <w:b/>
          <w:bCs/>
          <w:sz w:val="21"/>
          <w:szCs w:val="21"/>
          <w:lang w:eastAsia="ja-JP"/>
        </w:rPr>
        <w:t xml:space="preserve"> Rel-18 enhancements introduced for TN.</w:t>
      </w:r>
    </w:p>
    <w:p w14:paraId="2B28993A" w14:textId="77777777" w:rsidR="00833E7B" w:rsidRPr="0081016A" w:rsidRDefault="00833E7B" w:rsidP="00AC16BB">
      <w:pPr>
        <w:pStyle w:val="BodyText"/>
        <w:rPr>
          <w:sz w:val="21"/>
          <w:szCs w:val="21"/>
        </w:rPr>
      </w:pPr>
    </w:p>
    <w:p w14:paraId="693DF948" w14:textId="5BEDCF03" w:rsidR="00AC16BB" w:rsidRDefault="00AC16BB" w:rsidP="00BD77F2">
      <w:pPr>
        <w:pStyle w:val="BodyText"/>
        <w:rPr>
          <w:rFonts w:eastAsia="SimSun"/>
          <w:sz w:val="21"/>
          <w:szCs w:val="21"/>
        </w:rPr>
      </w:pPr>
    </w:p>
    <w:p w14:paraId="13F8DA75" w14:textId="4464AF09" w:rsidR="00A1606B" w:rsidRDefault="00A1606B" w:rsidP="00BD77F2">
      <w:pPr>
        <w:pStyle w:val="BodyText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The “updated” Rel-18 “Single Entry PHR MAC CE” has the following structure</w:t>
      </w:r>
      <w:r w:rsidR="00781E89">
        <w:rPr>
          <w:rFonts w:eastAsia="SimSun"/>
          <w:sz w:val="21"/>
          <w:szCs w:val="21"/>
        </w:rPr>
        <w:t xml:space="preserve"> [5]</w:t>
      </w:r>
      <w:r>
        <w:rPr>
          <w:rFonts w:eastAsia="SimSun"/>
          <w:sz w:val="21"/>
          <w:szCs w:val="21"/>
        </w:rPr>
        <w:t>:</w:t>
      </w:r>
    </w:p>
    <w:p w14:paraId="40FCAF68" w14:textId="77777777" w:rsidR="00A1606B" w:rsidRDefault="00A1606B" w:rsidP="00A1606B">
      <w:pPr>
        <w:pStyle w:val="BodyText"/>
        <w:jc w:val="center"/>
        <w:rPr>
          <w:rFonts w:eastAsia="SimSun"/>
          <w:sz w:val="21"/>
          <w:szCs w:val="21"/>
        </w:rPr>
      </w:pPr>
    </w:p>
    <w:p w14:paraId="04F82AAC" w14:textId="638BA1A8" w:rsidR="00A1606B" w:rsidRDefault="00A1606B" w:rsidP="00A1606B">
      <w:pPr>
        <w:pStyle w:val="BodyText"/>
        <w:jc w:val="center"/>
        <w:rPr>
          <w:rFonts w:eastAsia="SimSun"/>
          <w:sz w:val="21"/>
          <w:szCs w:val="21"/>
        </w:rPr>
      </w:pPr>
      <w:r w:rsidRPr="006B2C91">
        <w:rPr>
          <w:noProof/>
        </w:rPr>
        <w:drawing>
          <wp:inline distT="0" distB="0" distL="0" distR="0" wp14:anchorId="3F89ACC0" wp14:editId="158098F1">
            <wp:extent cx="2914650" cy="1350645"/>
            <wp:effectExtent l="0" t="0" r="0" b="1905"/>
            <wp:docPr id="14714953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2B9CF" w14:textId="77777777" w:rsidR="004967D4" w:rsidRDefault="004967D4" w:rsidP="004045F2">
      <w:pPr>
        <w:spacing w:after="120"/>
        <w:rPr>
          <w:rFonts w:eastAsia="SimSun"/>
          <w:sz w:val="21"/>
          <w:szCs w:val="21"/>
        </w:rPr>
      </w:pPr>
    </w:p>
    <w:p w14:paraId="6E5E3CDC" w14:textId="7177E97F" w:rsidR="000E22A1" w:rsidRPr="00833E7B" w:rsidRDefault="000E22A1" w:rsidP="004045F2">
      <w:pPr>
        <w:spacing w:after="120"/>
        <w:rPr>
          <w:rFonts w:eastAsia="SimSun"/>
          <w:sz w:val="21"/>
          <w:szCs w:val="21"/>
        </w:rPr>
      </w:pPr>
      <w:r w:rsidRPr="00833E7B">
        <w:rPr>
          <w:rFonts w:eastAsia="SimSun"/>
          <w:sz w:val="21"/>
          <w:szCs w:val="21"/>
        </w:rPr>
        <w:t>Currently, the DPC field is defined as follows, irrespective of P</w:t>
      </w:r>
      <w:r w:rsidR="0079119C" w:rsidRPr="00833E7B">
        <w:rPr>
          <w:rFonts w:eastAsia="SimSun"/>
          <w:sz w:val="21"/>
          <w:szCs w:val="21"/>
        </w:rPr>
        <w:t xml:space="preserve"> field</w:t>
      </w:r>
      <w:r w:rsidRPr="00833E7B">
        <w:rPr>
          <w:rFonts w:eastAsia="SimSun"/>
          <w:sz w:val="21"/>
          <w:szCs w:val="21"/>
        </w:rPr>
        <w:t>, which for FR1 only indicates that the power backoff is applied due to power management (as allowed by P-MPRc):</w:t>
      </w:r>
    </w:p>
    <w:p w14:paraId="6FAA9335" w14:textId="359BE421" w:rsidR="000E22A1" w:rsidRPr="000E22A1" w:rsidRDefault="000E22A1" w:rsidP="000E22A1">
      <w:pPr>
        <w:spacing w:after="120"/>
        <w:ind w:left="720"/>
        <w:rPr>
          <w:sz w:val="21"/>
          <w:szCs w:val="21"/>
          <w:lang w:val="en-GB"/>
        </w:rPr>
      </w:pPr>
      <w:r w:rsidRPr="000E22A1">
        <w:rPr>
          <w:rFonts w:eastAsia="SimSun"/>
          <w:sz w:val="21"/>
          <w:szCs w:val="21"/>
          <w:lang w:val="en-GB" w:eastAsia="en-US"/>
        </w:rPr>
        <w:t xml:space="preserve">DPC = ‘00’: </w:t>
      </w:r>
      <w:r w:rsidRPr="00833E7B">
        <w:rPr>
          <w:sz w:val="21"/>
          <w:szCs w:val="21"/>
          <w:lang w:val="en-GB"/>
        </w:rPr>
        <w:t>the criteria to report DPC is not met</w:t>
      </w:r>
    </w:p>
    <w:p w14:paraId="7DDE4A24" w14:textId="78FEB823" w:rsidR="000E22A1" w:rsidRPr="000E22A1" w:rsidRDefault="000E22A1" w:rsidP="000E22A1">
      <w:pPr>
        <w:spacing w:after="120"/>
        <w:ind w:left="720"/>
        <w:rPr>
          <w:sz w:val="21"/>
          <w:szCs w:val="21"/>
          <w:lang w:val="en-GB"/>
        </w:rPr>
      </w:pPr>
      <w:r w:rsidRPr="000E22A1">
        <w:rPr>
          <w:rFonts w:eastAsia="SimSun"/>
          <w:sz w:val="21"/>
          <w:szCs w:val="21"/>
          <w:lang w:val="en-GB" w:eastAsia="en-US"/>
        </w:rPr>
        <w:lastRenderedPageBreak/>
        <w:t xml:space="preserve">DPC = ‘01’: </w:t>
      </w:r>
      <w:r w:rsidRPr="000E22A1">
        <w:rPr>
          <w:sz w:val="21"/>
          <w:szCs w:val="21"/>
          <w:lang w:val="en-GB"/>
        </w:rPr>
        <w:t>ΔP</w:t>
      </w:r>
      <w:r w:rsidRPr="000E22A1">
        <w:rPr>
          <w:sz w:val="21"/>
          <w:szCs w:val="21"/>
          <w:vertAlign w:val="subscript"/>
          <w:lang w:val="en-GB"/>
        </w:rPr>
        <w:t>PowerClass</w:t>
      </w:r>
      <w:r w:rsidRPr="000E22A1">
        <w:rPr>
          <w:sz w:val="21"/>
          <w:szCs w:val="21"/>
          <w:lang w:val="en-GB"/>
        </w:rPr>
        <w:t xml:space="preserve"> = </w:t>
      </w:r>
      <w:r w:rsidRPr="00833E7B">
        <w:rPr>
          <w:sz w:val="21"/>
          <w:szCs w:val="21"/>
          <w:lang w:val="en-GB"/>
        </w:rPr>
        <w:t>0</w:t>
      </w:r>
      <w:r w:rsidRPr="000E22A1">
        <w:rPr>
          <w:sz w:val="21"/>
          <w:szCs w:val="21"/>
          <w:lang w:val="en-GB"/>
        </w:rPr>
        <w:t xml:space="preserve"> dB</w:t>
      </w:r>
    </w:p>
    <w:p w14:paraId="53CF4AE0" w14:textId="07E42B56" w:rsidR="000E22A1" w:rsidRPr="00833E7B" w:rsidRDefault="000E22A1" w:rsidP="000E22A1">
      <w:pPr>
        <w:spacing w:after="120"/>
        <w:ind w:left="720"/>
        <w:rPr>
          <w:sz w:val="21"/>
          <w:szCs w:val="21"/>
          <w:lang w:val="en-GB"/>
        </w:rPr>
      </w:pPr>
      <w:r w:rsidRPr="000E22A1">
        <w:rPr>
          <w:rFonts w:eastAsia="SimSun"/>
          <w:sz w:val="21"/>
          <w:szCs w:val="21"/>
          <w:lang w:val="en-GB" w:eastAsia="en-US"/>
        </w:rPr>
        <w:t xml:space="preserve">DPC = ‘10’: </w:t>
      </w:r>
      <w:r w:rsidRPr="000E22A1">
        <w:rPr>
          <w:sz w:val="21"/>
          <w:szCs w:val="21"/>
          <w:lang w:val="en-GB"/>
        </w:rPr>
        <w:t>ΔP</w:t>
      </w:r>
      <w:r w:rsidRPr="000E22A1">
        <w:rPr>
          <w:sz w:val="21"/>
          <w:szCs w:val="21"/>
          <w:vertAlign w:val="subscript"/>
          <w:lang w:val="en-GB"/>
        </w:rPr>
        <w:t>PowerClass</w:t>
      </w:r>
      <w:r w:rsidRPr="000E22A1">
        <w:rPr>
          <w:sz w:val="21"/>
          <w:szCs w:val="21"/>
          <w:lang w:val="en-GB"/>
        </w:rPr>
        <w:t xml:space="preserve"> = </w:t>
      </w:r>
      <w:r w:rsidRPr="00833E7B">
        <w:rPr>
          <w:sz w:val="21"/>
          <w:szCs w:val="21"/>
          <w:lang w:val="en-GB"/>
        </w:rPr>
        <w:t>3 d</w:t>
      </w:r>
      <w:r w:rsidRPr="000E22A1">
        <w:rPr>
          <w:sz w:val="21"/>
          <w:szCs w:val="21"/>
          <w:lang w:val="en-GB"/>
        </w:rPr>
        <w:t>B</w:t>
      </w:r>
    </w:p>
    <w:p w14:paraId="11310E43" w14:textId="492F80C4" w:rsidR="000E22A1" w:rsidRPr="000E22A1" w:rsidRDefault="000E22A1" w:rsidP="000E22A1">
      <w:pPr>
        <w:spacing w:after="120"/>
        <w:ind w:left="720"/>
        <w:rPr>
          <w:sz w:val="21"/>
          <w:szCs w:val="21"/>
          <w:lang w:val="en-GB"/>
        </w:rPr>
      </w:pPr>
      <w:r w:rsidRPr="000E22A1">
        <w:rPr>
          <w:rFonts w:eastAsia="SimSun"/>
          <w:sz w:val="21"/>
          <w:szCs w:val="21"/>
          <w:lang w:val="en-GB" w:eastAsia="en-US"/>
        </w:rPr>
        <w:t xml:space="preserve">DPC = ‘10’: </w:t>
      </w:r>
      <w:r w:rsidRPr="000E22A1">
        <w:rPr>
          <w:sz w:val="21"/>
          <w:szCs w:val="21"/>
          <w:lang w:val="en-GB"/>
        </w:rPr>
        <w:t>ΔP</w:t>
      </w:r>
      <w:r w:rsidRPr="000E22A1">
        <w:rPr>
          <w:sz w:val="21"/>
          <w:szCs w:val="21"/>
          <w:vertAlign w:val="subscript"/>
          <w:lang w:val="en-GB"/>
        </w:rPr>
        <w:t>PowerClass</w:t>
      </w:r>
      <w:r w:rsidRPr="000E22A1">
        <w:rPr>
          <w:sz w:val="21"/>
          <w:szCs w:val="21"/>
          <w:lang w:val="en-GB"/>
        </w:rPr>
        <w:t xml:space="preserve"> = 6 dB</w:t>
      </w:r>
    </w:p>
    <w:p w14:paraId="68841652" w14:textId="0B63500B" w:rsidR="000E22A1" w:rsidRPr="00833E7B" w:rsidRDefault="000E22A1" w:rsidP="004045F2">
      <w:pPr>
        <w:spacing w:after="120"/>
        <w:rPr>
          <w:rFonts w:eastAsia="SimSun"/>
          <w:sz w:val="21"/>
          <w:szCs w:val="21"/>
        </w:rPr>
      </w:pPr>
      <w:r w:rsidRPr="00833E7B">
        <w:rPr>
          <w:rFonts w:eastAsia="SimSun"/>
          <w:sz w:val="21"/>
          <w:szCs w:val="21"/>
          <w:lang w:val="en-GB"/>
        </w:rPr>
        <w:t xml:space="preserve">The </w:t>
      </w:r>
      <w:r w:rsidR="00833E7B" w:rsidRPr="00833E7B">
        <w:rPr>
          <w:rFonts w:eastAsia="SimSun"/>
          <w:sz w:val="21"/>
          <w:szCs w:val="21"/>
          <w:lang w:val="en-GB"/>
        </w:rPr>
        <w:t xml:space="preserve">PHR </w:t>
      </w:r>
      <w:r w:rsidRPr="00833E7B">
        <w:rPr>
          <w:rFonts w:eastAsia="SimSun"/>
          <w:sz w:val="21"/>
          <w:szCs w:val="21"/>
          <w:lang w:val="en-GB"/>
        </w:rPr>
        <w:t xml:space="preserve">reporting that could be applied to NTN UEs </w:t>
      </w:r>
      <w:r w:rsidR="0079119C" w:rsidRPr="00833E7B">
        <w:rPr>
          <w:rFonts w:eastAsia="SimSun"/>
          <w:sz w:val="21"/>
          <w:szCs w:val="21"/>
          <w:lang w:val="en-GB"/>
        </w:rPr>
        <w:t>could</w:t>
      </w:r>
      <w:r w:rsidRPr="00833E7B">
        <w:rPr>
          <w:rFonts w:eastAsia="SimSun"/>
          <w:sz w:val="21"/>
          <w:szCs w:val="21"/>
          <w:lang w:val="en-GB"/>
        </w:rPr>
        <w:t xml:space="preserve"> reuse exactly the same structure </w:t>
      </w:r>
      <w:r w:rsidR="004967D4" w:rsidRPr="00833E7B">
        <w:rPr>
          <w:rFonts w:eastAsia="SimSun"/>
          <w:sz w:val="21"/>
          <w:szCs w:val="21"/>
          <w:lang w:val="en-GB"/>
        </w:rPr>
        <w:t xml:space="preserve">as for </w:t>
      </w:r>
      <w:r w:rsidRPr="00833E7B">
        <w:rPr>
          <w:rFonts w:eastAsia="SimSun"/>
          <w:sz w:val="21"/>
          <w:szCs w:val="21"/>
          <w:lang w:val="en-GB"/>
        </w:rPr>
        <w:t xml:space="preserve">the </w:t>
      </w:r>
      <w:r w:rsidRPr="00833E7B">
        <w:rPr>
          <w:rFonts w:eastAsia="SimSun"/>
          <w:sz w:val="21"/>
          <w:szCs w:val="21"/>
        </w:rPr>
        <w:t>“Single Entry PHR MAC CE”</w:t>
      </w:r>
      <w:r w:rsidR="0079119C" w:rsidRPr="00833E7B">
        <w:rPr>
          <w:rFonts w:eastAsia="SimSun"/>
          <w:sz w:val="21"/>
          <w:szCs w:val="21"/>
        </w:rPr>
        <w:t xml:space="preserve">, but with </w:t>
      </w:r>
      <w:r w:rsidR="00833E7B" w:rsidRPr="00833E7B">
        <w:rPr>
          <w:rFonts w:eastAsia="SimSun"/>
          <w:sz w:val="21"/>
          <w:szCs w:val="21"/>
        </w:rPr>
        <w:t>an</w:t>
      </w:r>
      <w:r w:rsidR="0079119C" w:rsidRPr="00833E7B">
        <w:rPr>
          <w:rFonts w:eastAsia="SimSun"/>
          <w:sz w:val="21"/>
          <w:szCs w:val="21"/>
        </w:rPr>
        <w:t xml:space="preserve"> improvement</w:t>
      </w:r>
      <w:r w:rsidR="0038017D" w:rsidRPr="00833E7B">
        <w:rPr>
          <w:rFonts w:eastAsia="SimSun"/>
          <w:sz w:val="21"/>
          <w:szCs w:val="21"/>
        </w:rPr>
        <w:t xml:space="preserve"> where the DPC field could indicate either the actual ΔP</w:t>
      </w:r>
      <w:r w:rsidR="0038017D" w:rsidRPr="00833E7B">
        <w:rPr>
          <w:rFonts w:eastAsia="SimSun"/>
          <w:sz w:val="21"/>
          <w:szCs w:val="21"/>
          <w:vertAlign w:val="subscript"/>
        </w:rPr>
        <w:t>PowerClass</w:t>
      </w:r>
      <w:r w:rsidR="0038017D" w:rsidRPr="00833E7B">
        <w:rPr>
          <w:rFonts w:eastAsia="SimSun"/>
          <w:sz w:val="21"/>
          <w:szCs w:val="21"/>
        </w:rPr>
        <w:t xml:space="preserve"> applied in </w:t>
      </w:r>
      <w:proofErr w:type="gramStart"/>
      <w:r w:rsidR="0038017D" w:rsidRPr="00833E7B">
        <w:rPr>
          <w:rFonts w:eastAsia="SimSun"/>
          <w:sz w:val="21"/>
          <w:szCs w:val="21"/>
        </w:rPr>
        <w:t>P</w:t>
      </w:r>
      <w:r w:rsidR="0038017D" w:rsidRPr="00833E7B">
        <w:rPr>
          <w:rFonts w:eastAsia="SimSun"/>
          <w:sz w:val="21"/>
          <w:szCs w:val="21"/>
          <w:vertAlign w:val="subscript"/>
        </w:rPr>
        <w:t>CMAX,f</w:t>
      </w:r>
      <w:proofErr w:type="gramEnd"/>
      <w:r w:rsidR="0038017D" w:rsidRPr="00833E7B">
        <w:rPr>
          <w:rFonts w:eastAsia="SimSun"/>
          <w:sz w:val="21"/>
          <w:szCs w:val="21"/>
          <w:vertAlign w:val="subscript"/>
        </w:rPr>
        <w:t>,c</w:t>
      </w:r>
      <w:r w:rsidR="0038017D" w:rsidRPr="00833E7B">
        <w:rPr>
          <w:rFonts w:eastAsia="SimSun"/>
          <w:sz w:val="21"/>
          <w:szCs w:val="21"/>
        </w:rPr>
        <w:t xml:space="preserve"> or the actual P-MPR applied (with granularity of 3dB)</w:t>
      </w:r>
      <w:r w:rsidR="0079119C" w:rsidRPr="00833E7B">
        <w:rPr>
          <w:rFonts w:eastAsia="SimSun"/>
          <w:sz w:val="21"/>
          <w:szCs w:val="21"/>
        </w:rPr>
        <w:t>:</w:t>
      </w:r>
    </w:p>
    <w:p w14:paraId="15333A3E" w14:textId="614E54D8" w:rsidR="0079119C" w:rsidRPr="00833E7B" w:rsidRDefault="0079119C" w:rsidP="0079119C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/>
        </w:rPr>
        <w:t xml:space="preserve">If the P-bit is set to ‘0’, power-class fallback reporting is used due to </w:t>
      </w:r>
      <w:r w:rsidR="00DB464F" w:rsidRPr="00833E7B">
        <w:rPr>
          <w:rFonts w:eastAsia="SimSun"/>
          <w:sz w:val="21"/>
          <w:szCs w:val="21"/>
          <w:lang w:val="en-GB"/>
        </w:rPr>
        <w:t>e.g. a duty cycle exceedance:</w:t>
      </w:r>
    </w:p>
    <w:p w14:paraId="21744343" w14:textId="77777777" w:rsidR="00DB464F" w:rsidRPr="00833E7B" w:rsidRDefault="00DB464F" w:rsidP="00DB464F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 xml:space="preserve">DPC = ‘00’: </w:t>
      </w:r>
      <w:r w:rsidRPr="00833E7B">
        <w:rPr>
          <w:sz w:val="21"/>
          <w:szCs w:val="21"/>
          <w:lang w:val="en-GB"/>
        </w:rPr>
        <w:t>the criteria to report DPC is not met</w:t>
      </w:r>
    </w:p>
    <w:p w14:paraId="04452DD8" w14:textId="77777777" w:rsidR="00DB464F" w:rsidRPr="00833E7B" w:rsidRDefault="00DB464F" w:rsidP="00DB464F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 xml:space="preserve">DPC = ‘01’: </w:t>
      </w:r>
      <w:bookmarkStart w:id="0" w:name="_Hlk181968333"/>
      <w:r w:rsidRPr="00833E7B">
        <w:rPr>
          <w:sz w:val="21"/>
          <w:szCs w:val="21"/>
          <w:lang w:val="en-GB"/>
        </w:rPr>
        <w:t>ΔP</w:t>
      </w:r>
      <w:r w:rsidRPr="00833E7B">
        <w:rPr>
          <w:sz w:val="21"/>
          <w:szCs w:val="21"/>
          <w:vertAlign w:val="subscript"/>
          <w:lang w:val="en-GB"/>
        </w:rPr>
        <w:t>PowerClass</w:t>
      </w:r>
      <w:bookmarkEnd w:id="0"/>
      <w:r w:rsidRPr="00833E7B">
        <w:rPr>
          <w:sz w:val="21"/>
          <w:szCs w:val="21"/>
          <w:lang w:val="en-GB"/>
        </w:rPr>
        <w:t xml:space="preserve"> = 0 dB</w:t>
      </w:r>
    </w:p>
    <w:p w14:paraId="6CFC7C66" w14:textId="77777777" w:rsidR="00DB464F" w:rsidRPr="00833E7B" w:rsidRDefault="00DB464F" w:rsidP="00DB464F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 xml:space="preserve">DPC = ‘10’: </w:t>
      </w:r>
      <w:r w:rsidRPr="00833E7B">
        <w:rPr>
          <w:sz w:val="21"/>
          <w:szCs w:val="21"/>
          <w:lang w:val="en-GB"/>
        </w:rPr>
        <w:t>ΔP</w:t>
      </w:r>
      <w:r w:rsidRPr="00833E7B">
        <w:rPr>
          <w:sz w:val="21"/>
          <w:szCs w:val="21"/>
          <w:vertAlign w:val="subscript"/>
          <w:lang w:val="en-GB"/>
        </w:rPr>
        <w:t>PowerClass</w:t>
      </w:r>
      <w:r w:rsidRPr="00833E7B">
        <w:rPr>
          <w:sz w:val="21"/>
          <w:szCs w:val="21"/>
          <w:lang w:val="en-GB"/>
        </w:rPr>
        <w:t xml:space="preserve"> = 3 dB</w:t>
      </w:r>
    </w:p>
    <w:p w14:paraId="2D3D5974" w14:textId="25A0313F" w:rsidR="00DB464F" w:rsidRPr="00833E7B" w:rsidRDefault="00DB464F" w:rsidP="00DB464F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>DPC = ‘1</w:t>
      </w:r>
      <w:r w:rsidR="00AD2FEA" w:rsidRPr="00833E7B">
        <w:rPr>
          <w:rFonts w:eastAsia="SimSun"/>
          <w:sz w:val="21"/>
          <w:szCs w:val="21"/>
          <w:lang w:val="en-GB" w:eastAsia="en-US"/>
        </w:rPr>
        <w:t>1</w:t>
      </w:r>
      <w:r w:rsidRPr="00833E7B">
        <w:rPr>
          <w:rFonts w:eastAsia="SimSun"/>
          <w:sz w:val="21"/>
          <w:szCs w:val="21"/>
          <w:lang w:val="en-GB" w:eastAsia="en-US"/>
        </w:rPr>
        <w:t xml:space="preserve">’: </w:t>
      </w:r>
      <w:r w:rsidRPr="00833E7B">
        <w:rPr>
          <w:sz w:val="21"/>
          <w:szCs w:val="21"/>
          <w:lang w:val="en-GB"/>
        </w:rPr>
        <w:t>ΔP</w:t>
      </w:r>
      <w:r w:rsidRPr="00833E7B">
        <w:rPr>
          <w:sz w:val="21"/>
          <w:szCs w:val="21"/>
          <w:vertAlign w:val="subscript"/>
          <w:lang w:val="en-GB"/>
        </w:rPr>
        <w:t>PowerClass</w:t>
      </w:r>
      <w:r w:rsidRPr="00833E7B">
        <w:rPr>
          <w:sz w:val="21"/>
          <w:szCs w:val="21"/>
          <w:lang w:val="en-GB"/>
        </w:rPr>
        <w:t xml:space="preserve"> = 6 dB</w:t>
      </w:r>
    </w:p>
    <w:p w14:paraId="19BE9629" w14:textId="71024849" w:rsidR="00DB464F" w:rsidRPr="00833E7B" w:rsidRDefault="00DB464F" w:rsidP="00DB464F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/>
        </w:rPr>
        <w:t>If the P-bit is set to ‘1’</w:t>
      </w:r>
      <w:r w:rsidR="0038017D" w:rsidRPr="00833E7B">
        <w:rPr>
          <w:rFonts w:eastAsia="SimSun"/>
          <w:sz w:val="21"/>
          <w:szCs w:val="21"/>
          <w:lang w:val="en-GB"/>
        </w:rPr>
        <w:t>, P-MPR</w:t>
      </w:r>
      <w:r w:rsidRPr="00833E7B">
        <w:rPr>
          <w:rFonts w:eastAsia="SimSun"/>
          <w:sz w:val="21"/>
          <w:szCs w:val="21"/>
          <w:lang w:val="en-GB"/>
        </w:rPr>
        <w:t xml:space="preserve"> </w:t>
      </w:r>
      <w:r w:rsidR="0038017D" w:rsidRPr="00833E7B">
        <w:rPr>
          <w:rFonts w:eastAsia="SimSun"/>
          <w:sz w:val="21"/>
          <w:szCs w:val="21"/>
          <w:lang w:val="en-GB"/>
        </w:rPr>
        <w:t xml:space="preserve">method </w:t>
      </w:r>
      <w:r w:rsidRPr="00833E7B">
        <w:rPr>
          <w:rFonts w:eastAsia="SimSun"/>
          <w:sz w:val="21"/>
          <w:szCs w:val="21"/>
          <w:lang w:val="en-GB"/>
        </w:rPr>
        <w:t>is used due to e.g. a duty cycle exceedance</w:t>
      </w:r>
      <w:r w:rsidR="0038017D" w:rsidRPr="00833E7B">
        <w:rPr>
          <w:rFonts w:eastAsia="SimSun"/>
          <w:sz w:val="21"/>
          <w:szCs w:val="21"/>
          <w:lang w:val="en-GB"/>
        </w:rPr>
        <w:t xml:space="preserve"> (where </w:t>
      </w:r>
      <w:r w:rsidR="0038017D" w:rsidRPr="00833E7B">
        <w:rPr>
          <w:rFonts w:eastAsia="SimSun"/>
          <w:sz w:val="21"/>
          <w:szCs w:val="21"/>
        </w:rPr>
        <w:t>ΔP</w:t>
      </w:r>
      <w:r w:rsidR="0038017D" w:rsidRPr="00833E7B">
        <w:rPr>
          <w:rFonts w:eastAsia="SimSun"/>
          <w:sz w:val="21"/>
          <w:szCs w:val="21"/>
          <w:vertAlign w:val="subscript"/>
        </w:rPr>
        <w:t>PowerClass</w:t>
      </w:r>
      <w:r w:rsidR="0038017D" w:rsidRPr="00833E7B">
        <w:rPr>
          <w:rFonts w:eastAsia="SimSun"/>
          <w:sz w:val="21"/>
          <w:szCs w:val="21"/>
          <w:lang w:val="en-GB"/>
        </w:rPr>
        <w:t xml:space="preserve"> is not actually applied </w:t>
      </w:r>
      <w:r w:rsidR="004967D4" w:rsidRPr="00833E7B">
        <w:rPr>
          <w:rFonts w:eastAsia="SimSun"/>
          <w:sz w:val="21"/>
          <w:szCs w:val="21"/>
          <w:lang w:val="en-GB"/>
        </w:rPr>
        <w:t>in</w:t>
      </w:r>
      <w:r w:rsidR="0038017D" w:rsidRPr="00833E7B">
        <w:rPr>
          <w:rFonts w:eastAsia="SimSun"/>
          <w:sz w:val="21"/>
          <w:szCs w:val="21"/>
          <w:lang w:val="en-GB"/>
        </w:rPr>
        <w:t xml:space="preserve"> </w:t>
      </w:r>
      <w:proofErr w:type="gramStart"/>
      <w:r w:rsidR="0038017D" w:rsidRPr="00833E7B">
        <w:rPr>
          <w:rFonts w:eastAsia="SimSun"/>
          <w:sz w:val="21"/>
          <w:szCs w:val="21"/>
        </w:rPr>
        <w:t>P</w:t>
      </w:r>
      <w:r w:rsidR="0038017D" w:rsidRPr="00833E7B">
        <w:rPr>
          <w:rFonts w:eastAsia="SimSun"/>
          <w:sz w:val="21"/>
          <w:szCs w:val="21"/>
          <w:vertAlign w:val="subscript"/>
        </w:rPr>
        <w:t>CMAX,f</w:t>
      </w:r>
      <w:proofErr w:type="gramEnd"/>
      <w:r w:rsidR="0038017D" w:rsidRPr="00833E7B">
        <w:rPr>
          <w:rFonts w:eastAsia="SimSun"/>
          <w:sz w:val="21"/>
          <w:szCs w:val="21"/>
          <w:vertAlign w:val="subscript"/>
        </w:rPr>
        <w:t>,c</w:t>
      </w:r>
      <w:r w:rsidR="0038017D" w:rsidRPr="00833E7B">
        <w:rPr>
          <w:rFonts w:eastAsia="SimSun"/>
          <w:sz w:val="21"/>
          <w:szCs w:val="21"/>
          <w:lang w:val="en-GB"/>
        </w:rPr>
        <w:t>)</w:t>
      </w:r>
      <w:r w:rsidRPr="00833E7B">
        <w:rPr>
          <w:rFonts w:eastAsia="SimSun"/>
          <w:sz w:val="21"/>
          <w:szCs w:val="21"/>
          <w:lang w:val="en-GB"/>
        </w:rPr>
        <w:t>:</w:t>
      </w:r>
    </w:p>
    <w:p w14:paraId="17EFC93B" w14:textId="20A43772" w:rsidR="0038017D" w:rsidRPr="00833E7B" w:rsidRDefault="0038017D" w:rsidP="0038017D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 xml:space="preserve">DPC = ‘00’: </w:t>
      </w:r>
      <w:r w:rsidR="00AD2FEA" w:rsidRPr="00833E7B">
        <w:rPr>
          <w:sz w:val="21"/>
          <w:szCs w:val="21"/>
          <w:lang w:val="en-GB"/>
        </w:rPr>
        <w:t>P-MPR is applied due to a proximity sensor or in case of simultaneous transmissions on multiple RAT(s) for scenarios not in scope of 3GPP RAN specifications</w:t>
      </w:r>
    </w:p>
    <w:p w14:paraId="65078AD0" w14:textId="56EFC696" w:rsidR="0038017D" w:rsidRPr="00833E7B" w:rsidRDefault="0038017D" w:rsidP="0038017D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 xml:space="preserve">DPC = ‘01’: </w:t>
      </w:r>
      <w:r w:rsidR="00AD2FEA" w:rsidRPr="00833E7B">
        <w:rPr>
          <w:sz w:val="21"/>
          <w:szCs w:val="21"/>
          <w:lang w:val="en-GB"/>
        </w:rPr>
        <w:t>0</w:t>
      </w:r>
      <w:r w:rsidRPr="00833E7B">
        <w:rPr>
          <w:sz w:val="21"/>
          <w:szCs w:val="21"/>
          <w:lang w:val="en-GB"/>
        </w:rPr>
        <w:t xml:space="preserve"> dB</w:t>
      </w:r>
      <w:r w:rsidR="00AD2FEA" w:rsidRPr="00833E7B">
        <w:rPr>
          <w:sz w:val="21"/>
          <w:szCs w:val="21"/>
          <w:lang w:val="en-GB"/>
        </w:rPr>
        <w:t xml:space="preserve"> when P-MPRc = 0dB</w:t>
      </w:r>
    </w:p>
    <w:p w14:paraId="6D65381C" w14:textId="47A24ED8" w:rsidR="0038017D" w:rsidRPr="00833E7B" w:rsidRDefault="0038017D" w:rsidP="0038017D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 xml:space="preserve">DPC = ‘10’: </w:t>
      </w:r>
      <w:r w:rsidR="00AD2FEA" w:rsidRPr="00833E7B">
        <w:rPr>
          <w:sz w:val="21"/>
          <w:szCs w:val="21"/>
          <w:lang w:val="en-GB"/>
        </w:rPr>
        <w:t>3</w:t>
      </w:r>
      <w:r w:rsidRPr="00833E7B">
        <w:rPr>
          <w:sz w:val="21"/>
          <w:szCs w:val="21"/>
          <w:lang w:val="en-GB"/>
        </w:rPr>
        <w:t xml:space="preserve"> dB</w:t>
      </w:r>
      <w:r w:rsidR="00AD2FEA" w:rsidRPr="00833E7B">
        <w:rPr>
          <w:sz w:val="21"/>
          <w:szCs w:val="21"/>
          <w:lang w:val="en-GB"/>
        </w:rPr>
        <w:t xml:space="preserve"> when 0 &lt; P-MPRc ≤ 3 dB</w:t>
      </w:r>
    </w:p>
    <w:p w14:paraId="5F266F40" w14:textId="38B792F4" w:rsidR="0038017D" w:rsidRPr="00833E7B" w:rsidRDefault="0038017D" w:rsidP="0038017D">
      <w:pPr>
        <w:pStyle w:val="ListParagraph"/>
        <w:numPr>
          <w:ilvl w:val="1"/>
          <w:numId w:val="24"/>
        </w:numPr>
        <w:spacing w:after="120"/>
        <w:ind w:firstLineChars="0"/>
        <w:rPr>
          <w:sz w:val="21"/>
          <w:szCs w:val="21"/>
          <w:lang w:val="en-GB"/>
        </w:rPr>
      </w:pPr>
      <w:r w:rsidRPr="00833E7B">
        <w:rPr>
          <w:rFonts w:eastAsia="SimSun"/>
          <w:sz w:val="21"/>
          <w:szCs w:val="21"/>
          <w:lang w:val="en-GB" w:eastAsia="en-US"/>
        </w:rPr>
        <w:t>DPC = ‘1</w:t>
      </w:r>
      <w:r w:rsidR="00AD2FEA" w:rsidRPr="00833E7B">
        <w:rPr>
          <w:rFonts w:eastAsia="SimSun"/>
          <w:sz w:val="21"/>
          <w:szCs w:val="21"/>
          <w:lang w:val="en-GB" w:eastAsia="en-US"/>
        </w:rPr>
        <w:t>1</w:t>
      </w:r>
      <w:r w:rsidRPr="00833E7B">
        <w:rPr>
          <w:rFonts w:eastAsia="SimSun"/>
          <w:sz w:val="21"/>
          <w:szCs w:val="21"/>
          <w:lang w:val="en-GB" w:eastAsia="en-US"/>
        </w:rPr>
        <w:t xml:space="preserve">’: </w:t>
      </w:r>
      <w:r w:rsidRPr="00833E7B">
        <w:rPr>
          <w:sz w:val="21"/>
          <w:szCs w:val="21"/>
          <w:lang w:val="en-GB"/>
        </w:rPr>
        <w:t>6 dB</w:t>
      </w:r>
      <w:r w:rsidR="00AD2FEA" w:rsidRPr="00833E7B">
        <w:rPr>
          <w:sz w:val="21"/>
          <w:szCs w:val="21"/>
          <w:lang w:val="en-GB"/>
        </w:rPr>
        <w:t xml:space="preserve"> when 3 &lt; P-MPRc ≤ 6 dB</w:t>
      </w:r>
    </w:p>
    <w:p w14:paraId="2C79E251" w14:textId="2F1BC433" w:rsidR="004045F2" w:rsidRDefault="00F97EF5" w:rsidP="004045F2">
      <w:pPr>
        <w:spacing w:after="120"/>
        <w:rPr>
          <w:rFonts w:eastAsia="SimSun"/>
          <w:b/>
          <w:bCs/>
          <w:sz w:val="21"/>
          <w:szCs w:val="21"/>
          <w:lang w:val="en-GB"/>
        </w:rPr>
      </w:pPr>
      <w:r w:rsidRPr="00833E7B">
        <w:rPr>
          <w:rFonts w:eastAsia="SimSun"/>
          <w:b/>
          <w:bCs/>
          <w:sz w:val="21"/>
          <w:szCs w:val="21"/>
          <w:lang w:val="en-GB"/>
        </w:rPr>
        <w:t xml:space="preserve">Proposal </w:t>
      </w:r>
      <w:r w:rsidR="00573660">
        <w:rPr>
          <w:rFonts w:eastAsia="SimSun"/>
          <w:b/>
          <w:bCs/>
          <w:sz w:val="21"/>
          <w:szCs w:val="21"/>
          <w:lang w:val="en-GB"/>
        </w:rPr>
        <w:t>2</w:t>
      </w:r>
      <w:r w:rsidRPr="00833E7B">
        <w:rPr>
          <w:rFonts w:eastAsia="SimSun"/>
          <w:b/>
          <w:bCs/>
          <w:sz w:val="21"/>
          <w:szCs w:val="21"/>
          <w:lang w:val="en-GB"/>
        </w:rPr>
        <w:t xml:space="preserve">: </w:t>
      </w:r>
      <w:r w:rsidR="00DB3CFB">
        <w:rPr>
          <w:rFonts w:eastAsia="SimSun"/>
          <w:b/>
          <w:bCs/>
          <w:sz w:val="21"/>
          <w:szCs w:val="21"/>
          <w:lang w:val="en-GB"/>
        </w:rPr>
        <w:t>Both P-MPR and</w:t>
      </w:r>
      <w:r w:rsidR="00833E7B">
        <w:rPr>
          <w:rFonts w:eastAsia="SimSun"/>
          <w:b/>
          <w:bCs/>
          <w:sz w:val="21"/>
          <w:szCs w:val="21"/>
          <w:lang w:val="en-GB"/>
        </w:rPr>
        <w:t xml:space="preserve"> “duty-cycle” based method </w:t>
      </w:r>
      <w:r w:rsidR="00DB3CFB">
        <w:rPr>
          <w:rFonts w:eastAsia="SimSun"/>
          <w:b/>
          <w:bCs/>
          <w:sz w:val="21"/>
          <w:szCs w:val="21"/>
          <w:lang w:val="en-GB"/>
        </w:rPr>
        <w:t xml:space="preserve">could be considered, but </w:t>
      </w:r>
      <w:r w:rsidR="00833E7B">
        <w:rPr>
          <w:rFonts w:eastAsia="SimSun"/>
          <w:b/>
          <w:bCs/>
          <w:sz w:val="21"/>
          <w:szCs w:val="21"/>
          <w:lang w:val="en-GB"/>
        </w:rPr>
        <w:t xml:space="preserve">only if </w:t>
      </w:r>
      <w:r w:rsidR="00DB3CFB">
        <w:rPr>
          <w:rFonts w:eastAsia="SimSun"/>
          <w:b/>
          <w:bCs/>
          <w:sz w:val="21"/>
          <w:szCs w:val="21"/>
          <w:lang w:val="en-GB"/>
        </w:rPr>
        <w:t xml:space="preserve">the “duty-cycle” based method is mandatorily accompanied with the </w:t>
      </w:r>
      <w:r w:rsidR="00DB3CFB" w:rsidRPr="00DB3CFB">
        <w:rPr>
          <w:rFonts w:eastAsia="SimSun"/>
          <w:b/>
          <w:bCs/>
          <w:sz w:val="21"/>
          <w:szCs w:val="21"/>
          <w:lang w:val="en-GB"/>
        </w:rPr>
        <w:t>ΔP</w:t>
      </w:r>
      <w:r w:rsidR="00DB3CFB" w:rsidRPr="00DB3CFB">
        <w:rPr>
          <w:rFonts w:eastAsia="SimSun"/>
          <w:b/>
          <w:bCs/>
          <w:sz w:val="21"/>
          <w:szCs w:val="21"/>
          <w:vertAlign w:val="subscript"/>
          <w:lang w:val="en-GB"/>
        </w:rPr>
        <w:t>PowerClass</w:t>
      </w:r>
      <w:r w:rsidR="00DB3CFB" w:rsidRPr="00DB3CFB">
        <w:rPr>
          <w:rFonts w:eastAsia="SimSun"/>
          <w:b/>
          <w:bCs/>
          <w:sz w:val="21"/>
          <w:szCs w:val="21"/>
          <w:lang w:val="en-GB"/>
        </w:rPr>
        <w:t xml:space="preserve"> </w:t>
      </w:r>
      <w:r w:rsidR="00833E7B">
        <w:rPr>
          <w:rFonts w:eastAsia="SimSun"/>
          <w:b/>
          <w:bCs/>
          <w:sz w:val="21"/>
          <w:szCs w:val="21"/>
          <w:lang w:val="en-GB"/>
        </w:rPr>
        <w:t>reporting</w:t>
      </w:r>
      <w:r w:rsidR="00DB3CFB">
        <w:rPr>
          <w:rFonts w:eastAsia="SimSun"/>
          <w:b/>
          <w:bCs/>
          <w:sz w:val="21"/>
          <w:szCs w:val="21"/>
          <w:lang w:val="en-GB"/>
        </w:rPr>
        <w:t>,</w:t>
      </w:r>
      <w:r w:rsidR="00833E7B">
        <w:rPr>
          <w:rFonts w:eastAsia="SimSun"/>
          <w:b/>
          <w:bCs/>
          <w:sz w:val="21"/>
          <w:szCs w:val="21"/>
          <w:lang w:val="en-GB"/>
        </w:rPr>
        <w:t xml:space="preserve"> </w:t>
      </w:r>
      <w:r w:rsidR="00DB3CFB" w:rsidRPr="00DB3CFB">
        <w:rPr>
          <w:rFonts w:eastAsia="SimSun"/>
          <w:b/>
          <w:bCs/>
          <w:sz w:val="21"/>
          <w:szCs w:val="21"/>
          <w:lang w:val="en-GB"/>
        </w:rPr>
        <w:t>triggered upon uplink duty cycle exceedance or upon return to the power class after the duty cycle exceedance</w:t>
      </w:r>
      <w:r w:rsidR="00DB3CFB">
        <w:rPr>
          <w:rFonts w:eastAsia="SimSun"/>
          <w:b/>
          <w:bCs/>
          <w:sz w:val="21"/>
          <w:szCs w:val="21"/>
          <w:lang w:val="en-GB"/>
        </w:rPr>
        <w:t xml:space="preserve"> (already introduced in Rel-18 for TN)</w:t>
      </w:r>
      <w:r w:rsidR="006E2280" w:rsidRPr="00833E7B">
        <w:rPr>
          <w:rFonts w:eastAsia="SimSun"/>
          <w:b/>
          <w:bCs/>
          <w:sz w:val="21"/>
          <w:szCs w:val="21"/>
          <w:lang w:val="en-GB"/>
        </w:rPr>
        <w:t xml:space="preserve">. </w:t>
      </w:r>
      <w:r w:rsidR="00DB3CFB">
        <w:rPr>
          <w:rFonts w:eastAsia="SimSun"/>
          <w:b/>
          <w:bCs/>
          <w:sz w:val="21"/>
          <w:szCs w:val="21"/>
          <w:lang w:val="en-GB"/>
        </w:rPr>
        <w:t>The same reporting mechanism shall also include the reporting of the actual P-MPR value.</w:t>
      </w:r>
    </w:p>
    <w:p w14:paraId="026F305A" w14:textId="34AD72BA" w:rsidR="00F309F8" w:rsidRDefault="00DB3CFB" w:rsidP="004045F2">
      <w:pPr>
        <w:spacing w:after="120"/>
        <w:rPr>
          <w:rFonts w:eastAsia="SimSun"/>
          <w:b/>
          <w:bCs/>
          <w:sz w:val="21"/>
          <w:szCs w:val="21"/>
          <w:lang w:val="en-GB"/>
        </w:rPr>
      </w:pPr>
      <w:r>
        <w:rPr>
          <w:rFonts w:eastAsia="SimSun"/>
          <w:b/>
          <w:bCs/>
          <w:sz w:val="21"/>
          <w:szCs w:val="21"/>
          <w:lang w:val="en-GB"/>
        </w:rPr>
        <w:t xml:space="preserve">Proposal </w:t>
      </w:r>
      <w:r w:rsidR="00573660">
        <w:rPr>
          <w:rFonts w:eastAsia="SimSun"/>
          <w:b/>
          <w:bCs/>
          <w:sz w:val="21"/>
          <w:szCs w:val="21"/>
          <w:lang w:val="en-GB"/>
        </w:rPr>
        <w:t>3</w:t>
      </w:r>
      <w:r>
        <w:rPr>
          <w:rFonts w:eastAsia="SimSun"/>
          <w:b/>
          <w:bCs/>
          <w:sz w:val="21"/>
          <w:szCs w:val="21"/>
          <w:lang w:val="en-GB"/>
        </w:rPr>
        <w:t xml:space="preserve">: </w:t>
      </w:r>
      <w:r w:rsidR="00F309F8">
        <w:rPr>
          <w:rFonts w:eastAsia="SimSun"/>
          <w:b/>
          <w:bCs/>
          <w:sz w:val="21"/>
          <w:szCs w:val="21"/>
          <w:lang w:val="en-GB"/>
        </w:rPr>
        <w:t>If both the TN “duty-cycle” based method and the P-MPR method accompanied with</w:t>
      </w:r>
      <w:r w:rsidR="00F309F8" w:rsidRPr="00F309F8">
        <w:rPr>
          <w:rFonts w:eastAsia="SimSun"/>
          <w:b/>
          <w:bCs/>
          <w:sz w:val="21"/>
          <w:szCs w:val="21"/>
          <w:lang w:val="en-GB"/>
        </w:rPr>
        <w:t xml:space="preserve"> </w:t>
      </w:r>
      <w:r w:rsidR="00F309F8">
        <w:rPr>
          <w:rFonts w:eastAsia="SimSun"/>
          <w:b/>
          <w:bCs/>
          <w:sz w:val="21"/>
          <w:szCs w:val="21"/>
          <w:lang w:val="en-GB"/>
        </w:rPr>
        <w:t xml:space="preserve">the </w:t>
      </w:r>
      <w:r w:rsidRPr="00DB3CFB">
        <w:rPr>
          <w:rFonts w:eastAsia="SimSun"/>
          <w:b/>
          <w:bCs/>
          <w:sz w:val="21"/>
          <w:szCs w:val="21"/>
          <w:lang w:val="en-GB"/>
        </w:rPr>
        <w:t>ΔP</w:t>
      </w:r>
      <w:r w:rsidRPr="00DB3CFB">
        <w:rPr>
          <w:rFonts w:eastAsia="SimSun"/>
          <w:b/>
          <w:bCs/>
          <w:sz w:val="21"/>
          <w:szCs w:val="21"/>
          <w:vertAlign w:val="subscript"/>
          <w:lang w:val="en-GB"/>
        </w:rPr>
        <w:t>PowerClass</w:t>
      </w:r>
      <w:r w:rsidR="00F309F8" w:rsidRPr="00DB3CFB">
        <w:rPr>
          <w:rFonts w:eastAsia="SimSun"/>
          <w:b/>
          <w:bCs/>
          <w:sz w:val="21"/>
          <w:szCs w:val="21"/>
          <w:lang w:val="en-GB"/>
        </w:rPr>
        <w:t xml:space="preserve"> </w:t>
      </w:r>
      <w:r w:rsidR="00F309F8">
        <w:rPr>
          <w:rFonts w:eastAsia="SimSun"/>
          <w:b/>
          <w:bCs/>
          <w:sz w:val="21"/>
          <w:szCs w:val="21"/>
          <w:lang w:val="en-GB"/>
        </w:rPr>
        <w:t xml:space="preserve">reporting are considered for NTN UEs, </w:t>
      </w:r>
      <w:r w:rsidR="00F309F8" w:rsidRPr="00F309F8">
        <w:rPr>
          <w:rFonts w:eastAsia="SimSun"/>
          <w:b/>
          <w:bCs/>
          <w:sz w:val="21"/>
          <w:szCs w:val="21"/>
          <w:lang w:val="en-GB"/>
        </w:rPr>
        <w:t>“Single Entry PHR MAC CE”</w:t>
      </w:r>
      <w:r w:rsidR="00F309F8">
        <w:rPr>
          <w:rFonts w:eastAsia="SimSun"/>
          <w:b/>
          <w:bCs/>
          <w:sz w:val="21"/>
          <w:szCs w:val="21"/>
          <w:lang w:val="en-GB"/>
        </w:rPr>
        <w:t xml:space="preserve"> could be reused with the following reporting details:</w:t>
      </w:r>
    </w:p>
    <w:p w14:paraId="3225557C" w14:textId="77777777" w:rsidR="00F309F8" w:rsidRPr="00F309F8" w:rsidRDefault="00F309F8" w:rsidP="00F309F8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/>
        </w:rPr>
        <w:t>If the P-bit is set to ‘0’, power-class fallback reporting is used due to e.g. a duty cycle exceedance:</w:t>
      </w:r>
    </w:p>
    <w:p w14:paraId="5D4D350F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‘00’: </w:t>
      </w:r>
      <w:r w:rsidRPr="00F309F8">
        <w:rPr>
          <w:b/>
          <w:bCs/>
          <w:sz w:val="21"/>
          <w:szCs w:val="21"/>
          <w:lang w:val="en-GB"/>
        </w:rPr>
        <w:t>the criteria to report DPC is not met</w:t>
      </w:r>
    </w:p>
    <w:p w14:paraId="75F9776F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‘01’: </w:t>
      </w:r>
      <w:r w:rsidRPr="00F309F8">
        <w:rPr>
          <w:b/>
          <w:bCs/>
          <w:sz w:val="21"/>
          <w:szCs w:val="21"/>
          <w:lang w:val="en-GB"/>
        </w:rPr>
        <w:t>ΔP</w:t>
      </w:r>
      <w:r w:rsidRPr="00F309F8">
        <w:rPr>
          <w:b/>
          <w:bCs/>
          <w:sz w:val="21"/>
          <w:szCs w:val="21"/>
          <w:vertAlign w:val="subscript"/>
          <w:lang w:val="en-GB"/>
        </w:rPr>
        <w:t>PowerClass</w:t>
      </w:r>
      <w:r w:rsidRPr="00F309F8">
        <w:rPr>
          <w:b/>
          <w:bCs/>
          <w:sz w:val="21"/>
          <w:szCs w:val="21"/>
          <w:lang w:val="en-GB"/>
        </w:rPr>
        <w:t xml:space="preserve"> = 0 dB</w:t>
      </w:r>
    </w:p>
    <w:p w14:paraId="7E67C83E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‘10’: </w:t>
      </w:r>
      <w:r w:rsidRPr="00F309F8">
        <w:rPr>
          <w:b/>
          <w:bCs/>
          <w:sz w:val="21"/>
          <w:szCs w:val="21"/>
          <w:lang w:val="en-GB"/>
        </w:rPr>
        <w:t>ΔP</w:t>
      </w:r>
      <w:r w:rsidRPr="00F309F8">
        <w:rPr>
          <w:b/>
          <w:bCs/>
          <w:sz w:val="21"/>
          <w:szCs w:val="21"/>
          <w:vertAlign w:val="subscript"/>
          <w:lang w:val="en-GB"/>
        </w:rPr>
        <w:t>PowerClass</w:t>
      </w:r>
      <w:r w:rsidRPr="00F309F8">
        <w:rPr>
          <w:b/>
          <w:bCs/>
          <w:sz w:val="21"/>
          <w:szCs w:val="21"/>
          <w:lang w:val="en-GB"/>
        </w:rPr>
        <w:t xml:space="preserve"> = 3 dB</w:t>
      </w:r>
    </w:p>
    <w:p w14:paraId="6E79FA84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‘11’: </w:t>
      </w:r>
      <w:r w:rsidRPr="00F309F8">
        <w:rPr>
          <w:b/>
          <w:bCs/>
          <w:sz w:val="21"/>
          <w:szCs w:val="21"/>
          <w:lang w:val="en-GB"/>
        </w:rPr>
        <w:t>ΔP</w:t>
      </w:r>
      <w:r w:rsidRPr="00F309F8">
        <w:rPr>
          <w:b/>
          <w:bCs/>
          <w:sz w:val="21"/>
          <w:szCs w:val="21"/>
          <w:vertAlign w:val="subscript"/>
          <w:lang w:val="en-GB"/>
        </w:rPr>
        <w:t>PowerClass</w:t>
      </w:r>
      <w:r w:rsidRPr="00F309F8">
        <w:rPr>
          <w:b/>
          <w:bCs/>
          <w:sz w:val="21"/>
          <w:szCs w:val="21"/>
          <w:lang w:val="en-GB"/>
        </w:rPr>
        <w:t xml:space="preserve"> = 6 dB</w:t>
      </w:r>
    </w:p>
    <w:p w14:paraId="588C8DDE" w14:textId="77777777" w:rsidR="00F309F8" w:rsidRPr="00F309F8" w:rsidRDefault="00F309F8" w:rsidP="00F309F8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/>
        </w:rPr>
        <w:t xml:space="preserve">If the P-bit is set to ‘1’, P-MPR method is used due to e.g. a duty cycle exceedance (where </w:t>
      </w:r>
      <w:r w:rsidRPr="00F309F8">
        <w:rPr>
          <w:rFonts w:eastAsia="SimSun"/>
          <w:b/>
          <w:bCs/>
          <w:sz w:val="21"/>
          <w:szCs w:val="21"/>
        </w:rPr>
        <w:t>ΔP</w:t>
      </w:r>
      <w:r w:rsidRPr="00F309F8">
        <w:rPr>
          <w:rFonts w:eastAsia="SimSun"/>
          <w:b/>
          <w:bCs/>
          <w:sz w:val="21"/>
          <w:szCs w:val="21"/>
          <w:vertAlign w:val="subscript"/>
        </w:rPr>
        <w:t>PowerClass</w:t>
      </w:r>
      <w:r w:rsidRPr="00F309F8">
        <w:rPr>
          <w:rFonts w:eastAsia="SimSun"/>
          <w:b/>
          <w:bCs/>
          <w:sz w:val="21"/>
          <w:szCs w:val="21"/>
          <w:lang w:val="en-GB"/>
        </w:rPr>
        <w:t xml:space="preserve"> is not actually applied in </w:t>
      </w:r>
      <w:proofErr w:type="gramStart"/>
      <w:r w:rsidRPr="00F309F8">
        <w:rPr>
          <w:rFonts w:eastAsia="SimSun"/>
          <w:b/>
          <w:bCs/>
          <w:sz w:val="21"/>
          <w:szCs w:val="21"/>
        </w:rPr>
        <w:t>P</w:t>
      </w:r>
      <w:r w:rsidRPr="00F309F8">
        <w:rPr>
          <w:rFonts w:eastAsia="SimSun"/>
          <w:b/>
          <w:bCs/>
          <w:sz w:val="21"/>
          <w:szCs w:val="21"/>
          <w:vertAlign w:val="subscript"/>
        </w:rPr>
        <w:t>CMAX,f</w:t>
      </w:r>
      <w:proofErr w:type="gramEnd"/>
      <w:r w:rsidRPr="00F309F8">
        <w:rPr>
          <w:rFonts w:eastAsia="SimSun"/>
          <w:b/>
          <w:bCs/>
          <w:sz w:val="21"/>
          <w:szCs w:val="21"/>
          <w:vertAlign w:val="subscript"/>
        </w:rPr>
        <w:t>,c</w:t>
      </w:r>
      <w:r w:rsidRPr="00F309F8">
        <w:rPr>
          <w:rFonts w:eastAsia="SimSun"/>
          <w:b/>
          <w:bCs/>
          <w:sz w:val="21"/>
          <w:szCs w:val="21"/>
          <w:lang w:val="en-GB"/>
        </w:rPr>
        <w:t>):</w:t>
      </w:r>
    </w:p>
    <w:p w14:paraId="232B577D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‘00’: </w:t>
      </w:r>
      <w:r w:rsidRPr="00F309F8">
        <w:rPr>
          <w:b/>
          <w:bCs/>
          <w:sz w:val="21"/>
          <w:szCs w:val="21"/>
          <w:lang w:val="en-GB"/>
        </w:rPr>
        <w:t>P-MPR is applied due to a proximity sensor or in case of simultaneous transmissions on multiple RAT(s) for scenarios not in scope of 3GPP RAN specifications</w:t>
      </w:r>
    </w:p>
    <w:p w14:paraId="50C82815" w14:textId="5CE76E76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‘01’: </w:t>
      </w:r>
      <w:r w:rsidRPr="00F309F8">
        <w:rPr>
          <w:b/>
          <w:bCs/>
          <w:sz w:val="21"/>
          <w:szCs w:val="21"/>
          <w:lang w:val="en-GB"/>
        </w:rPr>
        <w:t xml:space="preserve">0 dB </w:t>
      </w:r>
      <w:r>
        <w:rPr>
          <w:b/>
          <w:bCs/>
          <w:sz w:val="21"/>
          <w:szCs w:val="21"/>
          <w:lang w:val="en-GB"/>
        </w:rPr>
        <w:t xml:space="preserve">back-off </w:t>
      </w:r>
      <w:r w:rsidRPr="00F309F8">
        <w:rPr>
          <w:b/>
          <w:bCs/>
          <w:sz w:val="21"/>
          <w:szCs w:val="21"/>
          <w:lang w:val="en-GB"/>
        </w:rPr>
        <w:t>when P-MPRc = 0dB</w:t>
      </w:r>
    </w:p>
    <w:p w14:paraId="29B68705" w14:textId="6C39E01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‘10’: </w:t>
      </w:r>
      <w:r w:rsidRPr="00F309F8">
        <w:rPr>
          <w:b/>
          <w:bCs/>
          <w:sz w:val="21"/>
          <w:szCs w:val="21"/>
          <w:lang w:val="en-GB"/>
        </w:rPr>
        <w:t xml:space="preserve">3 dB </w:t>
      </w:r>
      <w:r>
        <w:rPr>
          <w:b/>
          <w:bCs/>
          <w:sz w:val="21"/>
          <w:szCs w:val="21"/>
          <w:lang w:val="en-GB"/>
        </w:rPr>
        <w:t xml:space="preserve">back-off </w:t>
      </w:r>
      <w:r w:rsidRPr="00F309F8">
        <w:rPr>
          <w:b/>
          <w:bCs/>
          <w:sz w:val="21"/>
          <w:szCs w:val="21"/>
          <w:lang w:val="en-GB"/>
        </w:rPr>
        <w:t>when 0 &lt; P-MPRc ≤ 3 dB</w:t>
      </w:r>
    </w:p>
    <w:p w14:paraId="5A66990A" w14:textId="0356B69D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‘11’: </w:t>
      </w:r>
      <w:r w:rsidRPr="00F309F8">
        <w:rPr>
          <w:b/>
          <w:bCs/>
          <w:sz w:val="21"/>
          <w:szCs w:val="21"/>
          <w:lang w:val="en-GB"/>
        </w:rPr>
        <w:t xml:space="preserve">6 dB </w:t>
      </w:r>
      <w:r>
        <w:rPr>
          <w:b/>
          <w:bCs/>
          <w:sz w:val="21"/>
          <w:szCs w:val="21"/>
          <w:lang w:val="en-GB"/>
        </w:rPr>
        <w:t xml:space="preserve">back-off </w:t>
      </w:r>
      <w:r w:rsidRPr="00F309F8">
        <w:rPr>
          <w:b/>
          <w:bCs/>
          <w:sz w:val="21"/>
          <w:szCs w:val="21"/>
          <w:lang w:val="en-GB"/>
        </w:rPr>
        <w:t>when 3 &lt; P-MPRc ≤ 6 dB</w:t>
      </w:r>
    </w:p>
    <w:p w14:paraId="515450D2" w14:textId="77777777" w:rsidR="004045F2" w:rsidRPr="00833E7B" w:rsidRDefault="004045F2" w:rsidP="00EB7EF6">
      <w:pPr>
        <w:rPr>
          <w:bCs/>
          <w:sz w:val="21"/>
          <w:szCs w:val="21"/>
          <w:lang w:val="en-GB" w:eastAsia="ko-KR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4EFCE9F8" w14:textId="0A054E7A" w:rsidR="00F309F8" w:rsidRDefault="00F309F8" w:rsidP="00F309F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>
        <w:rPr>
          <w:rFonts w:ascii="Arial" w:eastAsiaTheme="minorHAnsi" w:hAnsi="Arial" w:cstheme="minorBidi"/>
          <w:sz w:val="20"/>
          <w:szCs w:val="22"/>
        </w:rPr>
        <w:t>have made the following observations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2317700B" w14:textId="22EF6C36" w:rsidR="00F309F8" w:rsidRDefault="00F309F8" w:rsidP="00F309F8">
      <w:pPr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  <w:lang w:eastAsia="ja-JP"/>
        </w:rPr>
        <w:t xml:space="preserve">Observation 1: “Duty-cycle” based method is not well designed for FDD bands and is allegedly not used in the field. P-MPR method is used instead, which is on another hand “blind” for the network. </w:t>
      </w:r>
    </w:p>
    <w:p w14:paraId="50E4826F" w14:textId="77777777" w:rsidR="00F309F8" w:rsidRPr="00F309F8" w:rsidRDefault="00F309F8" w:rsidP="00F309F8">
      <w:pPr>
        <w:rPr>
          <w:b/>
          <w:bCs/>
          <w:sz w:val="21"/>
          <w:szCs w:val="21"/>
          <w:lang w:eastAsia="ja-JP"/>
        </w:rPr>
      </w:pPr>
    </w:p>
    <w:p w14:paraId="634E5417" w14:textId="343FFF4B" w:rsidR="00F309F8" w:rsidRDefault="00F309F8" w:rsidP="00F309F8">
      <w:pPr>
        <w:pStyle w:val="BodyText"/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</w:rPr>
        <w:t xml:space="preserve">Observation 2: </w:t>
      </w:r>
      <w:r w:rsidRPr="00833E7B">
        <w:rPr>
          <w:b/>
          <w:bCs/>
          <w:sz w:val="21"/>
          <w:szCs w:val="21"/>
          <w:lang w:eastAsia="ja-JP"/>
        </w:rPr>
        <w:t xml:space="preserve">“Duty-cycle” based and the P-MPR based methods in combination with reporting of the </w:t>
      </w:r>
      <w:r w:rsidRPr="00833E7B">
        <w:rPr>
          <w:rFonts w:eastAsia="SimSun"/>
          <w:b/>
          <w:bCs/>
          <w:sz w:val="21"/>
          <w:szCs w:val="21"/>
        </w:rPr>
        <w:t>actual power-capability state of a UE</w:t>
      </w:r>
      <w:r w:rsidRPr="00833E7B">
        <w:rPr>
          <w:b/>
          <w:bCs/>
          <w:sz w:val="21"/>
          <w:szCs w:val="21"/>
          <w:lang w:eastAsia="ja-JP"/>
        </w:rPr>
        <w:t xml:space="preserve"> could be considered for NTN HPUEs, </w:t>
      </w:r>
      <w:proofErr w:type="gramStart"/>
      <w:r w:rsidRPr="00833E7B">
        <w:rPr>
          <w:b/>
          <w:bCs/>
          <w:sz w:val="21"/>
          <w:szCs w:val="21"/>
          <w:lang w:eastAsia="ja-JP"/>
        </w:rPr>
        <w:t>similar to</w:t>
      </w:r>
      <w:proofErr w:type="gramEnd"/>
      <w:r w:rsidRPr="00833E7B">
        <w:rPr>
          <w:b/>
          <w:bCs/>
          <w:sz w:val="21"/>
          <w:szCs w:val="21"/>
          <w:lang w:eastAsia="ja-JP"/>
        </w:rPr>
        <w:t xml:space="preserve"> Rel-18 enhancements introduced for TN.</w:t>
      </w:r>
    </w:p>
    <w:p w14:paraId="0BF65897" w14:textId="77777777" w:rsidR="00F309F8" w:rsidRPr="00F309F8" w:rsidRDefault="00F309F8" w:rsidP="00F309F8">
      <w:pPr>
        <w:pStyle w:val="BodyText"/>
        <w:rPr>
          <w:b/>
          <w:bCs/>
          <w:sz w:val="21"/>
          <w:szCs w:val="21"/>
        </w:rPr>
      </w:pPr>
    </w:p>
    <w:p w14:paraId="6A512A9C" w14:textId="4C962469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F309F8">
        <w:rPr>
          <w:rFonts w:ascii="Arial" w:eastAsiaTheme="minorHAnsi" w:hAnsi="Arial" w:cstheme="minorBidi"/>
          <w:sz w:val="20"/>
          <w:szCs w:val="22"/>
        </w:rPr>
        <w:t>made the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1B1D82A2" w14:textId="1625BF86" w:rsidR="00F309F8" w:rsidRDefault="00F309F8" w:rsidP="00F309F8">
      <w:pPr>
        <w:rPr>
          <w:b/>
          <w:bCs/>
          <w:sz w:val="21"/>
          <w:szCs w:val="21"/>
          <w:lang w:eastAsia="ja-JP"/>
        </w:rPr>
      </w:pPr>
      <w:r w:rsidRPr="004967D4">
        <w:rPr>
          <w:b/>
          <w:bCs/>
          <w:sz w:val="21"/>
          <w:szCs w:val="21"/>
          <w:lang w:eastAsia="ja-JP"/>
        </w:rPr>
        <w:t xml:space="preserve">Proposal </w:t>
      </w:r>
      <w:r w:rsidR="00573660">
        <w:rPr>
          <w:b/>
          <w:bCs/>
          <w:sz w:val="21"/>
          <w:szCs w:val="21"/>
          <w:lang w:eastAsia="ja-JP"/>
        </w:rPr>
        <w:t>1</w:t>
      </w:r>
      <w:r w:rsidRPr="004967D4">
        <w:rPr>
          <w:b/>
          <w:bCs/>
          <w:sz w:val="21"/>
          <w:szCs w:val="21"/>
          <w:lang w:eastAsia="ja-JP"/>
        </w:rPr>
        <w:t xml:space="preserve">: Re-use LTE TN TS 36.101-1 nominal MOP and </w:t>
      </w:r>
      <w:r w:rsidRPr="004967D4">
        <w:rPr>
          <w:b/>
          <w:bCs/>
          <w:sz w:val="21"/>
          <w:szCs w:val="21"/>
          <w:lang w:val="en-GB" w:eastAsia="ja-JP"/>
        </w:rPr>
        <w:t xml:space="preserve">±2 </w:t>
      </w:r>
      <w:r w:rsidRPr="004967D4">
        <w:rPr>
          <w:b/>
          <w:bCs/>
          <w:sz w:val="21"/>
          <w:szCs w:val="21"/>
          <w:lang w:eastAsia="ja-JP"/>
        </w:rPr>
        <w:t>tolerance can be considered as starting point (same as for band n14) for PC2 for IoT-NTN HPUE.</w:t>
      </w:r>
    </w:p>
    <w:p w14:paraId="30D9A696" w14:textId="77777777" w:rsidR="00F309F8" w:rsidRPr="00F309F8" w:rsidRDefault="00F309F8" w:rsidP="00F309F8">
      <w:pPr>
        <w:rPr>
          <w:b/>
          <w:bCs/>
          <w:sz w:val="21"/>
          <w:szCs w:val="21"/>
          <w:lang w:eastAsia="ja-JP"/>
        </w:rPr>
      </w:pPr>
    </w:p>
    <w:p w14:paraId="2FB04EE8" w14:textId="4B5B5F9A" w:rsidR="00F309F8" w:rsidRDefault="00F309F8" w:rsidP="00F309F8">
      <w:pPr>
        <w:spacing w:after="120"/>
        <w:rPr>
          <w:rFonts w:eastAsia="SimSun"/>
          <w:b/>
          <w:bCs/>
          <w:sz w:val="21"/>
          <w:szCs w:val="21"/>
          <w:lang w:val="en-GB"/>
        </w:rPr>
      </w:pPr>
      <w:r w:rsidRPr="00833E7B">
        <w:rPr>
          <w:rFonts w:eastAsia="SimSun"/>
          <w:b/>
          <w:bCs/>
          <w:sz w:val="21"/>
          <w:szCs w:val="21"/>
          <w:lang w:val="en-GB"/>
        </w:rPr>
        <w:t xml:space="preserve">Proposal </w:t>
      </w:r>
      <w:r w:rsidR="00573660">
        <w:rPr>
          <w:rFonts w:eastAsia="SimSun"/>
          <w:b/>
          <w:bCs/>
          <w:sz w:val="21"/>
          <w:szCs w:val="21"/>
          <w:lang w:val="en-GB"/>
        </w:rPr>
        <w:t>2</w:t>
      </w:r>
      <w:r w:rsidRPr="00833E7B">
        <w:rPr>
          <w:rFonts w:eastAsia="SimSun"/>
          <w:b/>
          <w:bCs/>
          <w:sz w:val="21"/>
          <w:szCs w:val="21"/>
          <w:lang w:val="en-GB"/>
        </w:rPr>
        <w:t xml:space="preserve">: </w:t>
      </w:r>
      <w:r>
        <w:rPr>
          <w:rFonts w:eastAsia="SimSun"/>
          <w:b/>
          <w:bCs/>
          <w:sz w:val="21"/>
          <w:szCs w:val="21"/>
          <w:lang w:val="en-GB"/>
        </w:rPr>
        <w:t xml:space="preserve">Both P-MPR and “duty-cycle” based method could be considered, but only if the “duty-cycle” based method is mandatorily accompanied with the </w:t>
      </w:r>
      <w:r w:rsidR="00DB3CFB" w:rsidRPr="00DB3CFB">
        <w:rPr>
          <w:rFonts w:eastAsia="SimSun"/>
          <w:b/>
          <w:bCs/>
          <w:sz w:val="21"/>
          <w:szCs w:val="21"/>
          <w:lang w:val="en-GB"/>
        </w:rPr>
        <w:t>ΔP</w:t>
      </w:r>
      <w:r w:rsidR="00DB3CFB" w:rsidRPr="00DB3CFB">
        <w:rPr>
          <w:rFonts w:eastAsia="SimSun"/>
          <w:b/>
          <w:bCs/>
          <w:sz w:val="21"/>
          <w:szCs w:val="21"/>
          <w:vertAlign w:val="subscript"/>
          <w:lang w:val="en-GB"/>
        </w:rPr>
        <w:t>PowerClass</w:t>
      </w:r>
      <w:r w:rsidRPr="00DB3CFB">
        <w:rPr>
          <w:rFonts w:eastAsia="SimSun"/>
          <w:b/>
          <w:bCs/>
          <w:sz w:val="21"/>
          <w:szCs w:val="21"/>
          <w:lang w:val="en-GB"/>
        </w:rPr>
        <w:t xml:space="preserve"> </w:t>
      </w:r>
      <w:r>
        <w:rPr>
          <w:rFonts w:eastAsia="SimSun"/>
          <w:b/>
          <w:bCs/>
          <w:sz w:val="21"/>
          <w:szCs w:val="21"/>
          <w:lang w:val="en-GB"/>
        </w:rPr>
        <w:t xml:space="preserve">reporting, </w:t>
      </w:r>
      <w:r w:rsidRPr="00DB3CFB">
        <w:rPr>
          <w:rFonts w:eastAsia="SimSun"/>
          <w:b/>
          <w:bCs/>
          <w:sz w:val="21"/>
          <w:szCs w:val="21"/>
          <w:lang w:val="en-GB"/>
        </w:rPr>
        <w:t>triggered upon uplink duty cycle exceedance or upon return to the power class after the duty cycle exceedance</w:t>
      </w:r>
      <w:r>
        <w:rPr>
          <w:rFonts w:eastAsia="SimSun"/>
          <w:b/>
          <w:bCs/>
          <w:sz w:val="21"/>
          <w:szCs w:val="21"/>
          <w:lang w:val="en-GB"/>
        </w:rPr>
        <w:t xml:space="preserve"> (already introduced in Rel-18 for TN)</w:t>
      </w:r>
      <w:r w:rsidRPr="00833E7B">
        <w:rPr>
          <w:rFonts w:eastAsia="SimSun"/>
          <w:b/>
          <w:bCs/>
          <w:sz w:val="21"/>
          <w:szCs w:val="21"/>
          <w:lang w:val="en-GB"/>
        </w:rPr>
        <w:t xml:space="preserve">. </w:t>
      </w:r>
      <w:r>
        <w:rPr>
          <w:rFonts w:eastAsia="SimSun"/>
          <w:b/>
          <w:bCs/>
          <w:sz w:val="21"/>
          <w:szCs w:val="21"/>
          <w:lang w:val="en-GB"/>
        </w:rPr>
        <w:t>The same reporting mechanism shall also include the reporting of the actual P-MPR value.</w:t>
      </w:r>
    </w:p>
    <w:p w14:paraId="19CFEB5B" w14:textId="4F65E840" w:rsidR="00F309F8" w:rsidRDefault="00F309F8" w:rsidP="00F309F8">
      <w:pPr>
        <w:spacing w:after="120"/>
        <w:rPr>
          <w:rFonts w:eastAsia="SimSun"/>
          <w:b/>
          <w:bCs/>
          <w:sz w:val="21"/>
          <w:szCs w:val="21"/>
          <w:lang w:val="en-GB"/>
        </w:rPr>
      </w:pPr>
      <w:r>
        <w:rPr>
          <w:rFonts w:eastAsia="SimSun"/>
          <w:b/>
          <w:bCs/>
          <w:sz w:val="21"/>
          <w:szCs w:val="21"/>
          <w:lang w:val="en-GB"/>
        </w:rPr>
        <w:t xml:space="preserve">Proposal </w:t>
      </w:r>
      <w:r w:rsidR="00573660">
        <w:rPr>
          <w:rFonts w:eastAsia="SimSun"/>
          <w:b/>
          <w:bCs/>
          <w:sz w:val="21"/>
          <w:szCs w:val="21"/>
          <w:lang w:val="en-GB"/>
        </w:rPr>
        <w:t>3</w:t>
      </w:r>
      <w:r>
        <w:rPr>
          <w:rFonts w:eastAsia="SimSun"/>
          <w:b/>
          <w:bCs/>
          <w:sz w:val="21"/>
          <w:szCs w:val="21"/>
          <w:lang w:val="en-GB"/>
        </w:rPr>
        <w:t>: If both the TN “duty-cycle” based method and the P-MPR method accompanied with</w:t>
      </w:r>
      <w:r w:rsidRPr="00F309F8">
        <w:rPr>
          <w:rFonts w:eastAsia="SimSun"/>
          <w:b/>
          <w:bCs/>
          <w:sz w:val="21"/>
          <w:szCs w:val="21"/>
          <w:lang w:val="en-GB"/>
        </w:rPr>
        <w:t xml:space="preserve"> </w:t>
      </w:r>
      <w:r>
        <w:rPr>
          <w:rFonts w:eastAsia="SimSun"/>
          <w:b/>
          <w:bCs/>
          <w:sz w:val="21"/>
          <w:szCs w:val="21"/>
          <w:lang w:val="en-GB"/>
        </w:rPr>
        <w:t xml:space="preserve">the </w:t>
      </w:r>
      <w:r w:rsidR="00DB3CFB" w:rsidRPr="00DB3CFB">
        <w:rPr>
          <w:rFonts w:eastAsia="SimSun"/>
          <w:b/>
          <w:bCs/>
          <w:sz w:val="21"/>
          <w:szCs w:val="21"/>
          <w:lang w:val="en-GB"/>
        </w:rPr>
        <w:t>ΔP</w:t>
      </w:r>
      <w:r w:rsidR="00DB3CFB" w:rsidRPr="00DB3CFB">
        <w:rPr>
          <w:rFonts w:eastAsia="SimSun"/>
          <w:b/>
          <w:bCs/>
          <w:sz w:val="21"/>
          <w:szCs w:val="21"/>
          <w:vertAlign w:val="subscript"/>
          <w:lang w:val="en-GB"/>
        </w:rPr>
        <w:t>PowerClass</w:t>
      </w:r>
      <w:r w:rsidRPr="00DB3CFB">
        <w:rPr>
          <w:rFonts w:eastAsia="SimSun"/>
          <w:b/>
          <w:bCs/>
          <w:sz w:val="21"/>
          <w:szCs w:val="21"/>
          <w:lang w:val="en-GB"/>
        </w:rPr>
        <w:t xml:space="preserve"> </w:t>
      </w:r>
      <w:r>
        <w:rPr>
          <w:rFonts w:eastAsia="SimSun"/>
          <w:b/>
          <w:bCs/>
          <w:sz w:val="21"/>
          <w:szCs w:val="21"/>
          <w:lang w:val="en-GB"/>
        </w:rPr>
        <w:t xml:space="preserve">reporting are considered for NTN UEs, </w:t>
      </w:r>
      <w:r w:rsidRPr="00F309F8">
        <w:rPr>
          <w:rFonts w:eastAsia="SimSun"/>
          <w:b/>
          <w:bCs/>
          <w:sz w:val="21"/>
          <w:szCs w:val="21"/>
          <w:lang w:val="en-GB"/>
        </w:rPr>
        <w:t>“Single Entry PHR MAC CE”</w:t>
      </w:r>
      <w:r>
        <w:rPr>
          <w:rFonts w:eastAsia="SimSun"/>
          <w:b/>
          <w:bCs/>
          <w:sz w:val="21"/>
          <w:szCs w:val="21"/>
          <w:lang w:val="en-GB"/>
        </w:rPr>
        <w:t xml:space="preserve"> could be reused with the following reporting details:</w:t>
      </w:r>
    </w:p>
    <w:p w14:paraId="5884CA10" w14:textId="77777777" w:rsidR="00F309F8" w:rsidRPr="00F309F8" w:rsidRDefault="00F309F8" w:rsidP="00F309F8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/>
        </w:rPr>
        <w:t>If the P-bit is set to ‘0’, power-class fallback reporting is used due to e.g. a duty cycle exceedance:</w:t>
      </w:r>
    </w:p>
    <w:p w14:paraId="7948B701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‘00’: </w:t>
      </w:r>
      <w:r w:rsidRPr="00F309F8">
        <w:rPr>
          <w:b/>
          <w:bCs/>
          <w:sz w:val="21"/>
          <w:szCs w:val="21"/>
          <w:lang w:val="en-GB"/>
        </w:rPr>
        <w:t>the criteria to report DPC is not met</w:t>
      </w:r>
    </w:p>
    <w:p w14:paraId="75A1907B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‘01’: </w:t>
      </w:r>
      <w:r w:rsidRPr="00F309F8">
        <w:rPr>
          <w:b/>
          <w:bCs/>
          <w:sz w:val="21"/>
          <w:szCs w:val="21"/>
          <w:lang w:val="en-GB"/>
        </w:rPr>
        <w:t>ΔP</w:t>
      </w:r>
      <w:r w:rsidRPr="00F309F8">
        <w:rPr>
          <w:b/>
          <w:bCs/>
          <w:sz w:val="21"/>
          <w:szCs w:val="21"/>
          <w:vertAlign w:val="subscript"/>
          <w:lang w:val="en-GB"/>
        </w:rPr>
        <w:t>PowerClass</w:t>
      </w:r>
      <w:r w:rsidRPr="00F309F8">
        <w:rPr>
          <w:b/>
          <w:bCs/>
          <w:sz w:val="21"/>
          <w:szCs w:val="21"/>
          <w:lang w:val="en-GB"/>
        </w:rPr>
        <w:t xml:space="preserve"> = 0 dB</w:t>
      </w:r>
    </w:p>
    <w:p w14:paraId="5230A6E8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‘10’: </w:t>
      </w:r>
      <w:r w:rsidRPr="00F309F8">
        <w:rPr>
          <w:b/>
          <w:bCs/>
          <w:sz w:val="21"/>
          <w:szCs w:val="21"/>
          <w:lang w:val="en-GB"/>
        </w:rPr>
        <w:t>ΔP</w:t>
      </w:r>
      <w:r w:rsidRPr="00F309F8">
        <w:rPr>
          <w:b/>
          <w:bCs/>
          <w:sz w:val="21"/>
          <w:szCs w:val="21"/>
          <w:vertAlign w:val="subscript"/>
          <w:lang w:val="en-GB"/>
        </w:rPr>
        <w:t>PowerClass</w:t>
      </w:r>
      <w:r w:rsidRPr="00F309F8">
        <w:rPr>
          <w:b/>
          <w:bCs/>
          <w:sz w:val="21"/>
          <w:szCs w:val="21"/>
          <w:lang w:val="en-GB"/>
        </w:rPr>
        <w:t xml:space="preserve"> = 3 dB</w:t>
      </w:r>
    </w:p>
    <w:p w14:paraId="2F800599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‘11’: </w:t>
      </w:r>
      <w:r w:rsidRPr="00F309F8">
        <w:rPr>
          <w:b/>
          <w:bCs/>
          <w:sz w:val="21"/>
          <w:szCs w:val="21"/>
          <w:lang w:val="en-GB"/>
        </w:rPr>
        <w:t>ΔP</w:t>
      </w:r>
      <w:r w:rsidRPr="00F309F8">
        <w:rPr>
          <w:b/>
          <w:bCs/>
          <w:sz w:val="21"/>
          <w:szCs w:val="21"/>
          <w:vertAlign w:val="subscript"/>
          <w:lang w:val="en-GB"/>
        </w:rPr>
        <w:t>PowerClass</w:t>
      </w:r>
      <w:r w:rsidRPr="00F309F8">
        <w:rPr>
          <w:b/>
          <w:bCs/>
          <w:sz w:val="21"/>
          <w:szCs w:val="21"/>
          <w:lang w:val="en-GB"/>
        </w:rPr>
        <w:t xml:space="preserve"> = 6 dB</w:t>
      </w:r>
    </w:p>
    <w:p w14:paraId="5D6386F6" w14:textId="77777777" w:rsidR="00F309F8" w:rsidRPr="00F309F8" w:rsidRDefault="00F309F8" w:rsidP="00F309F8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/>
        </w:rPr>
        <w:t xml:space="preserve">If the P-bit is set to ‘1’, P-MPR method is used due to e.g. a duty cycle exceedance (where </w:t>
      </w:r>
      <w:r w:rsidRPr="00F309F8">
        <w:rPr>
          <w:rFonts w:eastAsia="SimSun"/>
          <w:b/>
          <w:bCs/>
          <w:sz w:val="21"/>
          <w:szCs w:val="21"/>
        </w:rPr>
        <w:t>ΔP</w:t>
      </w:r>
      <w:r w:rsidRPr="00F309F8">
        <w:rPr>
          <w:rFonts w:eastAsia="SimSun"/>
          <w:b/>
          <w:bCs/>
          <w:sz w:val="21"/>
          <w:szCs w:val="21"/>
          <w:vertAlign w:val="subscript"/>
        </w:rPr>
        <w:t>PowerClass</w:t>
      </w:r>
      <w:r w:rsidRPr="00F309F8">
        <w:rPr>
          <w:rFonts w:eastAsia="SimSun"/>
          <w:b/>
          <w:bCs/>
          <w:sz w:val="21"/>
          <w:szCs w:val="21"/>
          <w:lang w:val="en-GB"/>
        </w:rPr>
        <w:t xml:space="preserve"> is not actually applied in </w:t>
      </w:r>
      <w:proofErr w:type="gramStart"/>
      <w:r w:rsidRPr="00F309F8">
        <w:rPr>
          <w:rFonts w:eastAsia="SimSun"/>
          <w:b/>
          <w:bCs/>
          <w:sz w:val="21"/>
          <w:szCs w:val="21"/>
        </w:rPr>
        <w:t>P</w:t>
      </w:r>
      <w:r w:rsidRPr="00F309F8">
        <w:rPr>
          <w:rFonts w:eastAsia="SimSun"/>
          <w:b/>
          <w:bCs/>
          <w:sz w:val="21"/>
          <w:szCs w:val="21"/>
          <w:vertAlign w:val="subscript"/>
        </w:rPr>
        <w:t>CMAX,f</w:t>
      </w:r>
      <w:proofErr w:type="gramEnd"/>
      <w:r w:rsidRPr="00F309F8">
        <w:rPr>
          <w:rFonts w:eastAsia="SimSun"/>
          <w:b/>
          <w:bCs/>
          <w:sz w:val="21"/>
          <w:szCs w:val="21"/>
          <w:vertAlign w:val="subscript"/>
        </w:rPr>
        <w:t>,c</w:t>
      </w:r>
      <w:r w:rsidRPr="00F309F8">
        <w:rPr>
          <w:rFonts w:eastAsia="SimSun"/>
          <w:b/>
          <w:bCs/>
          <w:sz w:val="21"/>
          <w:szCs w:val="21"/>
          <w:lang w:val="en-GB"/>
        </w:rPr>
        <w:t>):</w:t>
      </w:r>
    </w:p>
    <w:p w14:paraId="4E3D770A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‘00’: </w:t>
      </w:r>
      <w:r w:rsidRPr="00F309F8">
        <w:rPr>
          <w:b/>
          <w:bCs/>
          <w:sz w:val="21"/>
          <w:szCs w:val="21"/>
          <w:lang w:val="en-GB"/>
        </w:rPr>
        <w:t>P-MPR is applied due to a proximity sensor or in case of simultaneous transmissions on multiple RAT(s) for scenarios not in scope of 3GPP RAN specifications</w:t>
      </w:r>
    </w:p>
    <w:p w14:paraId="270C9526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‘01’: </w:t>
      </w:r>
      <w:r w:rsidRPr="00F309F8">
        <w:rPr>
          <w:b/>
          <w:bCs/>
          <w:sz w:val="21"/>
          <w:szCs w:val="21"/>
          <w:lang w:val="en-GB"/>
        </w:rPr>
        <w:t xml:space="preserve">0 dB </w:t>
      </w:r>
      <w:r>
        <w:rPr>
          <w:b/>
          <w:bCs/>
          <w:sz w:val="21"/>
          <w:szCs w:val="21"/>
          <w:lang w:val="en-GB"/>
        </w:rPr>
        <w:t xml:space="preserve">back-off </w:t>
      </w:r>
      <w:r w:rsidRPr="00F309F8">
        <w:rPr>
          <w:b/>
          <w:bCs/>
          <w:sz w:val="21"/>
          <w:szCs w:val="21"/>
          <w:lang w:val="en-GB"/>
        </w:rPr>
        <w:t>when P-MPRc = 0dB</w:t>
      </w:r>
    </w:p>
    <w:p w14:paraId="28C29677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‘10’: </w:t>
      </w:r>
      <w:r w:rsidRPr="00F309F8">
        <w:rPr>
          <w:b/>
          <w:bCs/>
          <w:sz w:val="21"/>
          <w:szCs w:val="21"/>
          <w:lang w:val="en-GB"/>
        </w:rPr>
        <w:t xml:space="preserve">3 dB </w:t>
      </w:r>
      <w:r>
        <w:rPr>
          <w:b/>
          <w:bCs/>
          <w:sz w:val="21"/>
          <w:szCs w:val="21"/>
          <w:lang w:val="en-GB"/>
        </w:rPr>
        <w:t xml:space="preserve">back-off </w:t>
      </w:r>
      <w:r w:rsidRPr="00F309F8">
        <w:rPr>
          <w:b/>
          <w:bCs/>
          <w:sz w:val="21"/>
          <w:szCs w:val="21"/>
          <w:lang w:val="en-GB"/>
        </w:rPr>
        <w:t>when 0 &lt; P-MPRc ≤ 3 dB</w:t>
      </w:r>
    </w:p>
    <w:p w14:paraId="4C132DE5" w14:textId="77777777" w:rsidR="00F309F8" w:rsidRPr="00F309F8" w:rsidRDefault="00F309F8" w:rsidP="00F309F8">
      <w:pPr>
        <w:pStyle w:val="ListParagraph"/>
        <w:numPr>
          <w:ilvl w:val="1"/>
          <w:numId w:val="24"/>
        </w:numPr>
        <w:spacing w:after="120"/>
        <w:ind w:firstLineChars="0"/>
        <w:rPr>
          <w:b/>
          <w:bCs/>
          <w:sz w:val="21"/>
          <w:szCs w:val="21"/>
          <w:lang w:val="en-GB"/>
        </w:rPr>
      </w:pPr>
      <w:r w:rsidRPr="00F309F8">
        <w:rPr>
          <w:rFonts w:eastAsia="SimSun"/>
          <w:b/>
          <w:bCs/>
          <w:sz w:val="21"/>
          <w:szCs w:val="21"/>
          <w:lang w:val="en-GB" w:eastAsia="en-US"/>
        </w:rPr>
        <w:t xml:space="preserve">DPC = ‘11’: </w:t>
      </w:r>
      <w:r w:rsidRPr="00F309F8">
        <w:rPr>
          <w:b/>
          <w:bCs/>
          <w:sz w:val="21"/>
          <w:szCs w:val="21"/>
          <w:lang w:val="en-GB"/>
        </w:rPr>
        <w:t xml:space="preserve">6 dB </w:t>
      </w:r>
      <w:r>
        <w:rPr>
          <w:b/>
          <w:bCs/>
          <w:sz w:val="21"/>
          <w:szCs w:val="21"/>
          <w:lang w:val="en-GB"/>
        </w:rPr>
        <w:t xml:space="preserve">back-off </w:t>
      </w:r>
      <w:r w:rsidRPr="00F309F8">
        <w:rPr>
          <w:b/>
          <w:bCs/>
          <w:sz w:val="21"/>
          <w:szCs w:val="21"/>
          <w:lang w:val="en-GB"/>
        </w:rPr>
        <w:t>when 3 &lt; P-MPRc ≤ 6 dB</w:t>
      </w:r>
    </w:p>
    <w:p w14:paraId="7E53B5E2" w14:textId="77777777" w:rsidR="00F309F8" w:rsidRPr="00F309F8" w:rsidRDefault="00F309F8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  <w:lang w:val="en-GB"/>
        </w:rPr>
      </w:pP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DDA7D48" w14:textId="77777777" w:rsidR="00080865" w:rsidRPr="009371A9" w:rsidRDefault="00080865" w:rsidP="00080865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1"/>
    </w:p>
    <w:p w14:paraId="7DF2182C" w14:textId="0BAF4D03" w:rsidR="009371A9" w:rsidRPr="009371A9" w:rsidRDefault="009371A9" w:rsidP="009371A9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241</w:t>
      </w:r>
      <w:r w:rsidR="00AC5A88">
        <w:rPr>
          <w:iCs/>
          <w:sz w:val="22"/>
          <w:szCs w:val="22"/>
        </w:rPr>
        <w:t>7</w:t>
      </w:r>
      <w:r>
        <w:rPr>
          <w:iCs/>
          <w:sz w:val="22"/>
          <w:szCs w:val="22"/>
        </w:rPr>
        <w:t>2</w:t>
      </w:r>
      <w:r w:rsidR="00AC5A88">
        <w:rPr>
          <w:iCs/>
          <w:sz w:val="22"/>
          <w:szCs w:val="22"/>
        </w:rPr>
        <w:t>05</w:t>
      </w:r>
      <w:r>
        <w:rPr>
          <w:iCs/>
          <w:sz w:val="22"/>
          <w:szCs w:val="22"/>
        </w:rPr>
        <w:t>, “</w:t>
      </w:r>
      <w:r w:rsidR="00AC5A88" w:rsidRPr="00AC5A88">
        <w:rPr>
          <w:iCs/>
          <w:sz w:val="22"/>
          <w:szCs w:val="22"/>
        </w:rPr>
        <w:t>WF on HPUE for IoT NTN</w:t>
      </w:r>
      <w:r>
        <w:rPr>
          <w:iCs/>
          <w:sz w:val="22"/>
          <w:szCs w:val="22"/>
        </w:rPr>
        <w:t xml:space="preserve">”, </w:t>
      </w:r>
      <w:r w:rsidR="00AC5A88">
        <w:rPr>
          <w:iCs/>
          <w:sz w:val="22"/>
          <w:szCs w:val="22"/>
        </w:rPr>
        <w:t>vivo</w:t>
      </w:r>
      <w:r>
        <w:rPr>
          <w:iCs/>
          <w:sz w:val="22"/>
          <w:szCs w:val="22"/>
        </w:rPr>
        <w:t>, RAN4#112</w:t>
      </w:r>
      <w:r w:rsidR="00AC5A88">
        <w:rPr>
          <w:iCs/>
          <w:sz w:val="22"/>
          <w:szCs w:val="22"/>
        </w:rPr>
        <w:t>-bis</w:t>
      </w:r>
      <w:r>
        <w:rPr>
          <w:iCs/>
          <w:sz w:val="22"/>
          <w:szCs w:val="22"/>
        </w:rPr>
        <w:t>.</w:t>
      </w:r>
    </w:p>
    <w:p w14:paraId="14262697" w14:textId="36E1C319" w:rsidR="009F35FA" w:rsidRPr="009F35FA" w:rsidRDefault="009F35FA" w:rsidP="009F35FA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</w:rPr>
      </w:pPr>
      <w:r w:rsidRPr="00C23869">
        <w:rPr>
          <w:sz w:val="22"/>
          <w:szCs w:val="22"/>
        </w:rPr>
        <w:t>3GPP TS 3</w:t>
      </w:r>
      <w:r>
        <w:rPr>
          <w:sz w:val="22"/>
          <w:szCs w:val="22"/>
        </w:rPr>
        <w:t>6</w:t>
      </w:r>
      <w:r w:rsidRPr="00C23869">
        <w:rPr>
          <w:sz w:val="22"/>
          <w:szCs w:val="22"/>
        </w:rPr>
        <w:t>.101 V18.</w:t>
      </w:r>
      <w:r w:rsidR="00403C0A">
        <w:rPr>
          <w:sz w:val="22"/>
          <w:szCs w:val="22"/>
        </w:rPr>
        <w:t>7</w:t>
      </w:r>
      <w:r w:rsidRPr="00C23869">
        <w:rPr>
          <w:sz w:val="22"/>
          <w:szCs w:val="22"/>
        </w:rPr>
        <w:t>.0, “</w:t>
      </w:r>
      <w:r w:rsidRPr="009F35FA">
        <w:rPr>
          <w:sz w:val="22"/>
          <w:szCs w:val="22"/>
        </w:rPr>
        <w:t>Evolved Universal Terrestrial Radio Access (E-UTRA);</w:t>
      </w:r>
      <w:r>
        <w:rPr>
          <w:sz w:val="22"/>
          <w:szCs w:val="22"/>
        </w:rPr>
        <w:t xml:space="preserve"> </w:t>
      </w:r>
      <w:r w:rsidRPr="009F35FA">
        <w:rPr>
          <w:sz w:val="22"/>
          <w:szCs w:val="22"/>
        </w:rPr>
        <w:t xml:space="preserve">User Equipment (UE) radio transmission and </w:t>
      </w:r>
      <w:proofErr w:type="gramStart"/>
      <w:r w:rsidRPr="009F35FA">
        <w:rPr>
          <w:sz w:val="22"/>
          <w:szCs w:val="22"/>
        </w:rPr>
        <w:t>reception</w:t>
      </w:r>
      <w:proofErr w:type="gramEnd"/>
      <w:r w:rsidRPr="009F35FA">
        <w:rPr>
          <w:sz w:val="22"/>
          <w:szCs w:val="22"/>
        </w:rPr>
        <w:t>”</w:t>
      </w:r>
    </w:p>
    <w:p w14:paraId="4F992F70" w14:textId="38E416F3" w:rsidR="006977D1" w:rsidRPr="00781E89" w:rsidRDefault="00BD77F2" w:rsidP="00781E89">
      <w:pPr>
        <w:pStyle w:val="BodyText"/>
        <w:numPr>
          <w:ilvl w:val="0"/>
          <w:numId w:val="13"/>
        </w:numPr>
        <w:rPr>
          <w:sz w:val="22"/>
          <w:szCs w:val="22"/>
        </w:rPr>
      </w:pPr>
      <w:r w:rsidRPr="00BD77F2">
        <w:rPr>
          <w:sz w:val="22"/>
          <w:szCs w:val="22"/>
        </w:rPr>
        <w:t>R1-2210739, LS on enhancements to realize increasing UE power high limit for CA and DC, RAN1</w:t>
      </w:r>
      <w:r w:rsidR="00781E89">
        <w:rPr>
          <w:sz w:val="22"/>
          <w:szCs w:val="22"/>
        </w:rPr>
        <w:t>.</w:t>
      </w:r>
    </w:p>
    <w:p w14:paraId="4BE120B8" w14:textId="77777777" w:rsidR="00781E89" w:rsidRPr="00190A2C" w:rsidRDefault="00781E89" w:rsidP="00781E89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1A2FDB">
        <w:rPr>
          <w:iCs/>
          <w:sz w:val="22"/>
          <w:szCs w:val="22"/>
        </w:rPr>
        <w:t>3GPP TS38.</w:t>
      </w:r>
      <w:r>
        <w:rPr>
          <w:iCs/>
          <w:sz w:val="22"/>
          <w:szCs w:val="22"/>
        </w:rPr>
        <w:t>321</w:t>
      </w:r>
      <w:r w:rsidRPr="001A2FDB">
        <w:rPr>
          <w:iCs/>
          <w:sz w:val="22"/>
          <w:szCs w:val="22"/>
        </w:rPr>
        <w:t xml:space="preserve"> V18.</w:t>
      </w:r>
      <w:r>
        <w:rPr>
          <w:iCs/>
          <w:sz w:val="22"/>
          <w:szCs w:val="22"/>
        </w:rPr>
        <w:t>3</w:t>
      </w:r>
      <w:r w:rsidRPr="001A2FDB">
        <w:rPr>
          <w:iCs/>
          <w:sz w:val="22"/>
          <w:szCs w:val="22"/>
        </w:rPr>
        <w:t xml:space="preserve">.0, “NR; </w:t>
      </w:r>
      <w:r w:rsidRPr="00190A2C">
        <w:rPr>
          <w:iCs/>
          <w:sz w:val="22"/>
          <w:szCs w:val="22"/>
        </w:rPr>
        <w:t>Medium Access Control (MAC) protocol specification</w:t>
      </w:r>
      <w:r w:rsidRPr="001A2FDB">
        <w:rPr>
          <w:iCs/>
          <w:sz w:val="22"/>
          <w:szCs w:val="22"/>
        </w:rPr>
        <w:t>”</w:t>
      </w:r>
      <w:r>
        <w:rPr>
          <w:iCs/>
          <w:sz w:val="22"/>
          <w:szCs w:val="22"/>
        </w:rPr>
        <w:t>.</w:t>
      </w:r>
    </w:p>
    <w:p w14:paraId="540B2D99" w14:textId="77777777" w:rsidR="00781E89" w:rsidRPr="00781E89" w:rsidRDefault="00781E89" w:rsidP="00781E89">
      <w:pPr>
        <w:jc w:val="both"/>
        <w:rPr>
          <w:rFonts w:ascii="Arial" w:hAnsi="Arial" w:cs="Arial"/>
          <w:iCs/>
          <w:sz w:val="22"/>
          <w:szCs w:val="22"/>
        </w:rPr>
      </w:pPr>
    </w:p>
    <w:sectPr w:rsidR="00781E89" w:rsidRPr="00781E8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26158"/>
    <w:multiLevelType w:val="hybridMultilevel"/>
    <w:tmpl w:val="788A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9"/>
  </w:num>
  <w:num w:numId="2" w16cid:durableId="206456521">
    <w:abstractNumId w:val="12"/>
  </w:num>
  <w:num w:numId="3" w16cid:durableId="2114860448">
    <w:abstractNumId w:val="5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5"/>
  </w:num>
  <w:num w:numId="11" w16cid:durableId="1213073752">
    <w:abstractNumId w:val="8"/>
  </w:num>
  <w:num w:numId="12" w16cid:durableId="341251335">
    <w:abstractNumId w:val="19"/>
  </w:num>
  <w:num w:numId="13" w16cid:durableId="338388040">
    <w:abstractNumId w:val="22"/>
  </w:num>
  <w:num w:numId="14" w16cid:durableId="683022094">
    <w:abstractNumId w:val="6"/>
  </w:num>
  <w:num w:numId="15" w16cid:durableId="598368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1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18"/>
  </w:num>
  <w:num w:numId="22" w16cid:durableId="1624388358">
    <w:abstractNumId w:val="4"/>
  </w:num>
  <w:num w:numId="23" w16cid:durableId="1178619627">
    <w:abstractNumId w:val="7"/>
  </w:num>
  <w:num w:numId="24" w16cid:durableId="24819915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865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306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6D19"/>
    <w:rsid w:val="000D7938"/>
    <w:rsid w:val="000D7C76"/>
    <w:rsid w:val="000D7EC7"/>
    <w:rsid w:val="000E0F10"/>
    <w:rsid w:val="000E1568"/>
    <w:rsid w:val="000E1936"/>
    <w:rsid w:val="000E1CBB"/>
    <w:rsid w:val="000E22A1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4CD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D24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C4F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88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6152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33E1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685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15D"/>
    <w:rsid w:val="003766BC"/>
    <w:rsid w:val="0037683F"/>
    <w:rsid w:val="00376A8A"/>
    <w:rsid w:val="003770F6"/>
    <w:rsid w:val="003775F8"/>
    <w:rsid w:val="0038017D"/>
    <w:rsid w:val="00383E37"/>
    <w:rsid w:val="00384819"/>
    <w:rsid w:val="003851A8"/>
    <w:rsid w:val="003851CF"/>
    <w:rsid w:val="00386485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3DE4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3C0A"/>
    <w:rsid w:val="004045F2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7D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2E48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660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280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77C"/>
    <w:rsid w:val="00772FEB"/>
    <w:rsid w:val="00773C9F"/>
    <w:rsid w:val="00775794"/>
    <w:rsid w:val="007763C1"/>
    <w:rsid w:val="00776D7F"/>
    <w:rsid w:val="00777656"/>
    <w:rsid w:val="00777DD7"/>
    <w:rsid w:val="00777E82"/>
    <w:rsid w:val="00780C50"/>
    <w:rsid w:val="0078103B"/>
    <w:rsid w:val="00781119"/>
    <w:rsid w:val="00781359"/>
    <w:rsid w:val="007814A7"/>
    <w:rsid w:val="007818A0"/>
    <w:rsid w:val="00781E89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19C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974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16A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6E25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3E7B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195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1A9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3F9B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06B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696A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182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77C34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6BB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A88"/>
    <w:rsid w:val="00AC5FC3"/>
    <w:rsid w:val="00AC630E"/>
    <w:rsid w:val="00AC6D6B"/>
    <w:rsid w:val="00AD0E75"/>
    <w:rsid w:val="00AD1106"/>
    <w:rsid w:val="00AD2CA6"/>
    <w:rsid w:val="00AD2FEA"/>
    <w:rsid w:val="00AD4307"/>
    <w:rsid w:val="00AD45B8"/>
    <w:rsid w:val="00AD4638"/>
    <w:rsid w:val="00AD46F7"/>
    <w:rsid w:val="00AD47CE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6FCA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0859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6C5F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0A67"/>
    <w:rsid w:val="00BC16F5"/>
    <w:rsid w:val="00BC44FE"/>
    <w:rsid w:val="00BC5982"/>
    <w:rsid w:val="00BC5EB8"/>
    <w:rsid w:val="00BC60BF"/>
    <w:rsid w:val="00BC67E3"/>
    <w:rsid w:val="00BC6878"/>
    <w:rsid w:val="00BC6D7D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D77F2"/>
    <w:rsid w:val="00BE0132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3C06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3CFB"/>
    <w:rsid w:val="00DB459E"/>
    <w:rsid w:val="00DB464F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B7EF6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52BD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9F8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C6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97EF5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67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403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9b239327-9e80-40e4-b1b7-4394fed77a33"/>
    <ds:schemaRef ds:uri="d8762117-8292-4133-b1c7-eab5c6487cfd"/>
    <ds:schemaRef ds:uri="http://purl.org/dc/elements/1.1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2653</TotalTime>
  <Pages>5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13092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126</cp:revision>
  <cp:lastPrinted>2022-08-19T16:29:00Z</cp:lastPrinted>
  <dcterms:created xsi:type="dcterms:W3CDTF">2024-04-08T15:06:00Z</dcterms:created>
  <dcterms:modified xsi:type="dcterms:W3CDTF">2024-11-08T21:19:00Z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