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B4F0" w14:textId="2277FE6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F00041">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001E55F4" w:rsidRPr="001E55F4">
        <w:rPr>
          <w:rFonts w:ascii="Arial" w:eastAsia="SimSun" w:hAnsi="Arial" w:cs="Times New Roman"/>
          <w:b/>
          <w:bCs/>
          <w:sz w:val="24"/>
          <w:szCs w:val="20"/>
          <w:lang w:val="en-US" w:eastAsia="ja-JP"/>
        </w:rPr>
        <w:t>R4-2418889</w:t>
      </w:r>
    </w:p>
    <w:p w14:paraId="7F2966C6" w14:textId="544B893E" w:rsidR="00841BCD" w:rsidRPr="00614DD8" w:rsidRDefault="00930F4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930F4F">
        <w:rPr>
          <w:rFonts w:ascii="Arial" w:eastAsia="SimSun" w:hAnsi="Arial" w:cs="Times New Roman"/>
          <w:b/>
          <w:sz w:val="24"/>
          <w:szCs w:val="20"/>
          <w:lang w:val="en-US"/>
        </w:rPr>
        <w:t>Orlando, US, Nov 18th – Nov 22nd, 2024</w:t>
      </w:r>
    </w:p>
    <w:bookmarkEnd w:id="0"/>
    <w:bookmarkEnd w:id="1"/>
    <w:p w14:paraId="7258C96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670D37" w14:textId="2EEC5F4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B0C67">
        <w:rPr>
          <w:rFonts w:ascii="Arial" w:eastAsia="Calibri" w:hAnsi="Arial" w:cs="Arial"/>
          <w:b/>
          <w:bCs/>
          <w:sz w:val="24"/>
          <w:lang w:val="en-US"/>
        </w:rPr>
        <w:t xml:space="preserve">Other aspects for </w:t>
      </w:r>
      <w:r w:rsidR="00064EAA">
        <w:rPr>
          <w:rFonts w:ascii="Arial" w:eastAsia="Calibri" w:hAnsi="Arial" w:cs="Arial"/>
          <w:b/>
          <w:bCs/>
          <w:sz w:val="24"/>
          <w:lang w:val="en-US"/>
        </w:rPr>
        <w:t>NR MIMO Phase 5</w:t>
      </w:r>
      <w:r w:rsidR="00287380">
        <w:rPr>
          <w:rFonts w:ascii="Arial" w:eastAsia="Calibri" w:hAnsi="Arial" w:cs="Arial"/>
          <w:b/>
          <w:bCs/>
          <w:sz w:val="24"/>
          <w:lang w:val="en-US"/>
        </w:rPr>
        <w:t xml:space="preserve"> </w:t>
      </w:r>
      <w:r w:rsidR="008B0C67">
        <w:rPr>
          <w:rFonts w:ascii="Arial" w:eastAsia="Calibri" w:hAnsi="Arial" w:cs="Arial"/>
          <w:b/>
          <w:bCs/>
          <w:sz w:val="24"/>
          <w:lang w:val="en-US"/>
        </w:rPr>
        <w:t>RRM requirements</w:t>
      </w:r>
    </w:p>
    <w:p w14:paraId="7472A163" w14:textId="3A01174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F7A1C">
        <w:rPr>
          <w:rFonts w:ascii="Arial" w:eastAsia="MS Mincho" w:hAnsi="Arial" w:cs="Arial"/>
          <w:b/>
          <w:bCs/>
          <w:sz w:val="24"/>
          <w:szCs w:val="20"/>
          <w:lang w:val="en-US"/>
        </w:rPr>
        <w:t>7.19.3.2</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B7B70B" w14:textId="77777777" w:rsidR="00E323E9" w:rsidRPr="00614DD8" w:rsidRDefault="00E323E9" w:rsidP="00841BCD">
      <w:pPr>
        <w:tabs>
          <w:tab w:val="left" w:pos="1985"/>
        </w:tabs>
        <w:rPr>
          <w:rFonts w:ascii="Arial" w:eastAsia="Calibri" w:hAnsi="Arial" w:cs="Arial"/>
          <w:b/>
          <w:bCs/>
          <w:sz w:val="24"/>
          <w:lang w:val="en-US"/>
        </w:rPr>
      </w:pP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E8CDDA2" w14:textId="1F1FE573" w:rsidR="009A4711" w:rsidRPr="00614DD8" w:rsidRDefault="00B32FE9" w:rsidP="009A4711">
      <w:pPr>
        <w:rPr>
          <w:lang w:val="en-US"/>
        </w:rPr>
      </w:pPr>
      <w:r w:rsidRPr="00B32FE9">
        <w:rPr>
          <w:lang w:val="en-US"/>
        </w:rPr>
        <w:t xml:space="preserve">In this document, we present Nokia’s views regarding </w:t>
      </w:r>
      <w:r w:rsidR="00A672EF">
        <w:rPr>
          <w:lang w:val="en-US"/>
        </w:rPr>
        <w:t>the core requirements that RAN4 need</w:t>
      </w:r>
      <w:r w:rsidR="00FA3282">
        <w:rPr>
          <w:lang w:val="en-US"/>
        </w:rPr>
        <w:t>s</w:t>
      </w:r>
      <w:r w:rsidR="00A672EF">
        <w:rPr>
          <w:lang w:val="en-US"/>
        </w:rPr>
        <w:t xml:space="preserve"> to </w:t>
      </w:r>
      <w:r w:rsidR="004D214A">
        <w:rPr>
          <w:lang w:val="en-US"/>
        </w:rPr>
        <w:t>discuss in relation to the WID</w:t>
      </w:r>
      <w:r w:rsidR="00A246D0">
        <w:rPr>
          <w:lang w:val="en-US"/>
        </w:rPr>
        <w:t xml:space="preserve"> </w:t>
      </w:r>
      <w:r w:rsidR="00A246D0" w:rsidRPr="00A246D0">
        <w:rPr>
          <w:lang w:val="en-US"/>
        </w:rPr>
        <w:t>RP-242394</w:t>
      </w:r>
      <w:r w:rsidR="004D214A">
        <w:rPr>
          <w:lang w:val="en-US"/>
        </w:rPr>
        <w:t xml:space="preserve">, </w:t>
      </w:r>
      <w:proofErr w:type="gramStart"/>
      <w:r w:rsidR="004D214A">
        <w:rPr>
          <w:lang w:val="en-US"/>
        </w:rPr>
        <w:t>in particula</w:t>
      </w:r>
      <w:r w:rsidR="00F00041">
        <w:rPr>
          <w:lang w:val="en-US"/>
        </w:rPr>
        <w:t>r</w:t>
      </w:r>
      <w:r w:rsidR="004D214A">
        <w:rPr>
          <w:lang w:val="en-US"/>
        </w:rPr>
        <w:t xml:space="preserve"> about</w:t>
      </w:r>
      <w:proofErr w:type="gramEnd"/>
      <w:r w:rsidR="004D214A">
        <w:rPr>
          <w:lang w:val="en-US"/>
        </w:rPr>
        <w:t xml:space="preserve"> </w:t>
      </w:r>
      <w:r w:rsidR="00F608CC">
        <w:rPr>
          <w:lang w:val="en-US"/>
        </w:rPr>
        <w:t>a</w:t>
      </w:r>
      <w:r w:rsidR="004377BE" w:rsidRPr="004377BE">
        <w:rPr>
          <w:lang w:val="en-US"/>
        </w:rPr>
        <w:t xml:space="preserve">symmetric DL </w:t>
      </w:r>
      <w:proofErr w:type="spellStart"/>
      <w:r w:rsidR="004377BE" w:rsidRPr="004377BE">
        <w:rPr>
          <w:lang w:val="en-US"/>
        </w:rPr>
        <w:t>sTRP</w:t>
      </w:r>
      <w:proofErr w:type="spellEnd"/>
      <w:r w:rsidR="004377BE" w:rsidRPr="004377BE">
        <w:rPr>
          <w:lang w:val="en-US"/>
        </w:rPr>
        <w:t xml:space="preserve">/UL </w:t>
      </w:r>
      <w:proofErr w:type="spellStart"/>
      <w:r w:rsidR="004377BE" w:rsidRPr="004377BE">
        <w:rPr>
          <w:lang w:val="en-US"/>
        </w:rPr>
        <w:t>mTRP</w:t>
      </w:r>
      <w:proofErr w:type="spellEnd"/>
      <w:r w:rsidR="004377BE">
        <w:rPr>
          <w:lang w:val="en-US"/>
        </w:rPr>
        <w:t xml:space="preserve"> deployment scenarios</w:t>
      </w:r>
      <w:r w:rsidR="00353289">
        <w:rPr>
          <w:lang w:val="en-US"/>
        </w:rPr>
        <w:t xml:space="preserve"> </w:t>
      </w:r>
      <w:r w:rsidR="00A246D0">
        <w:rPr>
          <w:lang w:val="en-US"/>
        </w:rPr>
        <w:t xml:space="preserve">(Objective 5) </w:t>
      </w:r>
      <w:r w:rsidR="00353289">
        <w:rPr>
          <w:lang w:val="en-US"/>
        </w:rPr>
        <w:t>and the aspects related to CJT calibration reporting</w:t>
      </w:r>
      <w:r w:rsidR="00A246D0">
        <w:rPr>
          <w:lang w:val="en-US"/>
        </w:rPr>
        <w:t xml:space="preserve"> </w:t>
      </w:r>
      <w:r w:rsidR="00A246D0" w:rsidRPr="00A246D0">
        <w:rPr>
          <w:lang w:val="en-US"/>
        </w:rPr>
        <w:t xml:space="preserve">(Objective </w:t>
      </w:r>
      <w:r w:rsidR="00A246D0">
        <w:rPr>
          <w:lang w:val="en-US"/>
        </w:rPr>
        <w:t>3</w:t>
      </w:r>
      <w:r w:rsidR="00A246D0" w:rsidRPr="00A246D0">
        <w:rPr>
          <w:lang w:val="en-US"/>
        </w:rPr>
        <w:t>)</w:t>
      </w:r>
      <w:r w:rsidR="004377BE">
        <w:rPr>
          <w:lang w:val="en-US"/>
        </w:rPr>
        <w:t>.</w:t>
      </w:r>
    </w:p>
    <w:tbl>
      <w:tblPr>
        <w:tblStyle w:val="TableGrid"/>
        <w:tblW w:w="0" w:type="auto"/>
        <w:tblLook w:val="04A0" w:firstRow="1" w:lastRow="0" w:firstColumn="1" w:lastColumn="0" w:noHBand="0" w:noVBand="1"/>
      </w:tblPr>
      <w:tblGrid>
        <w:gridCol w:w="9617"/>
      </w:tblGrid>
      <w:tr w:rsidR="009A4711" w:rsidRPr="00614DD8" w14:paraId="7C340DF6" w14:textId="77777777" w:rsidTr="00E06288">
        <w:tc>
          <w:tcPr>
            <w:tcW w:w="9617" w:type="dxa"/>
          </w:tcPr>
          <w:p w14:paraId="7227BBC3" w14:textId="07B65F91" w:rsidR="009A4711" w:rsidRPr="003D50DB" w:rsidRDefault="008943BD" w:rsidP="00D57932">
            <w:pPr>
              <w:overflowPunct w:val="0"/>
              <w:autoSpaceDE w:val="0"/>
              <w:autoSpaceDN w:val="0"/>
              <w:adjustRightInd w:val="0"/>
              <w:snapToGrid w:val="0"/>
              <w:textAlignment w:val="baseline"/>
              <w:rPr>
                <w:sz w:val="18"/>
                <w:szCs w:val="18"/>
                <w:lang w:val="en-US"/>
              </w:rPr>
            </w:pPr>
            <w:r>
              <w:rPr>
                <w:sz w:val="18"/>
                <w:szCs w:val="18"/>
                <w:lang w:val="en-US"/>
              </w:rPr>
              <w:t>…</w:t>
            </w:r>
          </w:p>
          <w:p w14:paraId="795B2C29" w14:textId="77777777" w:rsidR="009A4711" w:rsidRPr="003D50DB" w:rsidRDefault="009A4711" w:rsidP="00E06288">
            <w:pPr>
              <w:snapToGrid w:val="0"/>
              <w:rPr>
                <w:sz w:val="18"/>
                <w:szCs w:val="18"/>
                <w:lang w:val="en-US"/>
              </w:rPr>
            </w:pPr>
          </w:p>
          <w:p w14:paraId="39BA2418" w14:textId="77777777" w:rsidR="009A4711" w:rsidRPr="003D50DB" w:rsidRDefault="009A4711" w:rsidP="00D57932">
            <w:pPr>
              <w:numPr>
                <w:ilvl w:val="0"/>
                <w:numId w:val="32"/>
              </w:numPr>
              <w:overflowPunct w:val="0"/>
              <w:autoSpaceDE w:val="0"/>
              <w:autoSpaceDN w:val="0"/>
              <w:adjustRightInd w:val="0"/>
              <w:snapToGrid w:val="0"/>
              <w:textAlignment w:val="baseline"/>
              <w:rPr>
                <w:sz w:val="18"/>
                <w:szCs w:val="18"/>
                <w:lang w:val="en-US"/>
              </w:rPr>
            </w:pPr>
            <w:r w:rsidRPr="003D50DB">
              <w:rPr>
                <w:sz w:val="18"/>
                <w:szCs w:val="18"/>
                <w:lang w:val="en-US"/>
              </w:rPr>
              <w:t xml:space="preserve">Specify UE reporting enhancement for CJT deployments under non-ideal synchronization and backhaul, targeting FR1, both FDD and TDD </w:t>
            </w:r>
          </w:p>
          <w:p w14:paraId="350788A8" w14:textId="77777777" w:rsidR="009A4711" w:rsidRPr="003D50DB" w:rsidRDefault="009A4711" w:rsidP="009A4711">
            <w:pPr>
              <w:numPr>
                <w:ilvl w:val="0"/>
                <w:numId w:val="16"/>
              </w:numPr>
              <w:overflowPunct w:val="0"/>
              <w:autoSpaceDE w:val="0"/>
              <w:autoSpaceDN w:val="0"/>
              <w:adjustRightInd w:val="0"/>
              <w:snapToGrid w:val="0"/>
              <w:textAlignment w:val="baseline"/>
              <w:rPr>
                <w:sz w:val="18"/>
                <w:szCs w:val="18"/>
                <w:lang w:val="en-US"/>
              </w:rPr>
            </w:pPr>
            <w:r w:rsidRPr="003D50DB">
              <w:rPr>
                <w:sz w:val="18"/>
                <w:szCs w:val="18"/>
                <w:lang w:val="en-US"/>
              </w:rPr>
              <w:t>Inter-TRP time misalignment and frequency/phase offset measurement and reporting, assuming legacy CSI-RS design, with stand-alone aperiodic reporting on PUSCH</w:t>
            </w:r>
          </w:p>
          <w:p w14:paraId="7D1269FF" w14:textId="77777777" w:rsidR="009A4711" w:rsidRPr="003D50DB" w:rsidRDefault="009A4711" w:rsidP="00E06288">
            <w:pPr>
              <w:snapToGrid w:val="0"/>
              <w:rPr>
                <w:sz w:val="18"/>
                <w:szCs w:val="18"/>
                <w:lang w:val="en-US"/>
              </w:rPr>
            </w:pPr>
            <w:r w:rsidRPr="003D50DB">
              <w:rPr>
                <w:sz w:val="18"/>
                <w:szCs w:val="18"/>
                <w:lang w:val="en-US"/>
              </w:rPr>
              <w:t> </w:t>
            </w:r>
          </w:p>
          <w:p w14:paraId="19CC46AA" w14:textId="0DDB570B" w:rsidR="009A4711" w:rsidRDefault="008943BD" w:rsidP="00E06288">
            <w:pPr>
              <w:snapToGrid w:val="0"/>
              <w:rPr>
                <w:sz w:val="18"/>
                <w:szCs w:val="18"/>
                <w:lang w:val="en-US"/>
              </w:rPr>
            </w:pPr>
            <w:r>
              <w:rPr>
                <w:sz w:val="18"/>
                <w:szCs w:val="18"/>
                <w:lang w:val="en-US"/>
              </w:rPr>
              <w:t>…</w:t>
            </w:r>
          </w:p>
          <w:p w14:paraId="178F7459" w14:textId="77777777" w:rsidR="008943BD" w:rsidRPr="003D50DB" w:rsidRDefault="008943BD" w:rsidP="00E06288">
            <w:pPr>
              <w:snapToGrid w:val="0"/>
              <w:rPr>
                <w:sz w:val="18"/>
                <w:szCs w:val="18"/>
                <w:lang w:val="en-US"/>
              </w:rPr>
            </w:pPr>
          </w:p>
          <w:p w14:paraId="4CBFB0BD" w14:textId="77777777" w:rsidR="009A4711" w:rsidRPr="003D50DB" w:rsidRDefault="009A4711" w:rsidP="00D57932">
            <w:pPr>
              <w:numPr>
                <w:ilvl w:val="0"/>
                <w:numId w:val="33"/>
              </w:numPr>
              <w:overflowPunct w:val="0"/>
              <w:autoSpaceDE w:val="0"/>
              <w:autoSpaceDN w:val="0"/>
              <w:adjustRightInd w:val="0"/>
              <w:snapToGrid w:val="0"/>
              <w:textAlignment w:val="baseline"/>
              <w:rPr>
                <w:sz w:val="18"/>
                <w:szCs w:val="18"/>
                <w:lang w:val="en-US"/>
              </w:rPr>
            </w:pPr>
            <w:r w:rsidRPr="003D50DB">
              <w:rPr>
                <w:sz w:val="18"/>
                <w:szCs w:val="18"/>
                <w:lang w:val="en-US"/>
              </w:rPr>
              <w:t xml:space="preserve">Specify enhancement for asymmetric DL </w:t>
            </w:r>
            <w:proofErr w:type="spellStart"/>
            <w:r w:rsidRPr="003D50DB">
              <w:rPr>
                <w:sz w:val="18"/>
                <w:szCs w:val="18"/>
                <w:lang w:val="en-US"/>
              </w:rPr>
              <w:t>sTRP</w:t>
            </w:r>
            <w:proofErr w:type="spellEnd"/>
            <w:r w:rsidRPr="003D50DB">
              <w:rPr>
                <w:sz w:val="18"/>
                <w:szCs w:val="18"/>
                <w:lang w:val="en-US"/>
              </w:rPr>
              <w:t xml:space="preserve">/UL </w:t>
            </w:r>
            <w:proofErr w:type="spellStart"/>
            <w:r w:rsidRPr="003D50DB">
              <w:rPr>
                <w:sz w:val="18"/>
                <w:szCs w:val="18"/>
                <w:lang w:val="en-US"/>
              </w:rPr>
              <w:t>mTRP</w:t>
            </w:r>
            <w:proofErr w:type="spellEnd"/>
            <w:r w:rsidRPr="003D50DB">
              <w:rPr>
                <w:sz w:val="18"/>
                <w:szCs w:val="18"/>
                <w:lang w:val="en-US"/>
              </w:rPr>
              <w:t xml:space="preserve"> deployment scenarios, assuming intra-band intra-DU non-co-located </w:t>
            </w:r>
            <w:proofErr w:type="spellStart"/>
            <w:r w:rsidRPr="003D50DB">
              <w:rPr>
                <w:sz w:val="18"/>
                <w:szCs w:val="18"/>
                <w:lang w:val="en-US"/>
              </w:rPr>
              <w:t>mTRP</w:t>
            </w:r>
            <w:proofErr w:type="spellEnd"/>
            <w:r w:rsidRPr="003D50DB">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70EC1959" w14:textId="77777777" w:rsidR="009A4711" w:rsidRDefault="009A4711" w:rsidP="00D57932">
            <w:pPr>
              <w:numPr>
                <w:ilvl w:val="1"/>
                <w:numId w:val="33"/>
              </w:numPr>
              <w:overflowPunct w:val="0"/>
              <w:autoSpaceDE w:val="0"/>
              <w:autoSpaceDN w:val="0"/>
              <w:adjustRightInd w:val="0"/>
              <w:snapToGrid w:val="0"/>
              <w:textAlignment w:val="baseline"/>
              <w:rPr>
                <w:sz w:val="18"/>
                <w:szCs w:val="18"/>
                <w:lang w:val="en-US"/>
              </w:rPr>
            </w:pPr>
            <w:r w:rsidRPr="003D50DB">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3D50DB">
              <w:rPr>
                <w:sz w:val="18"/>
                <w:szCs w:val="18"/>
                <w:lang w:val="en-US"/>
              </w:rPr>
              <w:t>sTRP</w:t>
            </w:r>
            <w:proofErr w:type="spellEnd"/>
            <w:r w:rsidRPr="003D50DB">
              <w:rPr>
                <w:sz w:val="18"/>
                <w:szCs w:val="18"/>
                <w:lang w:val="en-US"/>
              </w:rPr>
              <w:t xml:space="preserve">. </w:t>
            </w:r>
          </w:p>
          <w:p w14:paraId="2C95719B" w14:textId="77777777" w:rsidR="009A4711" w:rsidRPr="00745BDC" w:rsidRDefault="009A4711" w:rsidP="00D57932">
            <w:pPr>
              <w:numPr>
                <w:ilvl w:val="1"/>
                <w:numId w:val="33"/>
              </w:numPr>
              <w:overflowPunct w:val="0"/>
              <w:autoSpaceDE w:val="0"/>
              <w:autoSpaceDN w:val="0"/>
              <w:adjustRightInd w:val="0"/>
              <w:snapToGrid w:val="0"/>
              <w:textAlignment w:val="baseline"/>
              <w:rPr>
                <w:sz w:val="18"/>
                <w:szCs w:val="18"/>
                <w:lang w:val="en-US"/>
              </w:rPr>
            </w:pPr>
            <w:r w:rsidRPr="00745BDC">
              <w:rPr>
                <w:sz w:val="18"/>
                <w:szCs w:val="18"/>
              </w:rPr>
              <w:t>Two TAs through reusing Rel-18 specification of two TAs for multi-DCI-based multi-TRP and removing the restriction that </w:t>
            </w:r>
            <w:proofErr w:type="spellStart"/>
            <w:r w:rsidRPr="00745BDC">
              <w:rPr>
                <w:i/>
                <w:iCs/>
                <w:sz w:val="18"/>
                <w:szCs w:val="18"/>
              </w:rPr>
              <w:t>coresetPoolIndex</w:t>
            </w:r>
            <w:proofErr w:type="spellEnd"/>
            <w:r w:rsidRPr="00745BDC">
              <w:rPr>
                <w:i/>
                <w:iCs/>
                <w:sz w:val="18"/>
                <w:szCs w:val="18"/>
              </w:rPr>
              <w:t xml:space="preserve"> </w:t>
            </w:r>
            <w:r w:rsidRPr="00745BDC">
              <w:rPr>
                <w:sz w:val="18"/>
                <w:szCs w:val="18"/>
              </w:rPr>
              <w:t>needs to be configured, assuming legacy PRACH resources</w:t>
            </w:r>
          </w:p>
        </w:tc>
      </w:tr>
    </w:tbl>
    <w:p w14:paraId="48B380DD" w14:textId="77777777" w:rsidR="004377BE" w:rsidRPr="004377BE" w:rsidRDefault="004377BE" w:rsidP="004377BE">
      <w:pPr>
        <w:rPr>
          <w:lang w:val="en-US"/>
        </w:rPr>
      </w:pPr>
    </w:p>
    <w:p w14:paraId="69A0866C" w14:textId="6E286A7F" w:rsidR="00893D2E" w:rsidRDefault="00595F62" w:rsidP="00595F62">
      <w:pPr>
        <w:pStyle w:val="RAN4H1"/>
        <w:rPr>
          <w:lang w:val="en-US"/>
        </w:rPr>
      </w:pPr>
      <w:bookmarkStart w:id="4" w:name="_Toc116995848"/>
      <w:r>
        <w:rPr>
          <w:lang w:val="en-US"/>
        </w:rPr>
        <w:t>Discussion on two TAs</w:t>
      </w:r>
    </w:p>
    <w:p w14:paraId="09EB9F5C" w14:textId="73B2C032" w:rsidR="00595F62" w:rsidRPr="00595F62" w:rsidRDefault="006C4271" w:rsidP="00595F62">
      <w:pPr>
        <w:rPr>
          <w:lang w:val="en-US"/>
        </w:rPr>
      </w:pPr>
      <w:r w:rsidRPr="006C4271">
        <w:rPr>
          <w:lang w:val="en-US"/>
        </w:rPr>
        <w:t xml:space="preserve">Regarding asymmetric DL </w:t>
      </w:r>
      <w:proofErr w:type="spellStart"/>
      <w:r w:rsidRPr="006C4271">
        <w:rPr>
          <w:lang w:val="en-US"/>
        </w:rPr>
        <w:t>sTRP</w:t>
      </w:r>
      <w:proofErr w:type="spellEnd"/>
      <w:r w:rsidRPr="006C4271">
        <w:rPr>
          <w:lang w:val="en-US"/>
        </w:rPr>
        <w:t xml:space="preserve">/UL </w:t>
      </w:r>
      <w:proofErr w:type="spellStart"/>
      <w:r w:rsidRPr="006C4271">
        <w:rPr>
          <w:lang w:val="en-US"/>
        </w:rPr>
        <w:t>mTRP</w:t>
      </w:r>
      <w:proofErr w:type="spellEnd"/>
      <w:r w:rsidRPr="006C4271">
        <w:rPr>
          <w:lang w:val="en-US"/>
        </w:rPr>
        <w:t xml:space="preserve"> </w:t>
      </w:r>
      <w:r>
        <w:rPr>
          <w:lang w:val="en-US"/>
        </w:rPr>
        <w:t xml:space="preserve">with two TAs </w:t>
      </w:r>
      <w:r w:rsidR="003E33A2">
        <w:rPr>
          <w:lang w:val="en-US"/>
        </w:rPr>
        <w:t>enhancement</w:t>
      </w:r>
      <w:r w:rsidRPr="006C4271">
        <w:rPr>
          <w:lang w:val="en-US"/>
        </w:rPr>
        <w:t>, the following was discussed in the last RAN4#112</w:t>
      </w:r>
      <w:r w:rsidR="006A307B">
        <w:rPr>
          <w:lang w:val="en-US"/>
        </w:rPr>
        <w:t>bis</w:t>
      </w:r>
      <w:r w:rsidRPr="006C4271">
        <w:rPr>
          <w:lang w:val="en-US"/>
        </w:rPr>
        <w:t xml:space="preserve"> meeting</w:t>
      </w:r>
      <w:r>
        <w:rPr>
          <w:lang w:val="en-US"/>
        </w:rPr>
        <w:t xml:space="preserve"> </w:t>
      </w:r>
      <w:r w:rsidR="00595F62">
        <w:rPr>
          <w:lang w:val="en-US"/>
        </w:rPr>
        <w:fldChar w:fldCharType="begin"/>
      </w:r>
      <w:r w:rsidR="00595F62">
        <w:rPr>
          <w:lang w:val="en-US"/>
        </w:rPr>
        <w:instrText xml:space="preserve"> REF _Ref178151194 \r \h </w:instrText>
      </w:r>
      <w:r w:rsidR="00595F62">
        <w:rPr>
          <w:lang w:val="en-US"/>
        </w:rPr>
      </w:r>
      <w:r w:rsidR="00595F62">
        <w:rPr>
          <w:lang w:val="en-US"/>
        </w:rPr>
        <w:fldChar w:fldCharType="separate"/>
      </w:r>
      <w:r w:rsidR="00595F62">
        <w:rPr>
          <w:lang w:val="en-US"/>
        </w:rPr>
        <w:t>[</w:t>
      </w:r>
      <w:r w:rsidR="00BD01AD">
        <w:rPr>
          <w:lang w:val="en-US"/>
        </w:rPr>
        <w:t>1]</w:t>
      </w:r>
      <w:r w:rsidR="00595F62">
        <w:rPr>
          <w:lang w:val="en-US"/>
        </w:rPr>
        <w:fldChar w:fldCharType="end"/>
      </w:r>
      <w:r w:rsidR="003E33A2">
        <w:rPr>
          <w:lang w:val="en-US"/>
        </w:rPr>
        <w:t>:</w:t>
      </w:r>
      <w:bookmarkStart w:id="5" w:name="_Hlk181655432"/>
    </w:p>
    <w:tbl>
      <w:tblPr>
        <w:tblStyle w:val="TableGrid"/>
        <w:tblW w:w="0" w:type="auto"/>
        <w:tblLook w:val="04A0" w:firstRow="1" w:lastRow="0" w:firstColumn="1" w:lastColumn="0" w:noHBand="0" w:noVBand="1"/>
      </w:tblPr>
      <w:tblGrid>
        <w:gridCol w:w="9617"/>
      </w:tblGrid>
      <w:tr w:rsidR="00595F62" w14:paraId="6199BAD5" w14:textId="77777777">
        <w:tc>
          <w:tcPr>
            <w:tcW w:w="9913" w:type="dxa"/>
          </w:tcPr>
          <w:p w14:paraId="15D8AEF5" w14:textId="77777777" w:rsidR="006A307B" w:rsidRPr="006A307B" w:rsidRDefault="006A307B" w:rsidP="006A307B">
            <w:pPr>
              <w:ind w:left="288"/>
              <w:rPr>
                <w:b/>
                <w:bCs/>
                <w:u w:val="single"/>
                <w:lang w:val="en-US"/>
              </w:rPr>
            </w:pPr>
            <w:r w:rsidRPr="006A307B">
              <w:rPr>
                <w:b/>
                <w:bCs/>
                <w:u w:val="single"/>
                <w:lang w:val="en-US"/>
              </w:rPr>
              <w:t>Issue 4-1: Whether RRM impacts exist by 2TA enhancement?</w:t>
            </w:r>
          </w:p>
          <w:p w14:paraId="34BC98C3" w14:textId="77777777" w:rsidR="006A307B" w:rsidRPr="006A307B" w:rsidRDefault="006A307B" w:rsidP="006A307B">
            <w:pPr>
              <w:spacing w:after="120"/>
              <w:ind w:left="288"/>
              <w:rPr>
                <w:lang w:val="en-US"/>
              </w:rPr>
            </w:pPr>
            <w:r w:rsidRPr="006A307B">
              <w:rPr>
                <w:lang w:val="en-US"/>
              </w:rPr>
              <w:t>Agreement:</w:t>
            </w:r>
          </w:p>
          <w:p w14:paraId="423D4DAD" w14:textId="77777777" w:rsidR="006A307B" w:rsidRPr="006A307B" w:rsidRDefault="006A307B" w:rsidP="006A307B">
            <w:pPr>
              <w:numPr>
                <w:ilvl w:val="0"/>
                <w:numId w:val="12"/>
              </w:numPr>
              <w:spacing w:after="120"/>
              <w:textAlignment w:val="center"/>
              <w:rPr>
                <w:lang w:val="en-US"/>
              </w:rPr>
            </w:pPr>
            <w:r w:rsidRPr="006A307B">
              <w:rPr>
                <w:lang w:val="en-US"/>
              </w:rPr>
              <w:t xml:space="preserve">RAN4 to update the RRM requirements for 2TA enhancement [for asymmetric DL </w:t>
            </w:r>
            <w:proofErr w:type="spellStart"/>
            <w:r w:rsidRPr="006A307B">
              <w:rPr>
                <w:lang w:val="en-US"/>
              </w:rPr>
              <w:t>sTRP</w:t>
            </w:r>
            <w:proofErr w:type="spellEnd"/>
            <w:r w:rsidRPr="006A307B">
              <w:rPr>
                <w:lang w:val="en-US"/>
              </w:rPr>
              <w:t xml:space="preserve">/ UL </w:t>
            </w:r>
            <w:proofErr w:type="spellStart"/>
            <w:r w:rsidRPr="006A307B">
              <w:rPr>
                <w:lang w:val="en-US"/>
              </w:rPr>
              <w:t>mTRP</w:t>
            </w:r>
            <w:proofErr w:type="spellEnd"/>
            <w:r w:rsidRPr="006A307B">
              <w:rPr>
                <w:lang w:val="en-US"/>
              </w:rPr>
              <w:t>]</w:t>
            </w:r>
          </w:p>
          <w:p w14:paraId="44D9C1B6" w14:textId="77777777" w:rsidR="006A307B" w:rsidRPr="006A307B" w:rsidRDefault="006A307B" w:rsidP="006A307B">
            <w:pPr>
              <w:numPr>
                <w:ilvl w:val="0"/>
                <w:numId w:val="12"/>
              </w:numPr>
              <w:spacing w:after="120"/>
              <w:textAlignment w:val="center"/>
              <w:rPr>
                <w:lang w:val="en-US"/>
              </w:rPr>
            </w:pPr>
            <w:r w:rsidRPr="006A307B">
              <w:rPr>
                <w:lang w:val="en-US"/>
              </w:rPr>
              <w:t>As baseline, the Rel-18 framework can be considered as starting point, and the update is needed to accommodate the new scenario in this WID.</w:t>
            </w:r>
          </w:p>
          <w:p w14:paraId="70E9311D" w14:textId="77777777" w:rsidR="006A307B" w:rsidRPr="006A307B" w:rsidRDefault="006A307B" w:rsidP="006A307B">
            <w:pPr>
              <w:numPr>
                <w:ilvl w:val="0"/>
                <w:numId w:val="12"/>
              </w:numPr>
              <w:spacing w:after="120"/>
              <w:textAlignment w:val="center"/>
              <w:rPr>
                <w:lang w:val="en-US"/>
              </w:rPr>
            </w:pPr>
            <w:r w:rsidRPr="006A307B">
              <w:rPr>
                <w:lang w:val="en-US"/>
              </w:rPr>
              <w:t>Further discuss the details in the next meeting.</w:t>
            </w:r>
          </w:p>
          <w:p w14:paraId="7411954E" w14:textId="0485A35C" w:rsidR="00595F62" w:rsidRPr="00595F62" w:rsidRDefault="00595F62" w:rsidP="006A307B">
            <w:pPr>
              <w:overflowPunct w:val="0"/>
              <w:autoSpaceDE w:val="0"/>
              <w:autoSpaceDN w:val="0"/>
              <w:adjustRightInd w:val="0"/>
              <w:snapToGrid w:val="0"/>
              <w:spacing w:after="120"/>
              <w:ind w:left="936"/>
              <w:textAlignment w:val="baseline"/>
              <w:rPr>
                <w:rFonts w:eastAsia="Times New Roman" w:cs="Times New Roman"/>
                <w:b/>
                <w:szCs w:val="20"/>
                <w:u w:val="single"/>
                <w:lang w:eastAsia="ko-KR"/>
              </w:rPr>
            </w:pPr>
          </w:p>
        </w:tc>
      </w:tr>
    </w:tbl>
    <w:p w14:paraId="20D029FC" w14:textId="77777777" w:rsidR="00595F62" w:rsidRDefault="00595F62" w:rsidP="00595F62">
      <w:pPr>
        <w:rPr>
          <w:lang w:val="en-US"/>
        </w:rPr>
      </w:pPr>
    </w:p>
    <w:bookmarkEnd w:id="5"/>
    <w:p w14:paraId="44EBE715" w14:textId="77777777" w:rsidR="00C40686" w:rsidRPr="00C40686" w:rsidRDefault="00C40686" w:rsidP="00C40686">
      <w:pPr>
        <w:rPr>
          <w:lang w:val="en-US"/>
        </w:rPr>
      </w:pPr>
      <w:r w:rsidRPr="00C40686">
        <w:rPr>
          <w:lang w:val="en-US"/>
        </w:rPr>
        <w:t xml:space="preserve">When considering the RRM requirements for single TA, we understand that the existing requirements also apply for asymmetric DL </w:t>
      </w:r>
      <w:proofErr w:type="spellStart"/>
      <w:r w:rsidRPr="00C40686">
        <w:rPr>
          <w:lang w:val="en-US"/>
        </w:rPr>
        <w:t>sTRP</w:t>
      </w:r>
      <w:proofErr w:type="spellEnd"/>
      <w:r w:rsidRPr="00C40686">
        <w:rPr>
          <w:lang w:val="en-US"/>
        </w:rPr>
        <w:t xml:space="preserve">/UL </w:t>
      </w:r>
      <w:proofErr w:type="spellStart"/>
      <w:r w:rsidRPr="00C40686">
        <w:rPr>
          <w:lang w:val="en-US"/>
        </w:rPr>
        <w:t>mTRP</w:t>
      </w:r>
      <w:proofErr w:type="spellEnd"/>
      <w:r w:rsidRPr="00C40686">
        <w:rPr>
          <w:lang w:val="en-US"/>
        </w:rPr>
        <w:t xml:space="preserve"> deployment.</w:t>
      </w:r>
    </w:p>
    <w:p w14:paraId="290CE5F0" w14:textId="77777777" w:rsidR="00C40686" w:rsidRPr="00C40686" w:rsidRDefault="00C40686" w:rsidP="00B76323">
      <w:pPr>
        <w:pStyle w:val="RAN4proposal"/>
        <w:rPr>
          <w:lang w:val="en-US"/>
        </w:rPr>
      </w:pPr>
      <w:bookmarkStart w:id="6" w:name="_Toc179211953"/>
      <w:bookmarkStart w:id="7" w:name="_Toc181882776"/>
      <w:r w:rsidRPr="00C40686">
        <w:rPr>
          <w:lang w:val="en-US"/>
        </w:rPr>
        <w:t xml:space="preserve">Existing RRM requirements with single TA apply for asymmetric DL </w:t>
      </w:r>
      <w:proofErr w:type="spellStart"/>
      <w:r w:rsidRPr="00C40686">
        <w:rPr>
          <w:lang w:val="en-US"/>
        </w:rPr>
        <w:t>sTRP</w:t>
      </w:r>
      <w:proofErr w:type="spellEnd"/>
      <w:r w:rsidRPr="00C40686">
        <w:rPr>
          <w:lang w:val="en-US"/>
        </w:rPr>
        <w:t xml:space="preserve">/UL </w:t>
      </w:r>
      <w:proofErr w:type="spellStart"/>
      <w:r w:rsidRPr="00C40686">
        <w:rPr>
          <w:lang w:val="en-US"/>
        </w:rPr>
        <w:t>mTRP</w:t>
      </w:r>
      <w:proofErr w:type="spellEnd"/>
      <w:r w:rsidRPr="00C40686">
        <w:rPr>
          <w:lang w:val="en-US"/>
        </w:rPr>
        <w:t xml:space="preserve"> deployment.</w:t>
      </w:r>
      <w:bookmarkEnd w:id="6"/>
      <w:bookmarkEnd w:id="7"/>
    </w:p>
    <w:p w14:paraId="647CDB4C" w14:textId="7ECB23A1" w:rsidR="00060EEC" w:rsidRDefault="00BD01AD" w:rsidP="00C40686">
      <w:pPr>
        <w:rPr>
          <w:lang w:val="en-US"/>
        </w:rPr>
      </w:pPr>
      <w:r>
        <w:rPr>
          <w:lang w:val="en-US"/>
        </w:rPr>
        <w:t xml:space="preserve">Regarding the two TAs enhancement, </w:t>
      </w:r>
      <w:r w:rsidR="007C0DB2">
        <w:rPr>
          <w:lang w:val="en-US"/>
        </w:rPr>
        <w:t>RAN1 has made the following initial agreement:</w:t>
      </w:r>
    </w:p>
    <w:tbl>
      <w:tblPr>
        <w:tblStyle w:val="TableGrid"/>
        <w:tblW w:w="0" w:type="auto"/>
        <w:tblLook w:val="04A0" w:firstRow="1" w:lastRow="0" w:firstColumn="1" w:lastColumn="0" w:noHBand="0" w:noVBand="1"/>
      </w:tblPr>
      <w:tblGrid>
        <w:gridCol w:w="9617"/>
      </w:tblGrid>
      <w:tr w:rsidR="007C0DB2" w14:paraId="4C5B1C64" w14:textId="77777777" w:rsidTr="00C63E5A">
        <w:tc>
          <w:tcPr>
            <w:tcW w:w="9617" w:type="dxa"/>
          </w:tcPr>
          <w:p w14:paraId="352F47E4" w14:textId="25B2255A" w:rsidR="007C0DB2" w:rsidRPr="00C63E5A" w:rsidRDefault="007C0DB2" w:rsidP="007C0DB2">
            <w:pPr>
              <w:pStyle w:val="pf0"/>
              <w:rPr>
                <w:rStyle w:val="cf31"/>
                <w:b/>
                <w:bCs/>
              </w:rPr>
            </w:pPr>
            <w:r w:rsidRPr="00C63E5A">
              <w:rPr>
                <w:rStyle w:val="cf31"/>
                <w:b/>
                <w:bCs/>
              </w:rPr>
              <w:lastRenderedPageBreak/>
              <w:t>Agreement</w:t>
            </w:r>
            <w:r>
              <w:rPr>
                <w:rStyle w:val="cf31"/>
                <w:b/>
                <w:bCs/>
              </w:rPr>
              <w:t xml:space="preserve"> </w:t>
            </w:r>
            <w:r w:rsidRPr="00C63E5A">
              <w:rPr>
                <w:rStyle w:val="cf31"/>
                <w:b/>
                <w:bCs/>
              </w:rPr>
              <w:t>(RAN1#118bis Hefei)</w:t>
            </w:r>
          </w:p>
          <w:p w14:paraId="4F60DECD" w14:textId="4E5F32DE" w:rsidR="007C0DB2" w:rsidRPr="007C0DB2" w:rsidRDefault="007C0DB2" w:rsidP="007C0DB2">
            <w:pPr>
              <w:pStyle w:val="pf0"/>
              <w:rPr>
                <w:rFonts w:ascii="Arial" w:hAnsi="Arial" w:cs="Arial"/>
                <w:sz w:val="20"/>
                <w:szCs w:val="20"/>
              </w:rPr>
            </w:pPr>
            <w:r w:rsidRPr="007C0DB2">
              <w:rPr>
                <w:rStyle w:val="cf31"/>
              </w:rPr>
              <w:t xml:space="preserve">Support 2TA for the asymmetric DL </w:t>
            </w:r>
            <w:proofErr w:type="spellStart"/>
            <w:r w:rsidRPr="007C0DB2">
              <w:rPr>
                <w:rStyle w:val="cf31"/>
              </w:rPr>
              <w:t>sTRP</w:t>
            </w:r>
            <w:proofErr w:type="spellEnd"/>
            <w:r w:rsidRPr="007C0DB2">
              <w:rPr>
                <w:rStyle w:val="cf31"/>
              </w:rPr>
              <w:t xml:space="preserve">/UL </w:t>
            </w:r>
            <w:proofErr w:type="spellStart"/>
            <w:r w:rsidRPr="007C0DB2">
              <w:rPr>
                <w:rStyle w:val="cf31"/>
              </w:rPr>
              <w:t>mTRP</w:t>
            </w:r>
            <w:proofErr w:type="spellEnd"/>
            <w:r w:rsidRPr="007C0DB2">
              <w:rPr>
                <w:rStyle w:val="cf31"/>
              </w:rPr>
              <w:t xml:space="preserve"> deployment scenarios:</w:t>
            </w:r>
          </w:p>
          <w:p w14:paraId="525042E0" w14:textId="77777777" w:rsidR="007C0DB2" w:rsidRPr="007C0DB2" w:rsidRDefault="007C0DB2" w:rsidP="007C0DB2">
            <w:pPr>
              <w:pStyle w:val="pf1"/>
              <w:numPr>
                <w:ilvl w:val="0"/>
                <w:numId w:val="26"/>
              </w:numPr>
              <w:rPr>
                <w:rFonts w:ascii="Arial" w:hAnsi="Arial" w:cs="Arial"/>
                <w:sz w:val="20"/>
                <w:szCs w:val="20"/>
              </w:rPr>
            </w:pPr>
            <w:r w:rsidRPr="007C0DB2">
              <w:rPr>
                <w:rStyle w:val="cf31"/>
              </w:rPr>
              <w:t xml:space="preserve">Remove the restriction that </w:t>
            </w:r>
            <w:proofErr w:type="spellStart"/>
            <w:r w:rsidRPr="007C0DB2">
              <w:rPr>
                <w:rStyle w:val="cf41"/>
              </w:rPr>
              <w:t>coresetPoolIndex</w:t>
            </w:r>
            <w:proofErr w:type="spellEnd"/>
            <w:r w:rsidRPr="007C0DB2">
              <w:rPr>
                <w:rStyle w:val="cf31"/>
              </w:rPr>
              <w:t xml:space="preserve"> needs to be configured for the 2TA feature.</w:t>
            </w:r>
          </w:p>
          <w:p w14:paraId="6C22747F" w14:textId="77777777" w:rsidR="007C0DB2" w:rsidRPr="007C0DB2" w:rsidRDefault="007C0DB2" w:rsidP="007C0DB2">
            <w:pPr>
              <w:pStyle w:val="pf1"/>
              <w:numPr>
                <w:ilvl w:val="0"/>
                <w:numId w:val="26"/>
              </w:numPr>
              <w:rPr>
                <w:rFonts w:ascii="Arial" w:hAnsi="Arial" w:cs="Arial"/>
                <w:sz w:val="20"/>
                <w:szCs w:val="20"/>
              </w:rPr>
            </w:pPr>
            <w:r w:rsidRPr="007C0DB2">
              <w:rPr>
                <w:rStyle w:val="cf51"/>
              </w:rPr>
              <w:t>One downlink reference timing is supported and applied to both TAGs.</w:t>
            </w:r>
          </w:p>
          <w:p w14:paraId="00DC2646" w14:textId="77777777" w:rsidR="007C0DB2" w:rsidRPr="007C0DB2" w:rsidRDefault="007C0DB2" w:rsidP="007C0DB2">
            <w:pPr>
              <w:pStyle w:val="pf2"/>
              <w:numPr>
                <w:ilvl w:val="1"/>
                <w:numId w:val="27"/>
              </w:numPr>
              <w:rPr>
                <w:rFonts w:ascii="Arial" w:hAnsi="Arial" w:cs="Arial"/>
                <w:sz w:val="20"/>
                <w:szCs w:val="20"/>
              </w:rPr>
            </w:pPr>
            <w:r w:rsidRPr="007C0DB2">
              <w:rPr>
                <w:rStyle w:val="cf31"/>
              </w:rPr>
              <w:t>(FFS) Note: UE autonomous TA adjustment is only applicable to the first TAG</w:t>
            </w:r>
          </w:p>
          <w:p w14:paraId="18B501E8" w14:textId="77777777" w:rsidR="007C0DB2" w:rsidRPr="007C0DB2" w:rsidRDefault="007C0DB2" w:rsidP="007C0DB2">
            <w:pPr>
              <w:pStyle w:val="pf1"/>
              <w:numPr>
                <w:ilvl w:val="0"/>
                <w:numId w:val="26"/>
              </w:numPr>
              <w:rPr>
                <w:rFonts w:ascii="Arial" w:hAnsi="Arial" w:cs="Arial"/>
                <w:sz w:val="20"/>
                <w:szCs w:val="20"/>
              </w:rPr>
            </w:pPr>
            <w:r w:rsidRPr="007C0DB2">
              <w:rPr>
                <w:rStyle w:val="cf51"/>
              </w:rPr>
              <w:t xml:space="preserve">One single </w:t>
            </w:r>
            <w:r w:rsidRPr="007C0DB2">
              <w:rPr>
                <w:rStyle w:val="cf61"/>
              </w:rPr>
              <w:t>n-</w:t>
            </w:r>
            <w:proofErr w:type="spellStart"/>
            <w:r w:rsidRPr="007C0DB2">
              <w:rPr>
                <w:rStyle w:val="cf61"/>
              </w:rPr>
              <w:t>TimingAdvanceoffset</w:t>
            </w:r>
            <w:proofErr w:type="spellEnd"/>
            <w:r w:rsidRPr="007C0DB2">
              <w:rPr>
                <w:rStyle w:val="cf51"/>
              </w:rPr>
              <w:t xml:space="preserve"> is configured and applied to both TAGs.</w:t>
            </w:r>
          </w:p>
          <w:p w14:paraId="7316D6C7" w14:textId="77777777" w:rsidR="007C0DB2" w:rsidRPr="007C0DB2" w:rsidRDefault="007C0DB2" w:rsidP="007C0DB2">
            <w:pPr>
              <w:pStyle w:val="pf1"/>
              <w:numPr>
                <w:ilvl w:val="0"/>
                <w:numId w:val="26"/>
              </w:numPr>
              <w:rPr>
                <w:rFonts w:ascii="Arial" w:hAnsi="Arial" w:cs="Arial"/>
                <w:sz w:val="20"/>
                <w:szCs w:val="20"/>
              </w:rPr>
            </w:pPr>
            <w:r w:rsidRPr="007C0DB2">
              <w:rPr>
                <w:rStyle w:val="cf51"/>
              </w:rPr>
              <w:t>Any of the TCI states can be associated with any one of the two TAGs.</w:t>
            </w:r>
          </w:p>
          <w:p w14:paraId="4E3A9028" w14:textId="77777777" w:rsidR="007C0DB2" w:rsidRPr="007C0DB2" w:rsidRDefault="007C0DB2" w:rsidP="007C0DB2">
            <w:pPr>
              <w:pStyle w:val="pf1"/>
              <w:numPr>
                <w:ilvl w:val="0"/>
                <w:numId w:val="26"/>
              </w:numPr>
              <w:rPr>
                <w:rFonts w:ascii="Arial" w:hAnsi="Arial" w:cs="Arial"/>
                <w:sz w:val="20"/>
                <w:szCs w:val="20"/>
              </w:rPr>
            </w:pPr>
            <w:r w:rsidRPr="007C0DB2">
              <w:rPr>
                <w:rStyle w:val="cf31"/>
              </w:rPr>
              <w:t xml:space="preserve">The RAR carrying TA adjustment for those 2 TAGs is reused for Rel-19 2TA </w:t>
            </w:r>
          </w:p>
          <w:p w14:paraId="37B93A81" w14:textId="77777777" w:rsidR="007C0DB2" w:rsidRPr="007C0DB2" w:rsidRDefault="007C0DB2" w:rsidP="007C0DB2">
            <w:pPr>
              <w:pStyle w:val="pf1"/>
              <w:numPr>
                <w:ilvl w:val="0"/>
                <w:numId w:val="26"/>
              </w:numPr>
              <w:rPr>
                <w:rFonts w:ascii="Arial" w:hAnsi="Arial" w:cs="Arial"/>
                <w:sz w:val="20"/>
                <w:szCs w:val="20"/>
              </w:rPr>
            </w:pPr>
            <w:r w:rsidRPr="007C0DB2">
              <w:rPr>
                <w:rStyle w:val="cf31"/>
              </w:rPr>
              <w:t>The MAC CE based TA adjustment for 2 TAGs is reused for Rel-19 2TA.</w:t>
            </w:r>
          </w:p>
          <w:p w14:paraId="580636E3" w14:textId="77777777" w:rsidR="007C0DB2" w:rsidRPr="007C0DB2" w:rsidRDefault="007C0DB2" w:rsidP="007C0DB2">
            <w:pPr>
              <w:pStyle w:val="pf1"/>
              <w:numPr>
                <w:ilvl w:val="0"/>
                <w:numId w:val="26"/>
              </w:numPr>
              <w:rPr>
                <w:rFonts w:ascii="Arial" w:hAnsi="Arial" w:cs="Arial"/>
                <w:sz w:val="20"/>
                <w:szCs w:val="20"/>
              </w:rPr>
            </w:pPr>
            <w:r w:rsidRPr="007C0DB2">
              <w:rPr>
                <w:rStyle w:val="cf31"/>
              </w:rPr>
              <w:t>Introduce the optional UE capability of “Overlapping UL transmission reduction” for Rel-19 2TA</w:t>
            </w:r>
          </w:p>
          <w:p w14:paraId="01747C02" w14:textId="77777777" w:rsidR="007C0DB2" w:rsidRPr="007C0DB2" w:rsidRDefault="007C0DB2" w:rsidP="007C0DB2">
            <w:pPr>
              <w:pStyle w:val="pf2"/>
              <w:numPr>
                <w:ilvl w:val="1"/>
                <w:numId w:val="28"/>
              </w:numPr>
              <w:rPr>
                <w:rStyle w:val="cf31"/>
              </w:rPr>
            </w:pPr>
            <w:r w:rsidRPr="007C0DB2">
              <w:rPr>
                <w:rStyle w:val="cf31"/>
              </w:rPr>
              <w:t>If UE does not report this UE capability, UE does not expect two UL transmissions associated with different TAGs are overlapped.</w:t>
            </w:r>
          </w:p>
          <w:p w14:paraId="00EE2DAE" w14:textId="3AE354A6" w:rsidR="007C0DB2" w:rsidRPr="00207B09" w:rsidRDefault="007C0DB2" w:rsidP="00207B09">
            <w:pPr>
              <w:pStyle w:val="ListParagraph"/>
              <w:numPr>
                <w:ilvl w:val="0"/>
                <w:numId w:val="28"/>
              </w:numPr>
              <w:rPr>
                <w:rFonts w:ascii="Arial" w:eastAsia="Times New Roman" w:hAnsi="Arial" w:cs="Arial"/>
                <w:szCs w:val="20"/>
                <w:lang w:val="en-US"/>
              </w:rPr>
            </w:pPr>
            <w:r w:rsidRPr="00C63E5A">
              <w:rPr>
                <w:rStyle w:val="cf31"/>
              </w:rPr>
              <w:t>FFS: UE does not expect that in intra-slot TDM PUSCH type-B repetition transmission, two consecutive repetitions associated with different TAGs are overlapped.</w:t>
            </w:r>
          </w:p>
        </w:tc>
      </w:tr>
    </w:tbl>
    <w:p w14:paraId="64A6168B" w14:textId="77777777" w:rsidR="00060EEC" w:rsidRDefault="00060EEC" w:rsidP="00C40686">
      <w:pPr>
        <w:rPr>
          <w:lang w:val="en-US"/>
        </w:rPr>
      </w:pPr>
    </w:p>
    <w:p w14:paraId="51F8A6A4" w14:textId="2D6ABFA6" w:rsidR="00C40686" w:rsidRPr="00C40686" w:rsidRDefault="005527A2" w:rsidP="00C40686">
      <w:pPr>
        <w:rPr>
          <w:lang w:val="en-US"/>
        </w:rPr>
      </w:pPr>
      <w:r w:rsidRPr="005527A2">
        <w:rPr>
          <w:lang w:val="en-US"/>
        </w:rPr>
        <w:t xml:space="preserve">Regarding the two TAs enhancement, </w:t>
      </w:r>
      <w:r w:rsidR="007C0DB2">
        <w:rPr>
          <w:lang w:val="en-US"/>
        </w:rPr>
        <w:t>i</w:t>
      </w:r>
      <w:r w:rsidR="008726E3" w:rsidRPr="00C40686">
        <w:rPr>
          <w:lang w:val="en-US"/>
        </w:rPr>
        <w:t xml:space="preserve">t </w:t>
      </w:r>
      <w:r w:rsidR="00C40686" w:rsidRPr="00C40686">
        <w:rPr>
          <w:lang w:val="en-US"/>
        </w:rPr>
        <w:t xml:space="preserve">is worth recalling that Rel-18 introduced the two TAs enhancement for </w:t>
      </w:r>
      <w:r w:rsidR="00C40686" w:rsidRPr="00207B09">
        <w:rPr>
          <w:b/>
          <w:bCs/>
          <w:lang w:val="en-US"/>
        </w:rPr>
        <w:t>multi-DCI multi-TRP</w:t>
      </w:r>
      <w:r w:rsidR="00C40686" w:rsidRPr="00C40686">
        <w:rPr>
          <w:lang w:val="en-US"/>
        </w:rPr>
        <w:t xml:space="preserve"> scenario</w:t>
      </w:r>
      <w:r w:rsidR="00E65F83">
        <w:rPr>
          <w:lang w:val="en-US"/>
        </w:rPr>
        <w:t xml:space="preserve">, </w:t>
      </w:r>
      <w:r w:rsidR="00654860">
        <w:rPr>
          <w:lang w:val="en-US"/>
        </w:rPr>
        <w:t>t</w:t>
      </w:r>
      <w:r w:rsidR="00E65F83">
        <w:rPr>
          <w:lang w:val="en-US"/>
        </w:rPr>
        <w:t>hat</w:t>
      </w:r>
      <w:r w:rsidR="00C40686" w:rsidRPr="00C40686">
        <w:rPr>
          <w:lang w:val="en-US"/>
        </w:rPr>
        <w:t xml:space="preserve"> allow UL transmissions from a UE toward two TRPs whose links may be characterized by a large difference in the propagation delays with respect to the CP length. The most relevant</w:t>
      </w:r>
      <w:r w:rsidR="00FB463C">
        <w:rPr>
          <w:lang w:val="en-US"/>
        </w:rPr>
        <w:t xml:space="preserve"> Rel-18</w:t>
      </w:r>
      <w:r w:rsidR="00C40686" w:rsidRPr="00C40686">
        <w:rPr>
          <w:lang w:val="en-US"/>
        </w:rPr>
        <w:t xml:space="preserve"> enablers </w:t>
      </w:r>
      <w:r w:rsidR="006E24D1">
        <w:rPr>
          <w:lang w:val="en-US"/>
        </w:rPr>
        <w:t>are</w:t>
      </w:r>
      <w:r w:rsidR="00C40686" w:rsidRPr="00C40686">
        <w:rPr>
          <w:lang w:val="en-US"/>
        </w:rPr>
        <w:t xml:space="preserve"> the following ones:</w:t>
      </w:r>
    </w:p>
    <w:p w14:paraId="4B1DD0B2" w14:textId="77777777" w:rsidR="00C40686" w:rsidRPr="00C40686" w:rsidRDefault="00C40686" w:rsidP="00C40686">
      <w:pPr>
        <w:numPr>
          <w:ilvl w:val="0"/>
          <w:numId w:val="19"/>
        </w:numPr>
        <w:contextualSpacing/>
        <w:rPr>
          <w:lang w:val="en-US"/>
        </w:rPr>
      </w:pPr>
      <w:r w:rsidRPr="00183DA7">
        <w:rPr>
          <w:b/>
          <w:bCs/>
          <w:lang w:val="en-US"/>
        </w:rPr>
        <w:t>Two TAGs can be configured for a serving cell configuration, each corresponding to a TRP</w:t>
      </w:r>
      <w:r w:rsidRPr="00C40686">
        <w:rPr>
          <w:lang w:val="en-US"/>
        </w:rPr>
        <w:t>.</w:t>
      </w:r>
    </w:p>
    <w:p w14:paraId="51DC24D0" w14:textId="77777777" w:rsidR="00C40686" w:rsidRPr="00C40686" w:rsidRDefault="00C40686" w:rsidP="00C40686">
      <w:pPr>
        <w:numPr>
          <w:ilvl w:val="1"/>
          <w:numId w:val="19"/>
        </w:numPr>
        <w:contextualSpacing/>
        <w:rPr>
          <w:lang w:val="en-US"/>
        </w:rPr>
      </w:pPr>
      <w:r w:rsidRPr="00C40686">
        <w:rPr>
          <w:lang w:val="en-US"/>
        </w:rPr>
        <w:t>To allow the UE to know which beam/TCI state is associated to which TAG, the TAG ID has been introduced as a field in the TCI state IE.</w:t>
      </w:r>
    </w:p>
    <w:p w14:paraId="057D2BD6" w14:textId="76A35C9C" w:rsidR="00C40686" w:rsidRPr="00C40686" w:rsidRDefault="00C40686" w:rsidP="00C40686">
      <w:pPr>
        <w:numPr>
          <w:ilvl w:val="1"/>
          <w:numId w:val="19"/>
        </w:numPr>
        <w:contextualSpacing/>
        <w:rPr>
          <w:lang w:val="en-US"/>
        </w:rPr>
      </w:pPr>
      <w:r w:rsidRPr="00C40686">
        <w:rPr>
          <w:lang w:val="en-US"/>
        </w:rPr>
        <w:t xml:space="preserve">That allows a UE to receive a TA command TA1 for </w:t>
      </w:r>
      <w:r w:rsidR="000E4C93">
        <w:rPr>
          <w:lang w:val="en-US"/>
        </w:rPr>
        <w:t xml:space="preserve">first </w:t>
      </w:r>
      <w:r w:rsidRPr="00C40686">
        <w:rPr>
          <w:lang w:val="en-US"/>
        </w:rPr>
        <w:t xml:space="preserve">TRP and a TA command TA2 for </w:t>
      </w:r>
      <w:r w:rsidR="000E4C93">
        <w:rPr>
          <w:lang w:val="en-US"/>
        </w:rPr>
        <w:t xml:space="preserve">second </w:t>
      </w:r>
      <w:r w:rsidRPr="00C40686">
        <w:rPr>
          <w:lang w:val="en-US"/>
        </w:rPr>
        <w:t>TRP, for both intra-cell and inter-cell multi-TRP.</w:t>
      </w:r>
    </w:p>
    <w:p w14:paraId="2E077647" w14:textId="77777777" w:rsidR="00C40686" w:rsidRPr="00C40686" w:rsidRDefault="00C40686" w:rsidP="00C40686">
      <w:pPr>
        <w:numPr>
          <w:ilvl w:val="0"/>
          <w:numId w:val="19"/>
        </w:numPr>
        <w:contextualSpacing/>
        <w:rPr>
          <w:lang w:val="en-US"/>
        </w:rPr>
      </w:pPr>
      <w:r w:rsidRPr="00183DA7">
        <w:rPr>
          <w:b/>
          <w:bCs/>
          <w:lang w:val="en-US"/>
        </w:rPr>
        <w:t>The UE is required to monitor two DL reference timings, i.e., one DL reference per TAG</w:t>
      </w:r>
      <w:r w:rsidRPr="00C40686">
        <w:rPr>
          <w:lang w:val="en-US"/>
        </w:rPr>
        <w:t>.</w:t>
      </w:r>
    </w:p>
    <w:p w14:paraId="6F514AD8" w14:textId="77777777" w:rsidR="00C40686" w:rsidRDefault="00C40686" w:rsidP="00C40686">
      <w:pPr>
        <w:numPr>
          <w:ilvl w:val="1"/>
          <w:numId w:val="19"/>
        </w:numPr>
        <w:contextualSpacing/>
        <w:rPr>
          <w:lang w:val="en-US"/>
        </w:rPr>
      </w:pPr>
      <w:r w:rsidRPr="00C40686">
        <w:rPr>
          <w:lang w:val="en-US"/>
        </w:rPr>
        <w:t>As with legacy single TA requirements, it is up to the UE to decide which RS, among the RSs transmitted by each TRP, to use as DL reference timing for each TAG.</w:t>
      </w:r>
    </w:p>
    <w:p w14:paraId="0D1CF0A1" w14:textId="77777777" w:rsidR="00C74AFC" w:rsidRPr="00C40686" w:rsidRDefault="00C74AFC" w:rsidP="00D57932">
      <w:pPr>
        <w:contextualSpacing/>
        <w:rPr>
          <w:lang w:val="en-US"/>
        </w:rPr>
      </w:pPr>
    </w:p>
    <w:p w14:paraId="2B92EA8A" w14:textId="77777777" w:rsidR="00183BDC" w:rsidRDefault="00C40686" w:rsidP="00C40686">
      <w:pPr>
        <w:rPr>
          <w:lang w:val="en-US"/>
        </w:rPr>
      </w:pPr>
      <w:r w:rsidRPr="00C40686">
        <w:rPr>
          <w:lang w:val="en-US"/>
        </w:rPr>
        <w:t xml:space="preserve">The Rel-19 asymmetric DL </w:t>
      </w:r>
      <w:proofErr w:type="spellStart"/>
      <w:r w:rsidRPr="00C40686">
        <w:rPr>
          <w:lang w:val="en-US"/>
        </w:rPr>
        <w:t>sTRP</w:t>
      </w:r>
      <w:proofErr w:type="spellEnd"/>
      <w:r w:rsidRPr="00C40686">
        <w:rPr>
          <w:lang w:val="en-US"/>
        </w:rPr>
        <w:t xml:space="preserve"> / UL </w:t>
      </w:r>
      <w:proofErr w:type="spellStart"/>
      <w:r w:rsidRPr="00C40686">
        <w:rPr>
          <w:lang w:val="en-US"/>
        </w:rPr>
        <w:t>mTRP</w:t>
      </w:r>
      <w:proofErr w:type="spellEnd"/>
      <w:r w:rsidRPr="00C40686">
        <w:rPr>
          <w:lang w:val="en-US"/>
        </w:rPr>
        <w:t xml:space="preserve"> scenario </w:t>
      </w:r>
      <w:r w:rsidR="00A8321E">
        <w:rPr>
          <w:lang w:val="en-US"/>
        </w:rPr>
        <w:t>is specified</w:t>
      </w:r>
      <w:r w:rsidRPr="00C40686">
        <w:rPr>
          <w:lang w:val="en-US"/>
        </w:rPr>
        <w:t xml:space="preserve"> as a single-DCI multi-TRP scenario</w:t>
      </w:r>
      <w:r w:rsidR="00A8321E">
        <w:rPr>
          <w:lang w:val="en-US"/>
        </w:rPr>
        <w:t>. In this scenario</w:t>
      </w:r>
      <w:r w:rsidRPr="00C40686">
        <w:rPr>
          <w:lang w:val="en-US"/>
        </w:rPr>
        <w:t xml:space="preserve"> the UL transmissions are scheduled by </w:t>
      </w:r>
      <w:r w:rsidR="009F0E69">
        <w:rPr>
          <w:lang w:val="en-US"/>
        </w:rPr>
        <w:t xml:space="preserve">the first TRP, i.e., </w:t>
      </w:r>
      <w:r w:rsidRPr="00C40686">
        <w:rPr>
          <w:lang w:val="en-US"/>
        </w:rPr>
        <w:t>the DL/UL capable TRP, which is the only TRP sending data and control information to the UE.</w:t>
      </w:r>
      <w:r w:rsidR="00C15ACC">
        <w:rPr>
          <w:lang w:val="en-US"/>
        </w:rPr>
        <w:t xml:space="preserve"> </w:t>
      </w:r>
    </w:p>
    <w:p w14:paraId="3DC8F757" w14:textId="1B68589A" w:rsidR="005A1C33" w:rsidRDefault="005A1C33" w:rsidP="00C40686">
      <w:pPr>
        <w:rPr>
          <w:lang w:val="en-US"/>
        </w:rPr>
      </w:pPr>
      <w:r>
        <w:rPr>
          <w:lang w:val="en-US"/>
        </w:rPr>
        <w:t xml:space="preserve">There has been an LS </w:t>
      </w:r>
      <w:r w:rsidR="007A6B5B">
        <w:rPr>
          <w:lang w:val="en-US"/>
        </w:rPr>
        <w:fldChar w:fldCharType="begin"/>
      </w:r>
      <w:r w:rsidR="007A6B5B">
        <w:rPr>
          <w:lang w:val="en-US"/>
        </w:rPr>
        <w:instrText xml:space="preserve"> REF _Ref181951106 \r \h </w:instrText>
      </w:r>
      <w:r w:rsidR="007A6B5B">
        <w:rPr>
          <w:lang w:val="en-US"/>
        </w:rPr>
      </w:r>
      <w:r w:rsidR="007A6B5B">
        <w:rPr>
          <w:lang w:val="en-US"/>
        </w:rPr>
        <w:fldChar w:fldCharType="separate"/>
      </w:r>
      <w:r w:rsidR="007A6B5B">
        <w:rPr>
          <w:lang w:val="en-US"/>
        </w:rPr>
        <w:t>[2]</w:t>
      </w:r>
      <w:r w:rsidR="007A6B5B">
        <w:rPr>
          <w:lang w:val="en-US"/>
        </w:rPr>
        <w:fldChar w:fldCharType="end"/>
      </w:r>
      <w:r w:rsidR="007A6B5B">
        <w:rPr>
          <w:lang w:val="en-US"/>
        </w:rPr>
        <w:t xml:space="preserve"> </w:t>
      </w:r>
      <w:r>
        <w:rPr>
          <w:lang w:val="en-US"/>
        </w:rPr>
        <w:t>from RAN4 to RAN1 to clarify the</w:t>
      </w:r>
      <w:r w:rsidR="00BA05FD">
        <w:rPr>
          <w:lang w:val="en-US"/>
        </w:rPr>
        <w:t xml:space="preserve"> downlink functionalities of an “UL-only TRP”, and more specifically if an UL-only TRP may or may not transmit RSs as SSB</w:t>
      </w:r>
      <w:r w:rsidR="000E4C93">
        <w:rPr>
          <w:lang w:val="en-US"/>
        </w:rPr>
        <w:t>s</w:t>
      </w:r>
      <w:r w:rsidR="00BA05FD">
        <w:rPr>
          <w:lang w:val="en-US"/>
        </w:rPr>
        <w:t>.</w:t>
      </w:r>
    </w:p>
    <w:p w14:paraId="1CB1447F" w14:textId="52264841" w:rsidR="00C40686" w:rsidRPr="00C40686" w:rsidRDefault="00BA05FD" w:rsidP="00C40686">
      <w:pPr>
        <w:rPr>
          <w:lang w:val="en-US"/>
        </w:rPr>
      </w:pPr>
      <w:r>
        <w:rPr>
          <w:lang w:val="en-US"/>
        </w:rPr>
        <w:t xml:space="preserve">In our understanding, an UL-only TRP as discussed in RAN1 does not transmit any RS. </w:t>
      </w:r>
      <w:r w:rsidR="00DC7F86">
        <w:rPr>
          <w:lang w:val="en-US"/>
        </w:rPr>
        <w:t>On the other hand</w:t>
      </w:r>
      <w:r w:rsidR="002E74A9">
        <w:rPr>
          <w:lang w:val="en-US"/>
        </w:rPr>
        <w:t>,</w:t>
      </w:r>
      <w:r w:rsidR="00C15ACC">
        <w:rPr>
          <w:lang w:val="en-US"/>
        </w:rPr>
        <w:t xml:space="preserve"> it is not </w:t>
      </w:r>
      <w:r w:rsidR="009F0E69">
        <w:rPr>
          <w:lang w:val="en-US"/>
        </w:rPr>
        <w:t xml:space="preserve">fully </w:t>
      </w:r>
      <w:r w:rsidR="00C15ACC">
        <w:rPr>
          <w:lang w:val="en-US"/>
        </w:rPr>
        <w:t xml:space="preserve">clear </w:t>
      </w:r>
      <w:r w:rsidR="00E94A56">
        <w:rPr>
          <w:lang w:val="en-US"/>
        </w:rPr>
        <w:t xml:space="preserve">from the WID </w:t>
      </w:r>
      <w:r w:rsidR="00C15ACC">
        <w:rPr>
          <w:lang w:val="en-US"/>
        </w:rPr>
        <w:t xml:space="preserve">whether </w:t>
      </w:r>
      <w:r w:rsidR="00EB756F">
        <w:rPr>
          <w:lang w:val="en-US"/>
        </w:rPr>
        <w:t xml:space="preserve">RRM requirements </w:t>
      </w:r>
      <w:r w:rsidR="00E17893">
        <w:rPr>
          <w:lang w:val="en-US"/>
        </w:rPr>
        <w:t xml:space="preserve">with two TAs </w:t>
      </w:r>
      <w:r w:rsidR="00EB756F">
        <w:rPr>
          <w:lang w:val="en-US"/>
        </w:rPr>
        <w:t xml:space="preserve">shall be defined </w:t>
      </w:r>
      <w:r w:rsidR="006B5421">
        <w:rPr>
          <w:lang w:val="en-US"/>
        </w:rPr>
        <w:t xml:space="preserve">also for </w:t>
      </w:r>
      <w:r w:rsidR="00C15ACC">
        <w:rPr>
          <w:lang w:val="en-US"/>
        </w:rPr>
        <w:t xml:space="preserve">the </w:t>
      </w:r>
      <w:r w:rsidR="006B5421">
        <w:rPr>
          <w:lang w:val="en-US"/>
        </w:rPr>
        <w:t xml:space="preserve">case that the </w:t>
      </w:r>
      <w:r w:rsidR="00C15ACC">
        <w:rPr>
          <w:lang w:val="en-US"/>
        </w:rPr>
        <w:t>second TRP</w:t>
      </w:r>
      <w:r w:rsidR="009F0E69">
        <w:rPr>
          <w:lang w:val="en-US"/>
        </w:rPr>
        <w:t xml:space="preserve">, </w:t>
      </w:r>
      <w:r w:rsidR="009A2C6E">
        <w:rPr>
          <w:lang w:val="en-US"/>
        </w:rPr>
        <w:t xml:space="preserve">which </w:t>
      </w:r>
      <w:r w:rsidR="005C64D1">
        <w:rPr>
          <w:lang w:val="en-US"/>
        </w:rPr>
        <w:t xml:space="preserve">does not transmit any data </w:t>
      </w:r>
      <w:r w:rsidR="00FB301D">
        <w:rPr>
          <w:lang w:val="en-US"/>
        </w:rPr>
        <w:t>n</w:t>
      </w:r>
      <w:r w:rsidR="005C64D1">
        <w:rPr>
          <w:lang w:val="en-US"/>
        </w:rPr>
        <w:t>or control to the UE</w:t>
      </w:r>
      <w:r w:rsidR="009F0E69">
        <w:rPr>
          <w:lang w:val="en-US"/>
        </w:rPr>
        <w:t>,</w:t>
      </w:r>
      <w:r w:rsidR="00C15ACC">
        <w:rPr>
          <w:lang w:val="en-US"/>
        </w:rPr>
        <w:t xml:space="preserve"> may </w:t>
      </w:r>
      <w:r w:rsidR="005C64D1">
        <w:rPr>
          <w:lang w:val="en-US"/>
        </w:rPr>
        <w:t xml:space="preserve">still </w:t>
      </w:r>
      <w:r w:rsidR="00C15ACC">
        <w:rPr>
          <w:lang w:val="en-US"/>
        </w:rPr>
        <w:t>send reference signals like SSB</w:t>
      </w:r>
      <w:r w:rsidR="00EE4241">
        <w:rPr>
          <w:lang w:val="en-US"/>
        </w:rPr>
        <w:t>s</w:t>
      </w:r>
      <w:r w:rsidR="00C15ACC">
        <w:rPr>
          <w:lang w:val="en-US"/>
        </w:rPr>
        <w:t xml:space="preserve">. </w:t>
      </w:r>
    </w:p>
    <w:p w14:paraId="579D71B6" w14:textId="706AB9C1" w:rsidR="00C40686" w:rsidRPr="00C40686" w:rsidRDefault="00C40686" w:rsidP="00C40686">
      <w:pPr>
        <w:rPr>
          <w:lang w:val="en-US"/>
        </w:rPr>
      </w:pPr>
      <w:r w:rsidRPr="00C40686">
        <w:rPr>
          <w:lang w:val="en-US"/>
        </w:rPr>
        <w:t>From the RAN4 perspective, the Rel-18 and Rel-19 two TAs enhancements are very similar and in the RAN4 context the main difference may be in the number of DL reference timings that the UE shall monitor</w:t>
      </w:r>
      <w:r w:rsidR="00F4758F">
        <w:rPr>
          <w:lang w:val="en-US"/>
        </w:rPr>
        <w:t xml:space="preserve">, as shown in </w:t>
      </w:r>
      <w:r w:rsidR="00F4758F">
        <w:rPr>
          <w:lang w:val="en-US"/>
        </w:rPr>
        <w:fldChar w:fldCharType="begin"/>
      </w:r>
      <w:r w:rsidR="00F4758F">
        <w:rPr>
          <w:lang w:val="en-US"/>
        </w:rPr>
        <w:instrText xml:space="preserve"> REF _Ref181616583 \h </w:instrText>
      </w:r>
      <w:r w:rsidR="00F4758F">
        <w:rPr>
          <w:lang w:val="en-US"/>
        </w:rPr>
      </w:r>
      <w:r w:rsidR="00F4758F">
        <w:rPr>
          <w:lang w:val="en-US"/>
        </w:rPr>
        <w:fldChar w:fldCharType="separate"/>
      </w:r>
      <w:r w:rsidR="00F4758F">
        <w:t>Figure 1</w:t>
      </w:r>
      <w:r w:rsidR="00F4758F">
        <w:rPr>
          <w:lang w:val="en-US"/>
        </w:rPr>
        <w:fldChar w:fldCharType="end"/>
      </w:r>
      <w:r w:rsidR="000C75DF">
        <w:rPr>
          <w:lang w:val="en-US"/>
        </w:rPr>
        <w:t>. Fr</w:t>
      </w:r>
      <w:r w:rsidR="006B5421">
        <w:rPr>
          <w:lang w:val="en-US"/>
        </w:rPr>
        <w:t>o</w:t>
      </w:r>
      <w:r w:rsidR="000C75DF">
        <w:rPr>
          <w:lang w:val="en-US"/>
        </w:rPr>
        <w:t>m that figure,</w:t>
      </w:r>
      <w:r w:rsidR="0044467E">
        <w:rPr>
          <w:lang w:val="en-US"/>
        </w:rPr>
        <w:t xml:space="preserve"> </w:t>
      </w:r>
      <w:r w:rsidR="000C75DF">
        <w:rPr>
          <w:lang w:val="en-US"/>
        </w:rPr>
        <w:t xml:space="preserve">we may identify </w:t>
      </w:r>
      <w:r w:rsidR="00342597">
        <w:rPr>
          <w:lang w:val="en-US"/>
        </w:rPr>
        <w:t xml:space="preserve">two </w:t>
      </w:r>
      <w:r w:rsidR="000C75DF">
        <w:rPr>
          <w:lang w:val="en-US"/>
        </w:rPr>
        <w:t>cases for Rel-19 depending on whether the second TRP is sending SSB or not:</w:t>
      </w:r>
    </w:p>
    <w:p w14:paraId="46CD3A61" w14:textId="6C1626AF" w:rsidR="00F15A4F" w:rsidRPr="00105D40" w:rsidRDefault="00F15A4F" w:rsidP="00105D40">
      <w:pPr>
        <w:numPr>
          <w:ilvl w:val="0"/>
          <w:numId w:val="19"/>
        </w:numPr>
        <w:contextualSpacing/>
        <w:rPr>
          <w:lang w:val="en-US"/>
        </w:rPr>
      </w:pPr>
      <w:r w:rsidRPr="00D57932">
        <w:rPr>
          <w:b/>
          <w:bCs/>
          <w:lang w:val="en-US"/>
        </w:rPr>
        <w:t>Case 1 (</w:t>
      </w:r>
      <w:r w:rsidR="009C62B6">
        <w:rPr>
          <w:b/>
          <w:bCs/>
          <w:lang w:val="en-US"/>
        </w:rPr>
        <w:t xml:space="preserve">second TRP as </w:t>
      </w:r>
      <w:r w:rsidRPr="00D57932">
        <w:rPr>
          <w:b/>
          <w:bCs/>
          <w:lang w:val="en-US"/>
        </w:rPr>
        <w:t>UL</w:t>
      </w:r>
      <w:r w:rsidR="009C62B6">
        <w:rPr>
          <w:b/>
          <w:bCs/>
          <w:lang w:val="en-US"/>
        </w:rPr>
        <w:t>-only</w:t>
      </w:r>
      <w:r w:rsidRPr="00D57932">
        <w:rPr>
          <w:b/>
          <w:bCs/>
          <w:lang w:val="en-US"/>
        </w:rPr>
        <w:t xml:space="preserve"> TRP without any DL signal)</w:t>
      </w:r>
      <w:r w:rsidRPr="00105D40">
        <w:rPr>
          <w:lang w:val="en-US"/>
        </w:rPr>
        <w:t xml:space="preserve">: </w:t>
      </w:r>
      <w:r w:rsidR="00BB67F3" w:rsidRPr="00105D40">
        <w:rPr>
          <w:lang w:val="en-US"/>
        </w:rPr>
        <w:t xml:space="preserve">If the </w:t>
      </w:r>
      <w:r w:rsidR="009C62B6">
        <w:rPr>
          <w:lang w:val="en-US"/>
        </w:rPr>
        <w:t xml:space="preserve">second </w:t>
      </w:r>
      <w:r w:rsidR="00BB67F3" w:rsidRPr="00105D40">
        <w:rPr>
          <w:lang w:val="en-US"/>
        </w:rPr>
        <w:t>TRP, which is not sending data or control to the UE, is an UL-only TRP in the strict sense (i.e., it does not transmit anything), then there simply is no DL RS associated to the second configured TAG (assuming the first configured TAG is associated to the DL/UL capable TRP), and the UE shall monitor just one DL reference timing</w:t>
      </w:r>
      <w:r w:rsidR="008E6767" w:rsidRPr="00105D40">
        <w:rPr>
          <w:lang w:val="en-US"/>
        </w:rPr>
        <w:t xml:space="preserve"> related to the </w:t>
      </w:r>
      <w:r w:rsidR="00860ED5" w:rsidRPr="00105D40">
        <w:rPr>
          <w:lang w:val="en-US"/>
        </w:rPr>
        <w:t>DL</w:t>
      </w:r>
      <w:r w:rsidR="00FC4783" w:rsidRPr="00105D40">
        <w:rPr>
          <w:lang w:val="en-US"/>
        </w:rPr>
        <w:t>/UL capable</w:t>
      </w:r>
      <w:r w:rsidR="00860ED5" w:rsidRPr="00105D40">
        <w:rPr>
          <w:lang w:val="en-US"/>
        </w:rPr>
        <w:t xml:space="preserve"> TRP</w:t>
      </w:r>
      <w:r w:rsidR="00FC4783" w:rsidRPr="00105D40">
        <w:rPr>
          <w:lang w:val="en-US"/>
        </w:rPr>
        <w:t xml:space="preserve">, as captured in the </w:t>
      </w:r>
      <w:r w:rsidR="006B5421" w:rsidRPr="00105D40">
        <w:rPr>
          <w:lang w:val="en-US"/>
        </w:rPr>
        <w:t>RAN1#118bis</w:t>
      </w:r>
      <w:r w:rsidR="00FC4783" w:rsidRPr="00105D40">
        <w:rPr>
          <w:lang w:val="en-US"/>
        </w:rPr>
        <w:t xml:space="preserve"> agreement.</w:t>
      </w:r>
      <w:r w:rsidR="00860ED5" w:rsidRPr="00105D40">
        <w:rPr>
          <w:lang w:val="en-US"/>
        </w:rPr>
        <w:t xml:space="preserve"> As a result, the UE</w:t>
      </w:r>
      <w:r w:rsidR="00BB67F3" w:rsidRPr="00105D40">
        <w:rPr>
          <w:lang w:val="en-US"/>
        </w:rPr>
        <w:t xml:space="preserve"> appl</w:t>
      </w:r>
      <w:r w:rsidR="00860ED5" w:rsidRPr="00105D40">
        <w:rPr>
          <w:lang w:val="en-US"/>
        </w:rPr>
        <w:t>ies</w:t>
      </w:r>
      <w:r w:rsidR="00BB67F3" w:rsidRPr="00105D40">
        <w:rPr>
          <w:lang w:val="en-US"/>
        </w:rPr>
        <w:t xml:space="preserve"> both TA commands </w:t>
      </w:r>
      <w:r w:rsidR="00860ED5" w:rsidRPr="00105D40">
        <w:rPr>
          <w:lang w:val="en-US"/>
        </w:rPr>
        <w:t>based</w:t>
      </w:r>
      <w:r w:rsidR="00BB67F3" w:rsidRPr="00105D40">
        <w:rPr>
          <w:lang w:val="en-US"/>
        </w:rPr>
        <w:t xml:space="preserve"> </w:t>
      </w:r>
      <w:r w:rsidR="00860ED5" w:rsidRPr="00105D40">
        <w:rPr>
          <w:lang w:val="en-US"/>
        </w:rPr>
        <w:t xml:space="preserve">on the </w:t>
      </w:r>
      <w:r w:rsidR="00BB67F3" w:rsidRPr="00105D40">
        <w:rPr>
          <w:lang w:val="en-US"/>
        </w:rPr>
        <w:t>same DL reference timing to determine the UL transmission timings toward the two TAGs.</w:t>
      </w:r>
      <w:r w:rsidR="00D311A3" w:rsidRPr="00105D40">
        <w:rPr>
          <w:lang w:val="en-US"/>
        </w:rPr>
        <w:t xml:space="preserve"> </w:t>
      </w:r>
      <w:r w:rsidR="006E22E0" w:rsidRPr="00105D40">
        <w:rPr>
          <w:lang w:val="en-US"/>
        </w:rPr>
        <w:t xml:space="preserve">We </w:t>
      </w:r>
      <w:r w:rsidR="00FA2DB5">
        <w:rPr>
          <w:lang w:val="en-US"/>
        </w:rPr>
        <w:t xml:space="preserve">also </w:t>
      </w:r>
      <w:r w:rsidR="006E22E0" w:rsidRPr="00105D40">
        <w:rPr>
          <w:lang w:val="en-US"/>
        </w:rPr>
        <w:t xml:space="preserve">highlight that most of the work in </w:t>
      </w:r>
      <w:r w:rsidR="00633F10" w:rsidRPr="00105D40">
        <w:rPr>
          <w:lang w:val="en-US"/>
        </w:rPr>
        <w:t xml:space="preserve">RAN1 has </w:t>
      </w:r>
      <w:r w:rsidR="006E22E0" w:rsidRPr="00105D40">
        <w:rPr>
          <w:lang w:val="en-US"/>
        </w:rPr>
        <w:t>focused on this case</w:t>
      </w:r>
      <w:r w:rsidR="00ED6F74" w:rsidRPr="00105D40">
        <w:rPr>
          <w:lang w:val="en-US"/>
        </w:rPr>
        <w:t xml:space="preserve"> to define</w:t>
      </w:r>
      <w:r w:rsidR="006E22E0" w:rsidRPr="00105D40">
        <w:rPr>
          <w:lang w:val="en-US"/>
        </w:rPr>
        <w:t xml:space="preserve"> two closed-loop power control adjustments for SRS</w:t>
      </w:r>
      <w:r w:rsidR="00ED6F74" w:rsidRPr="00105D40">
        <w:rPr>
          <w:lang w:val="en-US"/>
        </w:rPr>
        <w:t>, where</w:t>
      </w:r>
      <w:r w:rsidR="006E22E0" w:rsidRPr="00105D40">
        <w:rPr>
          <w:lang w:val="en-US"/>
        </w:rPr>
        <w:t xml:space="preserve"> the UE monitors only one DL pathloss RS, which is transmitted by the DL/UL capable TRP</w:t>
      </w:r>
      <w:r w:rsidR="00ED6F74" w:rsidRPr="00105D40">
        <w:rPr>
          <w:lang w:val="en-US"/>
        </w:rPr>
        <w:t xml:space="preserve">, and </w:t>
      </w:r>
      <w:r w:rsidR="005435DC" w:rsidRPr="00105D40">
        <w:rPr>
          <w:lang w:val="en-US"/>
        </w:rPr>
        <w:t>receives</w:t>
      </w:r>
      <w:r w:rsidR="006E22E0" w:rsidRPr="00105D40">
        <w:rPr>
          <w:lang w:val="en-US"/>
        </w:rPr>
        <w:t xml:space="preserve"> a </w:t>
      </w:r>
      <w:r w:rsidR="006C3AD2">
        <w:rPr>
          <w:lang w:val="en-US"/>
        </w:rPr>
        <w:t>“</w:t>
      </w:r>
      <w:r w:rsidR="006E22E0" w:rsidRPr="00105D40">
        <w:rPr>
          <w:lang w:val="en-US"/>
        </w:rPr>
        <w:t>path</w:t>
      </w:r>
      <w:r w:rsidR="005435DC" w:rsidRPr="00105D40">
        <w:rPr>
          <w:lang w:val="en-US"/>
        </w:rPr>
        <w:t>loss offset update</w:t>
      </w:r>
      <w:r w:rsidR="006C3AD2">
        <w:rPr>
          <w:lang w:val="en-US"/>
        </w:rPr>
        <w:t>”</w:t>
      </w:r>
      <w:r w:rsidR="00105D40" w:rsidRPr="00105D40">
        <w:rPr>
          <w:lang w:val="en-US"/>
        </w:rPr>
        <w:t xml:space="preserve"> by the network, which is </w:t>
      </w:r>
      <w:r w:rsidR="006E22E0" w:rsidRPr="00105D40">
        <w:rPr>
          <w:lang w:val="en-US"/>
        </w:rPr>
        <w:t>used by the UE for setting the power of the UL transmission toward such UL-only TRP</w:t>
      </w:r>
      <w:r w:rsidR="00105D40" w:rsidRPr="00105D40">
        <w:rPr>
          <w:lang w:val="en-US"/>
        </w:rPr>
        <w:t>.</w:t>
      </w:r>
    </w:p>
    <w:p w14:paraId="4E202816" w14:textId="40E4816A" w:rsidR="00C40686" w:rsidRPr="00C40686" w:rsidRDefault="00F15A4F" w:rsidP="00C40686">
      <w:pPr>
        <w:numPr>
          <w:ilvl w:val="0"/>
          <w:numId w:val="19"/>
        </w:numPr>
        <w:contextualSpacing/>
        <w:rPr>
          <w:lang w:val="en-US"/>
        </w:rPr>
      </w:pPr>
      <w:r w:rsidRPr="00D57932">
        <w:rPr>
          <w:b/>
          <w:bCs/>
          <w:lang w:val="en-US"/>
        </w:rPr>
        <w:t xml:space="preserve">Case </w:t>
      </w:r>
      <w:r w:rsidR="000C75DF" w:rsidRPr="00D57932">
        <w:rPr>
          <w:b/>
          <w:bCs/>
          <w:lang w:val="en-US"/>
        </w:rPr>
        <w:t>2</w:t>
      </w:r>
      <w:r w:rsidRPr="00D57932">
        <w:rPr>
          <w:b/>
          <w:bCs/>
          <w:lang w:val="en-US"/>
        </w:rPr>
        <w:t xml:space="preserve"> (</w:t>
      </w:r>
      <w:r w:rsidR="00393DAA">
        <w:rPr>
          <w:b/>
          <w:bCs/>
          <w:lang w:val="en-US"/>
        </w:rPr>
        <w:t>second</w:t>
      </w:r>
      <w:r w:rsidR="00393DAA" w:rsidRPr="00D57932">
        <w:rPr>
          <w:b/>
          <w:bCs/>
          <w:lang w:val="en-US"/>
        </w:rPr>
        <w:t xml:space="preserve"> </w:t>
      </w:r>
      <w:r w:rsidRPr="00D57932">
        <w:rPr>
          <w:b/>
          <w:bCs/>
          <w:lang w:val="en-US"/>
        </w:rPr>
        <w:t xml:space="preserve">TRP </w:t>
      </w:r>
      <w:r w:rsidR="006B5421">
        <w:rPr>
          <w:b/>
          <w:bCs/>
          <w:lang w:val="en-US"/>
        </w:rPr>
        <w:t xml:space="preserve">that </w:t>
      </w:r>
      <w:r w:rsidRPr="00D57932">
        <w:rPr>
          <w:b/>
          <w:bCs/>
          <w:lang w:val="en-US"/>
        </w:rPr>
        <w:t xml:space="preserve">sends </w:t>
      </w:r>
      <w:r w:rsidR="006B5421">
        <w:rPr>
          <w:b/>
          <w:bCs/>
          <w:lang w:val="en-US"/>
        </w:rPr>
        <w:t>some DL RSs</w:t>
      </w:r>
      <w:r w:rsidRPr="00D57932">
        <w:rPr>
          <w:b/>
          <w:bCs/>
          <w:lang w:val="en-US"/>
        </w:rPr>
        <w:t>)</w:t>
      </w:r>
      <w:r>
        <w:rPr>
          <w:lang w:val="en-US"/>
        </w:rPr>
        <w:t xml:space="preserve">: </w:t>
      </w:r>
      <w:r w:rsidR="00C40686" w:rsidRPr="00C40686">
        <w:rPr>
          <w:lang w:val="en-US"/>
        </w:rPr>
        <w:t xml:space="preserve">If the </w:t>
      </w:r>
      <w:r w:rsidR="001C5EED">
        <w:rPr>
          <w:lang w:val="en-US"/>
        </w:rPr>
        <w:t xml:space="preserve">second </w:t>
      </w:r>
      <w:r w:rsidR="00C40686" w:rsidRPr="00C40686">
        <w:rPr>
          <w:lang w:val="en-US"/>
        </w:rPr>
        <w:t xml:space="preserve">TRP, which is not sending data or control to the UE, is a TRP that also transmits some DL signals, for example transmits SSBs, then the UE can measure </w:t>
      </w:r>
      <w:r w:rsidR="00733138">
        <w:rPr>
          <w:lang w:val="en-US"/>
        </w:rPr>
        <w:t xml:space="preserve">independent </w:t>
      </w:r>
      <w:r w:rsidR="00C40686" w:rsidRPr="00C40686">
        <w:rPr>
          <w:lang w:val="en-US"/>
        </w:rPr>
        <w:lastRenderedPageBreak/>
        <w:t>DL RSs for each of the two configured TAGs</w:t>
      </w:r>
      <w:r w:rsidR="00733138">
        <w:rPr>
          <w:lang w:val="en-US"/>
        </w:rPr>
        <w:t xml:space="preserve">. As a result, </w:t>
      </w:r>
      <w:r w:rsidR="00C40686" w:rsidRPr="00C40686">
        <w:rPr>
          <w:lang w:val="en-US"/>
        </w:rPr>
        <w:t xml:space="preserve">the UE shall monitor two DL reference timings, </w:t>
      </w:r>
      <w:r w:rsidR="001D10AF">
        <w:rPr>
          <w:lang w:val="en-US"/>
        </w:rPr>
        <w:t xml:space="preserve">as in Rel-18 enhancement, </w:t>
      </w:r>
      <w:r w:rsidR="00C40686" w:rsidRPr="00C40686">
        <w:rPr>
          <w:lang w:val="en-US"/>
        </w:rPr>
        <w:t>one per TAG</w:t>
      </w:r>
      <w:r w:rsidR="00733138">
        <w:rPr>
          <w:lang w:val="en-US"/>
        </w:rPr>
        <w:t xml:space="preserve"> or TRP</w:t>
      </w:r>
      <w:r w:rsidR="00C40686" w:rsidRPr="00C40686">
        <w:rPr>
          <w:lang w:val="en-US"/>
        </w:rPr>
        <w:t>, and apply each TA command to the respective DL reference timing to determine the UL transmission timing toward that TAG.</w:t>
      </w:r>
      <w:r w:rsidR="006700A1">
        <w:rPr>
          <w:lang w:val="en-US"/>
        </w:rPr>
        <w:t xml:space="preserve"> In that case, the system performance would be improved by using the independent reference timing from both TRPs, since the UL timing would be more robust for </w:t>
      </w:r>
      <w:r w:rsidR="006F6BF9">
        <w:rPr>
          <w:lang w:val="en-US"/>
        </w:rPr>
        <w:t xml:space="preserve">UE movement. </w:t>
      </w:r>
    </w:p>
    <w:p w14:paraId="42AEAD15" w14:textId="10FBBF35" w:rsidR="00C40686" w:rsidRDefault="00C40686" w:rsidP="00D57932">
      <w:pPr>
        <w:contextualSpacing/>
        <w:rPr>
          <w:lang w:val="en-US"/>
        </w:rPr>
      </w:pPr>
    </w:p>
    <w:p w14:paraId="48897F9E" w14:textId="45E3305F" w:rsidR="00832199" w:rsidRDefault="00096634" w:rsidP="00832199">
      <w:pPr>
        <w:pStyle w:val="RAN4observation0"/>
        <w:rPr>
          <w:lang w:val="en-US"/>
        </w:rPr>
      </w:pPr>
      <w:bookmarkStart w:id="8" w:name="_Toc181882777"/>
      <w:r>
        <w:rPr>
          <w:lang w:val="en-US"/>
        </w:rPr>
        <w:t>RAN1 agre</w:t>
      </w:r>
      <w:r w:rsidR="006700A1">
        <w:rPr>
          <w:lang w:val="en-US"/>
        </w:rPr>
        <w:t>e</w:t>
      </w:r>
      <w:r>
        <w:rPr>
          <w:lang w:val="en-US"/>
        </w:rPr>
        <w:t xml:space="preserve">ments do not preclude </w:t>
      </w:r>
      <w:r w:rsidR="006731A9">
        <w:rPr>
          <w:lang w:val="en-US"/>
        </w:rPr>
        <w:t xml:space="preserve">the </w:t>
      </w:r>
      <w:r>
        <w:rPr>
          <w:lang w:val="en-US"/>
        </w:rPr>
        <w:t xml:space="preserve">case that </w:t>
      </w:r>
      <w:r w:rsidR="001B27A6">
        <w:rPr>
          <w:lang w:val="en-US"/>
        </w:rPr>
        <w:t>two</w:t>
      </w:r>
      <w:r>
        <w:rPr>
          <w:lang w:val="en-US"/>
        </w:rPr>
        <w:t xml:space="preserve"> T</w:t>
      </w:r>
      <w:r w:rsidR="007C0CB3">
        <w:rPr>
          <w:lang w:val="en-US"/>
        </w:rPr>
        <w:t>A</w:t>
      </w:r>
      <w:r>
        <w:rPr>
          <w:lang w:val="en-US"/>
        </w:rPr>
        <w:t xml:space="preserve">s with single-DCI </w:t>
      </w:r>
      <w:r w:rsidR="006731A9">
        <w:rPr>
          <w:lang w:val="en-US"/>
        </w:rPr>
        <w:t>are</w:t>
      </w:r>
      <w:r>
        <w:rPr>
          <w:lang w:val="en-US"/>
        </w:rPr>
        <w:t xml:space="preserve"> used with </w:t>
      </w:r>
      <w:r w:rsidR="001B27A6">
        <w:rPr>
          <w:lang w:val="en-US"/>
        </w:rPr>
        <w:t>two</w:t>
      </w:r>
      <w:r>
        <w:rPr>
          <w:lang w:val="en-US"/>
        </w:rPr>
        <w:t xml:space="preserve"> TRPs</w:t>
      </w:r>
      <w:r w:rsidR="006731A9">
        <w:rPr>
          <w:lang w:val="en-US"/>
        </w:rPr>
        <w:t>,</w:t>
      </w:r>
      <w:r>
        <w:rPr>
          <w:lang w:val="en-US"/>
        </w:rPr>
        <w:t xml:space="preserve"> </w:t>
      </w:r>
      <w:r w:rsidR="00D17285">
        <w:rPr>
          <w:lang w:val="en-US"/>
        </w:rPr>
        <w:t>each transmitting</w:t>
      </w:r>
      <w:r>
        <w:rPr>
          <w:lang w:val="en-US"/>
        </w:rPr>
        <w:t xml:space="preserve"> </w:t>
      </w:r>
      <w:r w:rsidR="006700A1">
        <w:rPr>
          <w:lang w:val="en-US"/>
        </w:rPr>
        <w:t>DL RS.</w:t>
      </w:r>
      <w:bookmarkEnd w:id="8"/>
      <w:r w:rsidR="006700A1">
        <w:rPr>
          <w:lang w:val="en-US"/>
        </w:rPr>
        <w:t xml:space="preserve"> </w:t>
      </w:r>
    </w:p>
    <w:p w14:paraId="0028328A" w14:textId="7849A171" w:rsidR="00B024B2" w:rsidRDefault="00B024B2" w:rsidP="00B024B2">
      <w:pPr>
        <w:rPr>
          <w:lang w:val="en-US"/>
        </w:rPr>
      </w:pPr>
      <w:r>
        <w:rPr>
          <w:lang w:val="en-US"/>
        </w:rPr>
        <w:t xml:space="preserve">If in the example of </w:t>
      </w:r>
      <w:r>
        <w:rPr>
          <w:lang w:val="en-US"/>
        </w:rPr>
        <w:fldChar w:fldCharType="begin"/>
      </w:r>
      <w:r>
        <w:rPr>
          <w:lang w:val="en-US"/>
        </w:rPr>
        <w:instrText xml:space="preserve"> REF _Ref181616583 \h </w:instrText>
      </w:r>
      <w:r>
        <w:rPr>
          <w:lang w:val="en-US"/>
        </w:rPr>
      </w:r>
      <w:r>
        <w:rPr>
          <w:lang w:val="en-US"/>
        </w:rPr>
        <w:fldChar w:fldCharType="separate"/>
      </w:r>
      <w:r>
        <w:t>Figure 1</w:t>
      </w:r>
      <w:r>
        <w:rPr>
          <w:lang w:val="en-US"/>
        </w:rPr>
        <w:fldChar w:fldCharType="end"/>
      </w:r>
      <w:r>
        <w:rPr>
          <w:lang w:val="en-US"/>
        </w:rPr>
        <w:t xml:space="preserve"> both TRPs transmit SSBs, the UE </w:t>
      </w:r>
      <w:proofErr w:type="gramStart"/>
      <w:r>
        <w:rPr>
          <w:lang w:val="en-US"/>
        </w:rPr>
        <w:t>would</w:t>
      </w:r>
      <w:proofErr w:type="gramEnd"/>
      <w:r>
        <w:rPr>
          <w:lang w:val="en-US"/>
        </w:rPr>
        <w:t xml:space="preserve"> need less timing advance commands</w:t>
      </w:r>
      <w:r w:rsidR="001B27A6">
        <w:rPr>
          <w:lang w:val="en-US"/>
        </w:rPr>
        <w:t xml:space="preserve"> if it monitors two DL reference timings</w:t>
      </w:r>
      <w:r w:rsidR="00294B0C">
        <w:rPr>
          <w:lang w:val="en-US"/>
        </w:rPr>
        <w:t>. Let</w:t>
      </w:r>
      <w:r w:rsidR="00020705">
        <w:rPr>
          <w:lang w:val="en-US"/>
        </w:rPr>
        <w:t>’</w:t>
      </w:r>
      <w:r w:rsidR="00294B0C">
        <w:rPr>
          <w:lang w:val="en-US"/>
        </w:rPr>
        <w:t xml:space="preserve">s consider one example where a UE is </w:t>
      </w:r>
      <w:r w:rsidR="00201438">
        <w:rPr>
          <w:lang w:val="en-US"/>
        </w:rPr>
        <w:t>located</w:t>
      </w:r>
      <w:r w:rsidR="00294B0C">
        <w:rPr>
          <w:lang w:val="en-US"/>
        </w:rPr>
        <w:t xml:space="preserve"> in between </w:t>
      </w:r>
      <w:r w:rsidR="001B27A6">
        <w:rPr>
          <w:lang w:val="en-US"/>
        </w:rPr>
        <w:t>the two</w:t>
      </w:r>
      <w:r w:rsidR="00294B0C">
        <w:rPr>
          <w:lang w:val="en-US"/>
        </w:rPr>
        <w:t xml:space="preserve"> TRPs. </w:t>
      </w:r>
      <w:r w:rsidR="005361A9">
        <w:rPr>
          <w:lang w:val="en-US"/>
        </w:rPr>
        <w:t xml:space="preserve">If the UE only uses the DL signals of the TRP containing PDCCH, the UE </w:t>
      </w:r>
      <w:r w:rsidR="002B2924">
        <w:rPr>
          <w:lang w:val="en-US"/>
        </w:rPr>
        <w:t xml:space="preserve">will perform autonomous timing adjustments only based on </w:t>
      </w:r>
      <w:r w:rsidR="005421C2">
        <w:rPr>
          <w:lang w:val="en-US"/>
        </w:rPr>
        <w:t xml:space="preserve">the first </w:t>
      </w:r>
      <w:r w:rsidR="002B2924">
        <w:rPr>
          <w:lang w:val="en-US"/>
        </w:rPr>
        <w:t xml:space="preserve">TRP. In that case, all the adjustments made by this UE </w:t>
      </w:r>
      <w:r w:rsidR="001B27A6">
        <w:rPr>
          <w:lang w:val="en-US"/>
        </w:rPr>
        <w:t>may</w:t>
      </w:r>
      <w:r w:rsidR="002B2924">
        <w:rPr>
          <w:lang w:val="en-US"/>
        </w:rPr>
        <w:t xml:space="preserve"> increase the UL timing error towards the second TRP</w:t>
      </w:r>
      <w:r w:rsidR="006731A9">
        <w:rPr>
          <w:lang w:val="en-US"/>
        </w:rPr>
        <w:t> since adjustments should be performed in</w:t>
      </w:r>
      <w:r w:rsidR="004102CD">
        <w:rPr>
          <w:lang w:val="en-US"/>
        </w:rPr>
        <w:t xml:space="preserve"> the opposite direction for the second TRP. On the other hand, if the second TRP also contains SSB</w:t>
      </w:r>
      <w:r w:rsidR="006731A9">
        <w:rPr>
          <w:lang w:val="en-US"/>
        </w:rPr>
        <w:t>, which is monitored by the UE for the second TAG, the UE will be able to perform autonomous timing adjustments appropriately </w:t>
      </w:r>
      <w:r w:rsidR="00E06246">
        <w:rPr>
          <w:lang w:val="en-US"/>
        </w:rPr>
        <w:t xml:space="preserve">for the second TAG. </w:t>
      </w:r>
    </w:p>
    <w:p w14:paraId="77451B48" w14:textId="37941951" w:rsidR="00F52537" w:rsidRDefault="00E06246" w:rsidP="00F52537">
      <w:pPr>
        <w:rPr>
          <w:lang w:val="en-US"/>
        </w:rPr>
      </w:pPr>
      <w:r>
        <w:rPr>
          <w:lang w:val="en-US"/>
        </w:rPr>
        <w:t xml:space="preserve">In another example if the second TRP contains reference </w:t>
      </w:r>
      <w:r w:rsidR="0047325F">
        <w:rPr>
          <w:lang w:val="en-US"/>
        </w:rPr>
        <w:t>signals and the legacy definition of reference timing is used, the</w:t>
      </w:r>
      <w:r w:rsidR="00D340B7">
        <w:rPr>
          <w:lang w:val="en-US"/>
        </w:rPr>
        <w:t>re is an ambiguity on which TRP is being used for reference timing. The UE might us</w:t>
      </w:r>
      <w:r w:rsidR="006731A9">
        <w:rPr>
          <w:lang w:val="en-US"/>
        </w:rPr>
        <w:t>e</w:t>
      </w:r>
      <w:r w:rsidR="00D340B7">
        <w:rPr>
          <w:lang w:val="en-US"/>
        </w:rPr>
        <w:t xml:space="preserve"> RS from </w:t>
      </w:r>
      <w:r w:rsidR="005421C2">
        <w:rPr>
          <w:lang w:val="en-US"/>
        </w:rPr>
        <w:t xml:space="preserve">first </w:t>
      </w:r>
      <w:r w:rsidR="00D340B7">
        <w:rPr>
          <w:lang w:val="en-US"/>
        </w:rPr>
        <w:t xml:space="preserve">TRP or </w:t>
      </w:r>
      <w:r w:rsidR="005421C2">
        <w:rPr>
          <w:lang w:val="en-US"/>
        </w:rPr>
        <w:t xml:space="preserve">second </w:t>
      </w:r>
      <w:r w:rsidR="00D340B7">
        <w:rPr>
          <w:lang w:val="en-US"/>
        </w:rPr>
        <w:t xml:space="preserve">TRP at different time instants. </w:t>
      </w:r>
      <w:r w:rsidR="00FE534B">
        <w:rPr>
          <w:lang w:val="en-US"/>
        </w:rPr>
        <w:t xml:space="preserve">Therefore, it is important to define some rules to determine how the UE can differentiate from the reference signals for </w:t>
      </w:r>
      <w:r w:rsidR="005421C2">
        <w:rPr>
          <w:lang w:val="en-US"/>
        </w:rPr>
        <w:t xml:space="preserve">first </w:t>
      </w:r>
      <w:r w:rsidR="00FE534B">
        <w:rPr>
          <w:lang w:val="en-US"/>
        </w:rPr>
        <w:t xml:space="preserve">TRP and </w:t>
      </w:r>
      <w:r w:rsidR="005421C2">
        <w:rPr>
          <w:lang w:val="en-US"/>
        </w:rPr>
        <w:t xml:space="preserve">second </w:t>
      </w:r>
      <w:r w:rsidR="00FE534B">
        <w:rPr>
          <w:lang w:val="en-US"/>
        </w:rPr>
        <w:t>TRP in a single</w:t>
      </w:r>
      <w:r w:rsidR="00B6584C">
        <w:rPr>
          <w:lang w:val="en-US"/>
        </w:rPr>
        <w:t>-</w:t>
      </w:r>
      <w:r w:rsidR="00FE534B">
        <w:rPr>
          <w:lang w:val="en-US"/>
        </w:rPr>
        <w:t xml:space="preserve">DCI scenario. </w:t>
      </w:r>
    </w:p>
    <w:p w14:paraId="487EC92C" w14:textId="3E2281A0" w:rsidR="00F52537" w:rsidRDefault="00E33CB1" w:rsidP="00F52537">
      <w:pPr>
        <w:pStyle w:val="RAN4observation0"/>
        <w:rPr>
          <w:lang w:val="en-US"/>
        </w:rPr>
      </w:pPr>
      <w:bookmarkStart w:id="9" w:name="_Toc181882778"/>
      <w:r w:rsidRPr="005C6F16">
        <w:rPr>
          <w:lang w:val="en-US"/>
        </w:rPr>
        <w:t xml:space="preserve">If only one DL reference timing is used </w:t>
      </w:r>
      <w:r w:rsidR="000D6189" w:rsidRPr="005C6F16">
        <w:rPr>
          <w:lang w:val="en-US"/>
        </w:rPr>
        <w:t>for s</w:t>
      </w:r>
      <w:r w:rsidR="00B6584C" w:rsidRPr="005C6F16">
        <w:rPr>
          <w:lang w:val="en-US"/>
        </w:rPr>
        <w:t>ingle-</w:t>
      </w:r>
      <w:r w:rsidR="000D6189" w:rsidRPr="005C6F16">
        <w:rPr>
          <w:lang w:val="en-US"/>
        </w:rPr>
        <w:t xml:space="preserve">DCI with </w:t>
      </w:r>
      <w:r w:rsidR="00B6584C" w:rsidRPr="005C6F16">
        <w:rPr>
          <w:lang w:val="en-US"/>
        </w:rPr>
        <w:t>two</w:t>
      </w:r>
      <w:r w:rsidR="000D6189" w:rsidRPr="005C6F16">
        <w:rPr>
          <w:lang w:val="en-US"/>
        </w:rPr>
        <w:t xml:space="preserve"> TAs, there is an ambiguity on the reference timing if both TRPs send SSB.</w:t>
      </w:r>
      <w:bookmarkEnd w:id="9"/>
      <w:r w:rsidR="000D6189" w:rsidRPr="005C6F16">
        <w:rPr>
          <w:lang w:val="en-US"/>
        </w:rPr>
        <w:t xml:space="preserve"> </w:t>
      </w:r>
      <w:bookmarkStart w:id="10" w:name="_Toc181882779"/>
      <w:bookmarkEnd w:id="10"/>
    </w:p>
    <w:p w14:paraId="2FA0700E" w14:textId="53881627" w:rsidR="00EB6DAB" w:rsidRPr="00EB6DAB" w:rsidRDefault="00EB6DAB" w:rsidP="00EB6DAB">
      <w:pPr>
        <w:rPr>
          <w:lang w:val="en-US"/>
        </w:rPr>
      </w:pPr>
      <w:r w:rsidRPr="00EB6DAB">
        <w:rPr>
          <w:lang w:val="en-US"/>
        </w:rPr>
        <w:t xml:space="preserve">Several options can be used to define the condition under which the UE shall monitor just one DL reference timing, i.e., indicative that the second TRP </w:t>
      </w:r>
      <w:r w:rsidR="005421C2">
        <w:rPr>
          <w:lang w:val="en-US"/>
        </w:rPr>
        <w:t xml:space="preserve">is an UL-only TRP and therefore </w:t>
      </w:r>
      <w:r w:rsidRPr="00EB6DAB">
        <w:rPr>
          <w:lang w:val="en-US"/>
        </w:rPr>
        <w:t xml:space="preserve">does not transmit any DL signal, and we think we should </w:t>
      </w:r>
      <w:r w:rsidR="006731A9">
        <w:rPr>
          <w:lang w:val="en-US"/>
        </w:rPr>
        <w:t>down-select</w:t>
      </w:r>
      <w:r w:rsidRPr="00EB6DAB">
        <w:rPr>
          <w:lang w:val="en-US"/>
        </w:rPr>
        <w:t xml:space="preserve"> from the following ones (although other options are not precluded):</w:t>
      </w:r>
    </w:p>
    <w:p w14:paraId="38F78315" w14:textId="0E06070C" w:rsidR="00EB6DAB" w:rsidRDefault="00EB6DAB" w:rsidP="00EB6DAB">
      <w:pPr>
        <w:pStyle w:val="ListParagraph"/>
        <w:numPr>
          <w:ilvl w:val="0"/>
          <w:numId w:val="31"/>
        </w:numPr>
        <w:rPr>
          <w:lang w:val="en-US"/>
        </w:rPr>
      </w:pPr>
      <w:r w:rsidRPr="00EB6DAB">
        <w:rPr>
          <w:lang w:val="en-US"/>
        </w:rPr>
        <w:t>The UE receives explicit information about the second TRP, for example</w:t>
      </w:r>
      <w:r w:rsidR="00FE1026">
        <w:rPr>
          <w:lang w:val="en-US"/>
        </w:rPr>
        <w:t>,</w:t>
      </w:r>
      <w:r w:rsidRPr="00EB6DAB">
        <w:rPr>
          <w:lang w:val="en-US"/>
        </w:rPr>
        <w:t xml:space="preserve"> via RRC</w:t>
      </w:r>
      <w:r w:rsidR="00FE1026">
        <w:rPr>
          <w:lang w:val="en-US"/>
        </w:rPr>
        <w:t>,</w:t>
      </w:r>
      <w:r w:rsidRPr="00EB6DAB">
        <w:rPr>
          <w:lang w:val="en-US"/>
        </w:rPr>
        <w:t xml:space="preserve"> that the second TRP is a strictly UL-only TRP.</w:t>
      </w:r>
    </w:p>
    <w:p w14:paraId="7F88BA26" w14:textId="634AFA37" w:rsidR="009647BC" w:rsidRPr="00EB6DAB" w:rsidRDefault="009647BC" w:rsidP="00D57932">
      <w:pPr>
        <w:pStyle w:val="ListParagraph"/>
        <w:numPr>
          <w:ilvl w:val="1"/>
          <w:numId w:val="31"/>
        </w:numPr>
      </w:pPr>
      <w:r w:rsidRPr="14B5236E">
        <w:t>That</w:t>
      </w:r>
      <w:r w:rsidR="00EF0520" w:rsidRPr="14B5236E">
        <w:t>,</w:t>
      </w:r>
      <w:r w:rsidRPr="14B5236E">
        <w:t xml:space="preserve"> however</w:t>
      </w:r>
      <w:r w:rsidR="00EF0520" w:rsidRPr="14B5236E">
        <w:t>,</w:t>
      </w:r>
      <w:r w:rsidRPr="14B5236E">
        <w:t xml:space="preserve"> needs to be </w:t>
      </w:r>
      <w:r w:rsidR="00BD4C45" w:rsidRPr="14B5236E">
        <w:t xml:space="preserve">clarified </w:t>
      </w:r>
      <w:r w:rsidRPr="14B5236E">
        <w:t>if aligned with the current WID that states</w:t>
      </w:r>
      <w:r w:rsidR="00B824EE" w:rsidRPr="14B5236E">
        <w:t xml:space="preserve"> the specification to be done “without changing existing cell definition or defining a new cell (e.g. UL-only cell)”.</w:t>
      </w:r>
    </w:p>
    <w:p w14:paraId="1EC4940F" w14:textId="77777777" w:rsidR="009647BC" w:rsidRDefault="00EB6DAB" w:rsidP="00EB6DAB">
      <w:pPr>
        <w:pStyle w:val="ListParagraph"/>
        <w:numPr>
          <w:ilvl w:val="0"/>
          <w:numId w:val="31"/>
        </w:numPr>
        <w:rPr>
          <w:lang w:val="en-US"/>
        </w:rPr>
      </w:pPr>
      <w:r w:rsidRPr="00EB6DAB">
        <w:rPr>
          <w:lang w:val="en-US"/>
        </w:rPr>
        <w:t>There is at least one separate UL or joint DL/UL TCI state configured or activated or indicated at the UE to which the RAN1 Rel-19 introduced “pathloss offset” is associated.</w:t>
      </w:r>
    </w:p>
    <w:p w14:paraId="5AC6F678" w14:textId="2B19FB25" w:rsidR="00565190" w:rsidRPr="00EB6DAB" w:rsidRDefault="00EB6DAB" w:rsidP="00D57932">
      <w:pPr>
        <w:pStyle w:val="ListParagraph"/>
        <w:numPr>
          <w:ilvl w:val="1"/>
          <w:numId w:val="31"/>
        </w:numPr>
        <w:rPr>
          <w:lang w:val="en-US"/>
        </w:rPr>
      </w:pPr>
      <w:r w:rsidRPr="00EB6DAB">
        <w:rPr>
          <w:lang w:val="en-US"/>
        </w:rPr>
        <w:t>That implicitly informs the UE that the second TRP does not transmit any DL RS.</w:t>
      </w:r>
    </w:p>
    <w:p w14:paraId="4232D758" w14:textId="70A6007C" w:rsidR="00C40686" w:rsidRPr="00C40686" w:rsidRDefault="00C40686" w:rsidP="00B76323">
      <w:pPr>
        <w:pStyle w:val="RAN4proposal"/>
        <w:rPr>
          <w:lang w:val="en-US"/>
        </w:rPr>
      </w:pPr>
      <w:bookmarkStart w:id="11" w:name="_Toc178539088"/>
      <w:bookmarkStart w:id="12" w:name="_Toc179211955"/>
      <w:bookmarkStart w:id="13" w:name="_Toc181882780"/>
      <w:r w:rsidRPr="00C40686">
        <w:rPr>
          <w:lang w:val="en-US"/>
        </w:rPr>
        <w:t>Specify the conditions under which a</w:t>
      </w:r>
      <w:r w:rsidR="00163C8D">
        <w:rPr>
          <w:lang w:val="en-US"/>
        </w:rPr>
        <w:t xml:space="preserve"> </w:t>
      </w:r>
      <w:r w:rsidRPr="00C40686">
        <w:rPr>
          <w:lang w:val="en-US"/>
        </w:rPr>
        <w:t xml:space="preserve">UE shall monitor one or two DL reference timings for </w:t>
      </w:r>
      <w:r w:rsidR="000E197E">
        <w:rPr>
          <w:lang w:val="en-US"/>
        </w:rPr>
        <w:t>s</w:t>
      </w:r>
      <w:r w:rsidR="00BE6A11">
        <w:rPr>
          <w:lang w:val="en-US"/>
        </w:rPr>
        <w:t>ingle-</w:t>
      </w:r>
      <w:r w:rsidR="000E197E">
        <w:rPr>
          <w:lang w:val="en-US"/>
        </w:rPr>
        <w:t>DCI</w:t>
      </w:r>
      <w:r w:rsidRPr="00C40686">
        <w:rPr>
          <w:lang w:val="en-US"/>
        </w:rPr>
        <w:t xml:space="preserve"> m</w:t>
      </w:r>
      <w:r w:rsidR="00BE6A11">
        <w:rPr>
          <w:lang w:val="en-US"/>
        </w:rPr>
        <w:t>ulti-</w:t>
      </w:r>
      <w:r w:rsidRPr="00C40686">
        <w:rPr>
          <w:lang w:val="en-US"/>
        </w:rPr>
        <w:t>TRP with two TAs enhancement.</w:t>
      </w:r>
      <w:bookmarkEnd w:id="11"/>
      <w:bookmarkEnd w:id="12"/>
      <w:bookmarkEnd w:id="13"/>
    </w:p>
    <w:p w14:paraId="46D7E2DB" w14:textId="77777777" w:rsidR="001D0EDC" w:rsidRPr="001D0EDC" w:rsidRDefault="001D0EDC" w:rsidP="00D57932">
      <w:pPr>
        <w:rPr>
          <w:lang w:val="en-US"/>
        </w:rPr>
      </w:pPr>
    </w:p>
    <w:p w14:paraId="6F93272D" w14:textId="71462F34" w:rsidR="00B76323" w:rsidRDefault="00B76323" w:rsidP="00B76323">
      <w:pPr>
        <w:keepNext/>
        <w:jc w:val="center"/>
      </w:pPr>
      <w:r>
        <w:rPr>
          <w:noProof/>
        </w:rPr>
        <w:lastRenderedPageBreak/>
        <w:drawing>
          <wp:inline distT="0" distB="0" distL="0" distR="0" wp14:anchorId="10B8817B" wp14:editId="47FAEB08">
            <wp:extent cx="3080555" cy="3002070"/>
            <wp:effectExtent l="0" t="0" r="5715" b="0"/>
            <wp:docPr id="38594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088031" cy="3009355"/>
                    </a:xfrm>
                    <a:prstGeom prst="rect">
                      <a:avLst/>
                    </a:prstGeom>
                  </pic:spPr>
                </pic:pic>
              </a:graphicData>
            </a:graphic>
          </wp:inline>
        </w:drawing>
      </w:r>
    </w:p>
    <w:p w14:paraId="7B52CA87" w14:textId="0C726134" w:rsidR="00B76323" w:rsidRPr="00421F0E" w:rsidRDefault="00B76323" w:rsidP="00B76323">
      <w:pPr>
        <w:spacing w:after="240"/>
        <w:jc w:val="center"/>
      </w:pPr>
      <w:bookmarkStart w:id="14" w:name="_Ref181616583"/>
      <w:r>
        <w:t xml:space="preserve">Figure </w:t>
      </w:r>
      <w:r>
        <w:fldChar w:fldCharType="begin"/>
      </w:r>
      <w:r>
        <w:instrText xml:space="preserve"> SEQ Figure \* ARABIC </w:instrText>
      </w:r>
      <w:r>
        <w:fldChar w:fldCharType="separate"/>
      </w:r>
      <w:r w:rsidR="00943365">
        <w:rPr>
          <w:noProof/>
        </w:rPr>
        <w:t>1</w:t>
      </w:r>
      <w:r>
        <w:fldChar w:fldCharType="end"/>
      </w:r>
      <w:bookmarkEnd w:id="14"/>
      <w:r w:rsidR="006F1FD1">
        <w:t xml:space="preserve">. </w:t>
      </w:r>
      <w:r w:rsidR="008D24D3">
        <w:t>One or two DL reference timings</w:t>
      </w:r>
      <w:r w:rsidR="00D756D6">
        <w:t xml:space="preserve"> in asymmetric </w:t>
      </w:r>
      <w:r w:rsidR="00D756D6" w:rsidRPr="00D756D6">
        <w:t xml:space="preserve">DL </w:t>
      </w:r>
      <w:proofErr w:type="spellStart"/>
      <w:r w:rsidR="00D756D6" w:rsidRPr="00D756D6">
        <w:t>sTRP</w:t>
      </w:r>
      <w:proofErr w:type="spellEnd"/>
      <w:r w:rsidR="00D756D6" w:rsidRPr="00D756D6">
        <w:t xml:space="preserve">/UL </w:t>
      </w:r>
      <w:proofErr w:type="spellStart"/>
      <w:r w:rsidR="00D756D6" w:rsidRPr="00D756D6">
        <w:t>mTRP</w:t>
      </w:r>
      <w:proofErr w:type="spellEnd"/>
      <w:r w:rsidR="00D756D6">
        <w:t xml:space="preserve"> scenario</w:t>
      </w:r>
      <w:r w:rsidR="007C793B">
        <w:t>.</w:t>
      </w:r>
    </w:p>
    <w:p w14:paraId="6C133B93" w14:textId="77777777" w:rsidR="002E3B36" w:rsidRPr="002E3B36" w:rsidRDefault="002E3B36" w:rsidP="002E3B36">
      <w:pPr>
        <w:rPr>
          <w:lang w:val="en-US"/>
        </w:rPr>
      </w:pPr>
    </w:p>
    <w:p w14:paraId="4B78A7E3" w14:textId="77777777" w:rsidR="006A307B" w:rsidRPr="00410743" w:rsidRDefault="006A307B" w:rsidP="006A307B">
      <w:pPr>
        <w:pStyle w:val="RAN4H1"/>
        <w:rPr>
          <w:lang w:val="en-US"/>
        </w:rPr>
      </w:pPr>
      <w:r>
        <w:rPr>
          <w:lang w:val="en-US"/>
        </w:rPr>
        <w:t>Discussion</w:t>
      </w:r>
      <w:r w:rsidRPr="00410743">
        <w:rPr>
          <w:lang w:val="en-US"/>
        </w:rPr>
        <w:t xml:space="preserve"> </w:t>
      </w:r>
      <w:r>
        <w:rPr>
          <w:lang w:val="en-US"/>
        </w:rPr>
        <w:t>on TCI switching requirements</w:t>
      </w:r>
    </w:p>
    <w:p w14:paraId="6ECD8C4C" w14:textId="69BFCCDD" w:rsidR="006A307B" w:rsidRDefault="006A307B" w:rsidP="006A307B">
      <w:pPr>
        <w:spacing w:after="240"/>
        <w:jc w:val="both"/>
      </w:pPr>
      <w:r w:rsidRPr="006C4271">
        <w:t xml:space="preserve">Regarding </w:t>
      </w:r>
      <w:r>
        <w:t>a</w:t>
      </w:r>
      <w:r w:rsidRPr="006C4271">
        <w:t xml:space="preserve">symmetric DL </w:t>
      </w:r>
      <w:proofErr w:type="spellStart"/>
      <w:r w:rsidRPr="006C4271">
        <w:t>sTRP</w:t>
      </w:r>
      <w:proofErr w:type="spellEnd"/>
      <w:r w:rsidRPr="006C4271">
        <w:t xml:space="preserve">/UL </w:t>
      </w:r>
      <w:proofErr w:type="spellStart"/>
      <w:r w:rsidRPr="006C4271">
        <w:t>mTRP</w:t>
      </w:r>
      <w:proofErr w:type="spellEnd"/>
      <w:r w:rsidRPr="006C4271">
        <w:t xml:space="preserve"> </w:t>
      </w:r>
      <w:r>
        <w:t>TCI switching</w:t>
      </w:r>
      <w:r w:rsidRPr="006C4271">
        <w:t>, the following was agreed and discussed in the last RAN4#112</w:t>
      </w:r>
      <w:r w:rsidR="00F00041">
        <w:t xml:space="preserve">bis </w:t>
      </w:r>
      <w:r w:rsidRPr="006C4271">
        <w:t>meeting</w:t>
      </w:r>
      <w:r>
        <w:t xml:space="preserve"> </w:t>
      </w:r>
      <w:r>
        <w:fldChar w:fldCharType="begin"/>
      </w:r>
      <w:r>
        <w:instrText xml:space="preserve"> REF _Ref178151194 \r \h </w:instrText>
      </w:r>
      <w:r>
        <w:fldChar w:fldCharType="separate"/>
      </w:r>
      <w:r>
        <w:t>[</w:t>
      </w:r>
      <w:r w:rsidR="00BD01AD">
        <w:t>1]</w:t>
      </w:r>
      <w:r>
        <w:fldChar w:fldCharType="end"/>
      </w:r>
      <w:r>
        <w:t>:</w:t>
      </w:r>
    </w:p>
    <w:tbl>
      <w:tblPr>
        <w:tblStyle w:val="TableGrid"/>
        <w:tblW w:w="0" w:type="auto"/>
        <w:tblLook w:val="04A0" w:firstRow="1" w:lastRow="0" w:firstColumn="1" w:lastColumn="0" w:noHBand="0" w:noVBand="1"/>
      </w:tblPr>
      <w:tblGrid>
        <w:gridCol w:w="9617"/>
      </w:tblGrid>
      <w:tr w:rsidR="006A307B" w14:paraId="425DE344" w14:textId="77777777" w:rsidTr="000836F5">
        <w:tc>
          <w:tcPr>
            <w:tcW w:w="9913" w:type="dxa"/>
          </w:tcPr>
          <w:p w14:paraId="76448B0F" w14:textId="77777777" w:rsidR="006A307B" w:rsidRPr="006A307B" w:rsidRDefault="006A307B" w:rsidP="006A307B">
            <w:pPr>
              <w:ind w:left="288"/>
              <w:rPr>
                <w:b/>
                <w:bCs/>
                <w:u w:val="single"/>
                <w:lang w:val="en-US"/>
              </w:rPr>
            </w:pPr>
            <w:r w:rsidRPr="006A307B">
              <w:rPr>
                <w:b/>
                <w:bCs/>
                <w:u w:val="single"/>
                <w:lang w:val="en-US"/>
              </w:rPr>
              <w:t>Issue 4-2: RRM core impacts of Active uplink TCI state switching delay for unified TCI?</w:t>
            </w:r>
          </w:p>
          <w:p w14:paraId="3E97B98F" w14:textId="77777777" w:rsidR="006A307B" w:rsidRPr="006A307B" w:rsidRDefault="006A307B" w:rsidP="006A307B">
            <w:pPr>
              <w:spacing w:after="120"/>
              <w:ind w:left="288"/>
              <w:rPr>
                <w:lang w:val="en-US"/>
              </w:rPr>
            </w:pPr>
            <w:r w:rsidRPr="006A307B">
              <w:rPr>
                <w:lang w:val="en-US"/>
              </w:rPr>
              <w:t>Way forward:</w:t>
            </w:r>
          </w:p>
          <w:p w14:paraId="5DB66735" w14:textId="77777777" w:rsidR="006A307B" w:rsidRPr="006A307B" w:rsidRDefault="006A307B" w:rsidP="006A307B">
            <w:pPr>
              <w:numPr>
                <w:ilvl w:val="0"/>
                <w:numId w:val="13"/>
              </w:numPr>
              <w:spacing w:after="120"/>
              <w:textAlignment w:val="center"/>
              <w:rPr>
                <w:lang w:val="en-US"/>
              </w:rPr>
            </w:pPr>
            <w:r w:rsidRPr="006A307B">
              <w:rPr>
                <w:lang w:val="en-US"/>
              </w:rPr>
              <w:t>Option 1: No RRM impacts on UL TCI state switching delay requirement for unified TCI states.</w:t>
            </w:r>
          </w:p>
          <w:p w14:paraId="39A2484D" w14:textId="77777777" w:rsidR="006A307B" w:rsidRPr="006A307B" w:rsidRDefault="006A307B" w:rsidP="006A307B">
            <w:pPr>
              <w:numPr>
                <w:ilvl w:val="0"/>
                <w:numId w:val="13"/>
              </w:numPr>
              <w:spacing w:after="120"/>
              <w:textAlignment w:val="center"/>
              <w:rPr>
                <w:lang w:val="en-US"/>
              </w:rPr>
            </w:pPr>
            <w:r w:rsidRPr="006A307B">
              <w:rPr>
                <w:lang w:val="en-US"/>
              </w:rPr>
              <w:t>Option 2: RAN4 to specify UL TCI state switching requirements.</w:t>
            </w:r>
          </w:p>
          <w:p w14:paraId="21BC88F7" w14:textId="77777777" w:rsidR="006A307B" w:rsidRPr="006A307B" w:rsidRDefault="006A307B" w:rsidP="006A307B">
            <w:pPr>
              <w:numPr>
                <w:ilvl w:val="0"/>
                <w:numId w:val="13"/>
              </w:numPr>
              <w:spacing w:after="120"/>
              <w:textAlignment w:val="center"/>
              <w:rPr>
                <w:lang w:val="en-US"/>
              </w:rPr>
            </w:pPr>
            <w:r w:rsidRPr="006A307B">
              <w:rPr>
                <w:lang w:val="en-US"/>
              </w:rPr>
              <w:t>Option 3: FFS.</w:t>
            </w:r>
          </w:p>
          <w:p w14:paraId="015559AD" w14:textId="79C784F4" w:rsidR="006A307B" w:rsidRPr="00595F62" w:rsidRDefault="006A307B" w:rsidP="006A307B">
            <w:pPr>
              <w:overflowPunct w:val="0"/>
              <w:autoSpaceDE w:val="0"/>
              <w:autoSpaceDN w:val="0"/>
              <w:adjustRightInd w:val="0"/>
              <w:snapToGrid w:val="0"/>
              <w:spacing w:after="120"/>
              <w:ind w:left="648"/>
              <w:textAlignment w:val="baseline"/>
              <w:rPr>
                <w:rFonts w:eastAsia="Times New Roman" w:cs="Times New Roman"/>
                <w:szCs w:val="20"/>
                <w:lang w:eastAsia="en-GB"/>
              </w:rPr>
            </w:pPr>
          </w:p>
        </w:tc>
      </w:tr>
    </w:tbl>
    <w:p w14:paraId="26E481FF" w14:textId="77777777" w:rsidR="006A307B" w:rsidRDefault="006A307B" w:rsidP="006A307B">
      <w:pPr>
        <w:rPr>
          <w:rFonts w:cstheme="minorHAnsi"/>
        </w:rPr>
      </w:pPr>
    </w:p>
    <w:p w14:paraId="275BCDDC" w14:textId="2AFD78B9" w:rsidR="006A307B" w:rsidRDefault="006A307B" w:rsidP="006A307B">
      <w:pPr>
        <w:rPr>
          <w:lang w:val="en-US"/>
        </w:rPr>
      </w:pPr>
      <w:r w:rsidRPr="008A3930">
        <w:rPr>
          <w:lang w:val="en-US"/>
        </w:rPr>
        <w:t xml:space="preserve">An </w:t>
      </w:r>
      <w:r>
        <w:rPr>
          <w:lang w:val="en-US"/>
        </w:rPr>
        <w:t>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8A3930">
        <w:rPr>
          <w:lang w:val="en-US"/>
        </w:rPr>
        <w:t xml:space="preserve"> deployment scenario is a s</w:t>
      </w:r>
      <w:r w:rsidR="008302DB">
        <w:rPr>
          <w:lang w:val="en-US"/>
        </w:rPr>
        <w:t>ingle</w:t>
      </w:r>
      <w:r w:rsidRPr="008A3930">
        <w:rPr>
          <w:lang w:val="en-US"/>
        </w:rPr>
        <w:t>-DCI scenario</w:t>
      </w:r>
      <w:r>
        <w:rPr>
          <w:lang w:val="en-US"/>
        </w:rPr>
        <w:t xml:space="preserve"> where the symmetric DL/UL TRP will transmit and receive the PDCCH and the PUCCH respectively</w:t>
      </w:r>
      <w:r w:rsidRPr="008A3930">
        <w:rPr>
          <w:lang w:val="en-US"/>
        </w:rPr>
        <w:t xml:space="preserve">. </w:t>
      </w:r>
      <w:r>
        <w:rPr>
          <w:lang w:val="en-US"/>
        </w:rPr>
        <w:t xml:space="preserve">In Rel-18 MIMO evo, </w:t>
      </w:r>
      <w:r w:rsidRPr="008A3930">
        <w:rPr>
          <w:lang w:val="en-US"/>
        </w:rPr>
        <w:t>RAN4 has defined downlink as well as uplink TCI state</w:t>
      </w:r>
      <w:r>
        <w:rPr>
          <w:lang w:val="en-US"/>
        </w:rPr>
        <w:t xml:space="preserve"> </w:t>
      </w:r>
      <w:r w:rsidRPr="008A3930">
        <w:rPr>
          <w:lang w:val="en-US"/>
        </w:rPr>
        <w:t>switching delay</w:t>
      </w:r>
      <w:r>
        <w:rPr>
          <w:lang w:val="en-US"/>
        </w:rPr>
        <w:t xml:space="preserve"> </w:t>
      </w:r>
      <w:r w:rsidRPr="008A3930">
        <w:rPr>
          <w:lang w:val="en-US"/>
        </w:rPr>
        <w:t xml:space="preserve">for unified TCI </w:t>
      </w:r>
      <w:r>
        <w:rPr>
          <w:lang w:val="en-US"/>
        </w:rPr>
        <w:t xml:space="preserve">state switch </w:t>
      </w:r>
      <w:r w:rsidRPr="008A3930">
        <w:rPr>
          <w:lang w:val="en-US"/>
        </w:rPr>
        <w:t xml:space="preserve">for single-DCI </w:t>
      </w:r>
      <w:proofErr w:type="spellStart"/>
      <w:r w:rsidRPr="008A3930">
        <w:rPr>
          <w:lang w:val="en-US"/>
        </w:rPr>
        <w:t>mTRP</w:t>
      </w:r>
      <w:proofErr w:type="spellEnd"/>
      <w:r>
        <w:rPr>
          <w:lang w:val="en-US"/>
        </w:rPr>
        <w:t xml:space="preserve">. </w:t>
      </w:r>
    </w:p>
    <w:p w14:paraId="07F52992" w14:textId="77777777" w:rsidR="006A307B" w:rsidRPr="00624F53" w:rsidRDefault="006A307B" w:rsidP="006A307B">
      <w:pPr>
        <w:rPr>
          <w:lang w:val="en-US"/>
        </w:rPr>
      </w:pPr>
      <w:r>
        <w:rPr>
          <w:lang w:val="en-US"/>
        </w:rPr>
        <w:t xml:space="preserve">In case of downlink TCI state switching delay requirements, we see no difference in the downlink TCI state switching </w:t>
      </w:r>
      <w:r w:rsidRPr="00624F53">
        <w:rPr>
          <w:lang w:val="en-US"/>
        </w:rPr>
        <w:t>behavior and hence see no need to define new set of downlink TCI state switch delay requirements.</w:t>
      </w:r>
    </w:p>
    <w:p w14:paraId="634885CD" w14:textId="77777777" w:rsidR="006A307B" w:rsidRPr="00D83E84" w:rsidRDefault="006A307B" w:rsidP="006A307B">
      <w:pPr>
        <w:rPr>
          <w:lang w:val="en-US"/>
        </w:rPr>
      </w:pPr>
      <w:proofErr w:type="gramStart"/>
      <w:r w:rsidRPr="00832ED2">
        <w:rPr>
          <w:lang w:val="en-US"/>
        </w:rPr>
        <w:t>Similar to</w:t>
      </w:r>
      <w:proofErr w:type="gramEnd"/>
      <w:r w:rsidRPr="00832ED2">
        <w:rPr>
          <w:lang w:val="en-US"/>
        </w:rPr>
        <w:t xml:space="preserve"> the downlink TCI state switching delay requirements, there is no difference in the uplink TCI state switching behavior </w:t>
      </w:r>
      <w:r>
        <w:rPr>
          <w:lang w:val="en-US"/>
        </w:rPr>
        <w:t>either</w:t>
      </w:r>
      <w:r w:rsidRPr="00D83E84">
        <w:rPr>
          <w:lang w:val="en-US"/>
        </w:rPr>
        <w:t xml:space="preserve"> when the UE is indicated to switch to a target uplink TCI state associated to the uplink only TRP. Hence, the legacy RAN4 unified TCI state switching delay requirements for UL TCI state can be reused. </w:t>
      </w:r>
    </w:p>
    <w:p w14:paraId="7041F96A" w14:textId="77777777" w:rsidR="006A307B" w:rsidRDefault="006A307B" w:rsidP="006A307B">
      <w:pPr>
        <w:pStyle w:val="RAN4observation0"/>
        <w:rPr>
          <w:lang w:val="en-US"/>
        </w:rPr>
      </w:pPr>
      <w:bookmarkStart w:id="15" w:name="_Toc181882781"/>
      <w:r>
        <w:rPr>
          <w:lang w:val="en-US"/>
        </w:rPr>
        <w:t>Since existing R</w:t>
      </w:r>
      <w:r w:rsidRPr="006F535A">
        <w:rPr>
          <w:lang w:val="en-US"/>
        </w:rPr>
        <w:t xml:space="preserve">el-17 unified TCI/ICBM and </w:t>
      </w:r>
      <w:r>
        <w:rPr>
          <w:lang w:val="en-US"/>
        </w:rPr>
        <w:t>R</w:t>
      </w:r>
      <w:r w:rsidRPr="006F535A">
        <w:rPr>
          <w:lang w:val="en-US"/>
        </w:rPr>
        <w:t>el-18 unified TCI framework</w:t>
      </w:r>
      <w:r>
        <w:rPr>
          <w:lang w:val="en-US"/>
        </w:rPr>
        <w:t xml:space="preserve"> is to be reused for 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Pr>
          <w:lang w:val="en-US"/>
        </w:rPr>
        <w:t>, there is no change in DL and UL TCI state switch delay requirements.</w:t>
      </w:r>
      <w:bookmarkEnd w:id="15"/>
      <w:r>
        <w:rPr>
          <w:lang w:val="en-US"/>
        </w:rPr>
        <w:t xml:space="preserve"> </w:t>
      </w:r>
    </w:p>
    <w:p w14:paraId="2E0A3F96" w14:textId="3FC231B3" w:rsidR="006A307B" w:rsidRPr="008A3930" w:rsidRDefault="006A307B" w:rsidP="006A307B">
      <w:pPr>
        <w:pStyle w:val="RAN4proposal"/>
        <w:rPr>
          <w:lang w:val="en-US"/>
        </w:rPr>
      </w:pPr>
      <w:bookmarkStart w:id="16" w:name="_Toc181882782"/>
      <w:r>
        <w:rPr>
          <w:lang w:val="en-US"/>
        </w:rPr>
        <w:t>For the asymmetric DL/UL scenario, reuse Rel-17 and Rel-18 unified TCI s</w:t>
      </w:r>
      <w:r w:rsidR="008302DB">
        <w:rPr>
          <w:lang w:val="en-US"/>
        </w:rPr>
        <w:t>ingle</w:t>
      </w:r>
      <w:r>
        <w:rPr>
          <w:lang w:val="en-US"/>
        </w:rPr>
        <w:t xml:space="preserve">-DCI </w:t>
      </w:r>
      <w:proofErr w:type="spellStart"/>
      <w:r>
        <w:rPr>
          <w:lang w:val="en-US"/>
        </w:rPr>
        <w:t>mTRP</w:t>
      </w:r>
      <w:proofErr w:type="spellEnd"/>
      <w:r>
        <w:rPr>
          <w:lang w:val="en-US"/>
        </w:rPr>
        <w:t xml:space="preserve"> TCI state switching delay requirements for DL and UL TCI state switch.</w:t>
      </w:r>
      <w:bookmarkEnd w:id="16"/>
      <w:r>
        <w:rPr>
          <w:lang w:val="en-US"/>
        </w:rPr>
        <w:t xml:space="preserve"> </w:t>
      </w:r>
    </w:p>
    <w:p w14:paraId="5A361C81" w14:textId="77777777" w:rsidR="006A307B" w:rsidRDefault="006A307B" w:rsidP="006A307B">
      <w:pPr>
        <w:rPr>
          <w:lang w:val="en-US"/>
        </w:rPr>
      </w:pPr>
      <w:r>
        <w:rPr>
          <w:lang w:val="en-US"/>
        </w:rPr>
        <w:t xml:space="preserve">Although the delay for UL TCI state switch does not need to be changed from the legacy, the requirements still need some updates for the UL-only TRP TCI state switch case. </w:t>
      </w:r>
    </w:p>
    <w:p w14:paraId="68F077D9" w14:textId="2B6D91A7" w:rsidR="006A307B" w:rsidRDefault="006A307B" w:rsidP="006A307B">
      <w:pPr>
        <w:rPr>
          <w:lang w:val="en-US"/>
        </w:rPr>
      </w:pPr>
      <w:r>
        <w:rPr>
          <w:lang w:val="en-US"/>
        </w:rPr>
        <w:lastRenderedPageBreak/>
        <w:t xml:space="preserve">The uplink TCI state switching delay requirements specified </w:t>
      </w:r>
      <w:r w:rsidRPr="3C4C2475">
        <w:rPr>
          <w:lang w:val="en-US"/>
        </w:rPr>
        <w:t>up to</w:t>
      </w:r>
      <w:r>
        <w:rPr>
          <w:lang w:val="en-US"/>
        </w:rPr>
        <w:t xml:space="preserve"> Rel-18 have been defined for an uplink TCI state which</w:t>
      </w:r>
      <w:r w:rsidR="003F5BA5">
        <w:rPr>
          <w:lang w:val="en-US"/>
        </w:rPr>
        <w:t xml:space="preserve"> is</w:t>
      </w:r>
      <w:r>
        <w:rPr>
          <w:lang w:val="en-US"/>
        </w:rPr>
        <w:t xml:space="preserve"> associated with a downlink reference signal. For </w:t>
      </w:r>
      <w:r w:rsidR="001B580F">
        <w:rPr>
          <w:lang w:val="en-US"/>
        </w:rPr>
        <w:t xml:space="preserve">a </w:t>
      </w:r>
      <w:r>
        <w:rPr>
          <w:lang w:val="en-US"/>
        </w:rPr>
        <w:t>UL-only TRP’s TCI state, the reference signal configured as QCL-D is an SRS, which is an uplink signal. The existing UL TCI state switching requirements consider only the case of a TRP which transmits downlink reference signal. In the case of 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Pr>
          <w:lang w:val="en-US"/>
        </w:rPr>
        <w:t>, since the uplink only TRP does not transmit any downlink reference signal, the existing Rel-18 requirements cannot be reused without changing the applicability of the uplink TCI state switch requirements. Hence, the applicability of the existing uplink TCI state switch delay requirements should be extended to include uplink TCI states which are associated to an uplink reference signal (SRS).</w:t>
      </w:r>
    </w:p>
    <w:p w14:paraId="6C32AAC1" w14:textId="77777777" w:rsidR="006A307B" w:rsidRDefault="006A307B" w:rsidP="006A307B">
      <w:pPr>
        <w:pStyle w:val="RAN4observation0"/>
        <w:rPr>
          <w:lang w:val="en-US"/>
        </w:rPr>
      </w:pPr>
      <w:bookmarkStart w:id="17" w:name="_Toc181882783"/>
      <w:r>
        <w:rPr>
          <w:lang w:val="en-US"/>
        </w:rPr>
        <w:t>Existing Rel-17 and Rel-18 unified TCI switching requirements are not applicable for target TCI state without DL reference signal.</w:t>
      </w:r>
      <w:bookmarkEnd w:id="17"/>
      <w:r>
        <w:rPr>
          <w:lang w:val="en-US"/>
        </w:rPr>
        <w:t xml:space="preserve"> </w:t>
      </w:r>
    </w:p>
    <w:p w14:paraId="03E0490F" w14:textId="25799035" w:rsidR="006A307B" w:rsidRPr="006A307B" w:rsidRDefault="006A307B" w:rsidP="006A307B">
      <w:pPr>
        <w:pStyle w:val="RAN4observation0"/>
        <w:rPr>
          <w:lang w:val="en-US"/>
        </w:rPr>
      </w:pPr>
      <w:bookmarkStart w:id="18" w:name="_Toc181882784"/>
      <w:r w:rsidRPr="006A307B">
        <w:rPr>
          <w:lang w:val="en-US"/>
        </w:rPr>
        <w:t xml:space="preserve">In the case of asymmetric DL </w:t>
      </w:r>
      <w:proofErr w:type="spellStart"/>
      <w:r w:rsidRPr="006A307B">
        <w:rPr>
          <w:lang w:val="en-US"/>
        </w:rPr>
        <w:t>sTRP</w:t>
      </w:r>
      <w:proofErr w:type="spellEnd"/>
      <w:r w:rsidRPr="006A307B">
        <w:rPr>
          <w:lang w:val="en-US"/>
        </w:rPr>
        <w:t xml:space="preserve">/UL </w:t>
      </w:r>
      <w:proofErr w:type="spellStart"/>
      <w:r w:rsidRPr="006A307B">
        <w:rPr>
          <w:lang w:val="en-US"/>
        </w:rPr>
        <w:t>mTRP</w:t>
      </w:r>
      <w:proofErr w:type="spellEnd"/>
      <w:r w:rsidRPr="006A307B">
        <w:rPr>
          <w:lang w:val="en-US"/>
        </w:rPr>
        <w:t xml:space="preserve">, since the </w:t>
      </w:r>
      <w:r w:rsidR="003002AB">
        <w:rPr>
          <w:lang w:val="en-US"/>
        </w:rPr>
        <w:t>uplink-only</w:t>
      </w:r>
      <w:r w:rsidRPr="006A307B">
        <w:rPr>
          <w:lang w:val="en-US"/>
        </w:rPr>
        <w:t xml:space="preserve"> TRP does not transmit any downlink reference signal, the existing Rel-18 requirements cannot be reused without changing the applicability of the uplink TCI state switch requirements</w:t>
      </w:r>
      <w:r w:rsidR="00BD01AD">
        <w:rPr>
          <w:lang w:val="en-US"/>
        </w:rPr>
        <w:t>.</w:t>
      </w:r>
      <w:bookmarkEnd w:id="18"/>
    </w:p>
    <w:p w14:paraId="6ECD8FAB" w14:textId="38FBD671" w:rsidR="006A307B" w:rsidRDefault="00D42DF4" w:rsidP="006A307B">
      <w:pPr>
        <w:pStyle w:val="RAN4proposal"/>
        <w:rPr>
          <w:lang w:val="en-US"/>
        </w:rPr>
      </w:pPr>
      <w:bookmarkStart w:id="19" w:name="_Toc181882785"/>
      <w:r>
        <w:rPr>
          <w:lang w:val="en-US"/>
        </w:rPr>
        <w:t xml:space="preserve">Update the unified </w:t>
      </w:r>
      <w:r w:rsidR="003E574D">
        <w:rPr>
          <w:lang w:val="en-US"/>
        </w:rPr>
        <w:t xml:space="preserve">UL </w:t>
      </w:r>
      <w:r w:rsidR="006A307B">
        <w:rPr>
          <w:lang w:val="en-US"/>
        </w:rPr>
        <w:t xml:space="preserve">TCI state switching delay requirements to be applicable when the target </w:t>
      </w:r>
      <w:r w:rsidR="000836F5">
        <w:rPr>
          <w:lang w:val="en-US"/>
        </w:rPr>
        <w:t xml:space="preserve">UL </w:t>
      </w:r>
      <w:r w:rsidR="006A307B">
        <w:rPr>
          <w:lang w:val="en-US"/>
        </w:rPr>
        <w:t>TCI state is associated with an uplink reference signal.</w:t>
      </w:r>
      <w:bookmarkEnd w:id="19"/>
    </w:p>
    <w:p w14:paraId="5F0D8024" w14:textId="77777777" w:rsidR="006A307B" w:rsidRPr="005F7886" w:rsidRDefault="006A307B" w:rsidP="006A307B">
      <w:pPr>
        <w:rPr>
          <w:lang w:val="en-US"/>
        </w:rPr>
      </w:pPr>
      <w:r>
        <w:rPr>
          <w:lang w:val="en-US"/>
        </w:rPr>
        <w:t xml:space="preserve">The legacy TCI state switch delay requirements </w:t>
      </w:r>
      <w:r w:rsidRPr="005F7886">
        <w:rPr>
          <w:lang w:val="en-US"/>
        </w:rPr>
        <w:t xml:space="preserve">have been defined based on a TCI state being known or unknown. For a TCI state to be considered as known there are set of conditions defined which are primarily centered around a downlink reference signal being transmitted by the TRP. </w:t>
      </w:r>
      <w:r>
        <w:rPr>
          <w:lang w:val="en-US"/>
        </w:rPr>
        <w:t xml:space="preserve">The known/unknown conditions are used to determine if the UE has reported a valid recent measurement from the target TCI state before making the switch. In case the target TCI state is unknown the UE is expected to perform measurements on the target TCI state, </w:t>
      </w:r>
      <w:proofErr w:type="gramStart"/>
      <w:r>
        <w:rPr>
          <w:lang w:val="en-US"/>
        </w:rPr>
        <w:t>in order to</w:t>
      </w:r>
      <w:proofErr w:type="gramEnd"/>
      <w:r>
        <w:rPr>
          <w:lang w:val="en-US"/>
        </w:rPr>
        <w:t xml:space="preserve"> determine transmission parameters such as spatial filter of the target TCI state. </w:t>
      </w:r>
    </w:p>
    <w:p w14:paraId="23F9CA02" w14:textId="305E6D1E" w:rsidR="006A307B" w:rsidRPr="005F7886" w:rsidRDefault="006A307B" w:rsidP="006A307B">
      <w:pPr>
        <w:rPr>
          <w:lang w:val="en-US"/>
        </w:rPr>
      </w:pPr>
      <w:r w:rsidRPr="005F7886">
        <w:rPr>
          <w:lang w:val="en-US"/>
        </w:rPr>
        <w:t xml:space="preserve">However, in </w:t>
      </w:r>
      <w:r w:rsidR="00F04374">
        <w:rPr>
          <w:lang w:val="en-US"/>
        </w:rPr>
        <w:t xml:space="preserve">the </w:t>
      </w:r>
      <w:r w:rsidRPr="005F7886">
        <w:rPr>
          <w:lang w:val="en-US"/>
        </w:rPr>
        <w:t xml:space="preserve">case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 xml:space="preserve">, since the </w:t>
      </w:r>
      <w:r w:rsidR="00F04374" w:rsidRPr="005F7886">
        <w:rPr>
          <w:lang w:val="en-US"/>
        </w:rPr>
        <w:t>uplink</w:t>
      </w:r>
      <w:r w:rsidR="00F04374">
        <w:rPr>
          <w:lang w:val="en-US"/>
        </w:rPr>
        <w:t>-</w:t>
      </w:r>
      <w:r w:rsidRPr="005F7886">
        <w:rPr>
          <w:lang w:val="en-US"/>
        </w:rPr>
        <w:t>only TRP does not transmit any reference signal</w:t>
      </w:r>
      <w:r w:rsidRPr="3C4C2475">
        <w:rPr>
          <w:lang w:val="en-US"/>
        </w:rPr>
        <w:t>, this</w:t>
      </w:r>
      <w:r w:rsidRPr="005F7886">
        <w:rPr>
          <w:lang w:val="en-US"/>
        </w:rPr>
        <w:t xml:space="preserve"> implies that the conditions defined up to Rel-18 for an uplink TCI state to be known cannot be used in the context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w:t>
      </w:r>
    </w:p>
    <w:p w14:paraId="40C77BE7" w14:textId="7A4C4AA4" w:rsidR="006A307B" w:rsidRDefault="006A307B" w:rsidP="006A307B">
      <w:pPr>
        <w:pStyle w:val="RAN4observation0"/>
        <w:rPr>
          <w:lang w:val="en-US"/>
        </w:rPr>
      </w:pPr>
      <w:bookmarkStart w:id="20" w:name="_Toc181882786"/>
      <w:r>
        <w:rPr>
          <w:lang w:val="en-US"/>
        </w:rPr>
        <w:t>Legacy uplink TCI state switching delay requirements are based on a TCI state switch be</w:t>
      </w:r>
      <w:r w:rsidR="00180FCD">
        <w:rPr>
          <w:lang w:val="en-US"/>
        </w:rPr>
        <w:t>ing</w:t>
      </w:r>
      <w:r>
        <w:rPr>
          <w:lang w:val="en-US"/>
        </w:rPr>
        <w:t xml:space="preserve"> known or unknown.</w:t>
      </w:r>
      <w:bookmarkEnd w:id="20"/>
    </w:p>
    <w:p w14:paraId="3FE92A34" w14:textId="6F905AFB" w:rsidR="006A307B" w:rsidRDefault="006A307B" w:rsidP="006A307B">
      <w:pPr>
        <w:pStyle w:val="RAN4observation0"/>
        <w:rPr>
          <w:lang w:val="en-US"/>
        </w:rPr>
      </w:pPr>
      <w:bookmarkStart w:id="21" w:name="_Toc181882787"/>
      <w:r>
        <w:rPr>
          <w:lang w:val="en-US"/>
        </w:rPr>
        <w:t>Conditions defined for a TCI state to be considered as known or unknown are based on a</w:t>
      </w:r>
      <w:r w:rsidR="00B73442">
        <w:rPr>
          <w:lang w:val="en-US"/>
        </w:rPr>
        <w:t xml:space="preserve"> recent measurement of a</w:t>
      </w:r>
      <w:r>
        <w:rPr>
          <w:lang w:val="en-US"/>
        </w:rPr>
        <w:t xml:space="preserve"> downlink reference signal</w:t>
      </w:r>
      <w:r w:rsidR="005D79AB">
        <w:rPr>
          <w:lang w:val="en-US"/>
        </w:rPr>
        <w:t>.</w:t>
      </w:r>
      <w:bookmarkEnd w:id="21"/>
    </w:p>
    <w:p w14:paraId="6F04EC32" w14:textId="318CD6FD" w:rsidR="006A307B" w:rsidRDefault="006A307B" w:rsidP="006A307B">
      <w:pPr>
        <w:pStyle w:val="RAN4observation0"/>
        <w:rPr>
          <w:lang w:val="en-US"/>
        </w:rPr>
      </w:pPr>
      <w:bookmarkStart w:id="22" w:name="_Toc181882788"/>
      <w:r>
        <w:rPr>
          <w:lang w:val="en-US"/>
        </w:rPr>
        <w:t xml:space="preserve">For an </w:t>
      </w:r>
      <w:r w:rsidR="001103C0">
        <w:rPr>
          <w:lang w:val="en-US"/>
        </w:rPr>
        <w:t>uplink-only</w:t>
      </w:r>
      <w:r>
        <w:rPr>
          <w:lang w:val="en-US"/>
        </w:rPr>
        <w:t xml:space="preserve"> TRP, since there is no downlink reference signal being transmitted, the legacy known/unknown conditions cannot be reused.</w:t>
      </w:r>
      <w:bookmarkEnd w:id="22"/>
    </w:p>
    <w:p w14:paraId="2AE63C2B" w14:textId="03207F81" w:rsidR="006A307B" w:rsidRDefault="006A307B" w:rsidP="006A307B">
      <w:pPr>
        <w:pStyle w:val="RAN4proposal"/>
        <w:rPr>
          <w:lang w:val="en-US"/>
        </w:rPr>
      </w:pPr>
      <w:bookmarkStart w:id="23" w:name="_Toc181882789"/>
      <w:r>
        <w:rPr>
          <w:lang w:val="en-US"/>
        </w:rPr>
        <w:t>RAN4 to define UL TCI state switch delay requirements for an uplink</w:t>
      </w:r>
      <w:r w:rsidR="001103C0">
        <w:rPr>
          <w:lang w:val="en-US"/>
        </w:rPr>
        <w:t>-</w:t>
      </w:r>
      <w:r>
        <w:rPr>
          <w:lang w:val="en-US"/>
        </w:rPr>
        <w:t>only TRP with no distinction between known and unknown TCI state</w:t>
      </w:r>
      <w:r w:rsidR="001103C0">
        <w:rPr>
          <w:lang w:val="en-US"/>
        </w:rPr>
        <w:t>s</w:t>
      </w:r>
      <w:r>
        <w:rPr>
          <w:lang w:val="en-US"/>
        </w:rPr>
        <w:t>.</w:t>
      </w:r>
      <w:bookmarkEnd w:id="23"/>
      <w:r>
        <w:rPr>
          <w:lang w:val="en-US"/>
        </w:rPr>
        <w:t xml:space="preserve"> </w:t>
      </w:r>
    </w:p>
    <w:p w14:paraId="3FAD5ED7" w14:textId="77777777" w:rsidR="00DF6595" w:rsidRPr="00DF6595" w:rsidRDefault="00DF6595" w:rsidP="00DF6595">
      <w:pPr>
        <w:rPr>
          <w:lang w:val="en-US"/>
        </w:rPr>
      </w:pPr>
    </w:p>
    <w:p w14:paraId="791C38C4" w14:textId="3094C0A3" w:rsidR="00DF6595" w:rsidRPr="00614DD8" w:rsidRDefault="00DF6595" w:rsidP="00DF6595">
      <w:pPr>
        <w:pStyle w:val="RAN4H1"/>
        <w:rPr>
          <w:lang w:val="en-US"/>
        </w:rPr>
      </w:pPr>
      <w:r>
        <w:rPr>
          <w:lang w:val="en-US"/>
        </w:rPr>
        <w:t xml:space="preserve">Reporting for </w:t>
      </w:r>
      <w:r w:rsidRPr="00614DD8">
        <w:rPr>
          <w:lang w:val="en-US"/>
        </w:rPr>
        <w:t>C</w:t>
      </w:r>
      <w:r>
        <w:rPr>
          <w:lang w:val="en-US"/>
        </w:rPr>
        <w:t xml:space="preserve">JT </w:t>
      </w:r>
      <w:r w:rsidR="00FF5C1C">
        <w:rPr>
          <w:lang w:val="en-US"/>
        </w:rPr>
        <w:t>calibration</w:t>
      </w:r>
    </w:p>
    <w:p w14:paraId="76D2E87B" w14:textId="77777777" w:rsidR="00A71A47" w:rsidRDefault="00A71A47" w:rsidP="0084507C">
      <w:pPr>
        <w:rPr>
          <w:lang w:val="en-US"/>
        </w:rPr>
      </w:pPr>
      <w:r w:rsidRPr="00E55363">
        <w:rPr>
          <w:lang w:val="en-US"/>
        </w:rPr>
        <w:t xml:space="preserve">In RAN4 # 112-bis, the topic of </w:t>
      </w:r>
      <w:r>
        <w:rPr>
          <w:lang w:val="en-US"/>
        </w:rPr>
        <w:t xml:space="preserve">time </w:t>
      </w:r>
      <w:r w:rsidRPr="00E55363">
        <w:rPr>
          <w:lang w:val="en-US"/>
        </w:rPr>
        <w:t>averaging</w:t>
      </w:r>
      <w:r>
        <w:rPr>
          <w:lang w:val="en-US"/>
        </w:rPr>
        <w:t xml:space="preserve"> for</w:t>
      </w:r>
      <w:r w:rsidRPr="00E55363">
        <w:rPr>
          <w:lang w:val="en-US"/>
        </w:rPr>
        <w:t xml:space="preserve"> CJT calibration quantities was discussed for DO, FO and PO reporting quantities. Here, one of the main questions that appear is how much better accuracy can be achieved by </w:t>
      </w:r>
      <w:r>
        <w:rPr>
          <w:lang w:val="en-US"/>
        </w:rPr>
        <w:t xml:space="preserve">time </w:t>
      </w:r>
      <w:r w:rsidRPr="00E55363">
        <w:rPr>
          <w:lang w:val="en-US"/>
        </w:rPr>
        <w:t>averaging</w:t>
      </w:r>
      <w:r>
        <w:rPr>
          <w:lang w:val="en-US"/>
        </w:rPr>
        <w:t xml:space="preserve"> of</w:t>
      </w:r>
      <w:r w:rsidRPr="00E55363">
        <w:rPr>
          <w:lang w:val="en-US"/>
        </w:rPr>
        <w:t xml:space="preserve"> a set of measurements and, at the same time, the delay that it might imply to obtain the final estimated value. Based on previous results from our RAN 1 simulations, we may analyze how much benefit was obtained for DO and FO with a single shot estimation. </w:t>
      </w:r>
    </w:p>
    <w:p w14:paraId="142DA1CC" w14:textId="1B2E2325" w:rsidR="00A71A47" w:rsidRDefault="00A71A47" w:rsidP="0084507C">
      <w:pPr>
        <w:rPr>
          <w:lang w:val="en-US"/>
        </w:rPr>
      </w:pPr>
      <w:r>
        <w:rPr>
          <w:lang w:val="en-US"/>
        </w:rPr>
        <w:t>I</w:t>
      </w:r>
      <w:r w:rsidRPr="00E55363">
        <w:rPr>
          <w:lang w:val="en-US"/>
        </w:rPr>
        <w:t xml:space="preserve">n </w:t>
      </w:r>
      <w:r w:rsidR="00C66912">
        <w:rPr>
          <w:lang w:val="en-US"/>
        </w:rPr>
        <w:fldChar w:fldCharType="begin"/>
      </w:r>
      <w:r w:rsidR="00C66912">
        <w:rPr>
          <w:lang w:val="en-US"/>
        </w:rPr>
        <w:instrText xml:space="preserve"> REF _Ref181876212 \h </w:instrText>
      </w:r>
      <w:r w:rsidR="00C66912">
        <w:rPr>
          <w:lang w:val="en-US"/>
        </w:rPr>
      </w:r>
      <w:r w:rsidR="00C66912">
        <w:rPr>
          <w:lang w:val="en-US"/>
        </w:rPr>
        <w:fldChar w:fldCharType="separate"/>
      </w:r>
      <w:r w:rsidR="00C66912">
        <w:t xml:space="preserve">Figure </w:t>
      </w:r>
      <w:r w:rsidR="00C66912">
        <w:rPr>
          <w:noProof/>
        </w:rPr>
        <w:t>2</w:t>
      </w:r>
      <w:r w:rsidR="00C66912">
        <w:rPr>
          <w:lang w:val="en-US"/>
        </w:rPr>
        <w:fldChar w:fldCharType="end"/>
      </w:r>
      <w:r>
        <w:rPr>
          <w:lang w:val="en-US"/>
        </w:rPr>
        <w:t xml:space="preserve"> w</w:t>
      </w:r>
      <w:r w:rsidRPr="00E55363">
        <w:rPr>
          <w:lang w:val="en-US"/>
        </w:rPr>
        <w:t xml:space="preserve">e </w:t>
      </w:r>
      <w:r>
        <w:rPr>
          <w:lang w:val="en-US"/>
        </w:rPr>
        <w:t>present simulations to</w:t>
      </w:r>
      <w:r w:rsidRPr="00E55363">
        <w:rPr>
          <w:lang w:val="en-US"/>
        </w:rPr>
        <w:t xml:space="preserve"> analyze the case for DO reporting</w:t>
      </w:r>
      <w:r>
        <w:rPr>
          <w:lang w:val="en-US"/>
        </w:rPr>
        <w:t xml:space="preserve"> with different CJT </w:t>
      </w:r>
      <w:proofErr w:type="spellStart"/>
      <w:r>
        <w:rPr>
          <w:lang w:val="en-US"/>
        </w:rPr>
        <w:t>eType</w:t>
      </w:r>
      <w:proofErr w:type="spellEnd"/>
      <w:r>
        <w:rPr>
          <w:lang w:val="en-US"/>
        </w:rPr>
        <w:t xml:space="preserve"> II configurations (i.e. different bit overhead)</w:t>
      </w:r>
      <w:r w:rsidRPr="00E55363">
        <w:rPr>
          <w:lang w:val="en-US"/>
        </w:rPr>
        <w:t xml:space="preserve"> </w:t>
      </w:r>
      <w:r>
        <w:rPr>
          <w:lang w:val="en-US"/>
        </w:rPr>
        <w:t>for</w:t>
      </w:r>
      <w:r w:rsidRPr="00E55363">
        <w:rPr>
          <w:lang w:val="en-US"/>
        </w:rPr>
        <w:t xml:space="preserve"> 500m ISD, </w:t>
      </w:r>
      <w:r>
        <w:rPr>
          <w:lang w:val="en-US"/>
        </w:rPr>
        <w:t xml:space="preserve">with </w:t>
      </w:r>
      <w:r w:rsidRPr="00E55363">
        <w:rPr>
          <w:lang w:val="en-US"/>
        </w:rPr>
        <w:t>Time Alignment Error (TAE) uniformly distributed from 0 to the Cyclic Prefix (CP), P-CSI RS each 5ms, 4 antennas at the UE and 16 antenna ports</w:t>
      </w:r>
      <w:r>
        <w:rPr>
          <w:lang w:val="en-US"/>
        </w:rPr>
        <w:t xml:space="preserve"> per TRP. The UE distribution consists of </w:t>
      </w:r>
      <w:r w:rsidRPr="0016529D">
        <w:rPr>
          <w:rFonts w:eastAsia="Calibri"/>
          <w:kern w:val="24"/>
          <w:lang w:val="en-US" w:eastAsia="en-GB"/>
        </w:rPr>
        <w:t>20% outdoor (30kmph), 80% indoor (3kmph)</w:t>
      </w:r>
      <w:r>
        <w:rPr>
          <w:lang w:val="en-US"/>
        </w:rPr>
        <w:t>. CJT is enabled with up to 4 TRP joint transmission</w:t>
      </w:r>
      <w:r w:rsidRPr="00E55363">
        <w:rPr>
          <w:lang w:val="en-US"/>
        </w:rPr>
        <w:t>.</w:t>
      </w:r>
      <w:r>
        <w:rPr>
          <w:lang w:val="en-US"/>
        </w:rPr>
        <w:t xml:space="preserve"> For CSI feedback, CJT </w:t>
      </w:r>
      <w:proofErr w:type="spellStart"/>
      <w:r>
        <w:rPr>
          <w:lang w:val="en-US"/>
        </w:rPr>
        <w:t>eType</w:t>
      </w:r>
      <w:proofErr w:type="spellEnd"/>
      <w:r>
        <w:rPr>
          <w:lang w:val="en-US"/>
        </w:rPr>
        <w:t xml:space="preserve"> II mode-2 is used (i.e. with no tap realignment during FD compression and common FD-basis).</w:t>
      </w:r>
      <w:r w:rsidRPr="00E55363">
        <w:rPr>
          <w:lang w:val="en-US"/>
        </w:rPr>
        <w:t xml:space="preserve"> </w:t>
      </w:r>
    </w:p>
    <w:p w14:paraId="35A4C895" w14:textId="6BEB9836" w:rsidR="00A71A47" w:rsidRPr="002B6782" w:rsidRDefault="00A71A47" w:rsidP="00A71A47">
      <w:pPr>
        <w:spacing w:after="60" w:line="256" w:lineRule="auto"/>
        <w:jc w:val="both"/>
        <w:rPr>
          <w:rFonts w:eastAsia="Calibri"/>
          <w:kern w:val="24"/>
          <w:lang w:val="en-US" w:eastAsia="en-GB"/>
        </w:rPr>
      </w:pPr>
      <w:r>
        <w:rPr>
          <w:lang w:val="en-US"/>
        </w:rPr>
        <w:t xml:space="preserve">As seen in the results of </w:t>
      </w:r>
      <w:r w:rsidR="0083730D">
        <w:rPr>
          <w:lang w:val="en-US"/>
        </w:rPr>
        <w:fldChar w:fldCharType="begin"/>
      </w:r>
      <w:r w:rsidR="0083730D">
        <w:rPr>
          <w:lang w:val="en-US"/>
        </w:rPr>
        <w:instrText xml:space="preserve"> REF _Ref181876212 \h </w:instrText>
      </w:r>
      <w:r w:rsidR="0083730D">
        <w:rPr>
          <w:lang w:val="en-US"/>
        </w:rPr>
      </w:r>
      <w:r w:rsidR="0083730D">
        <w:rPr>
          <w:lang w:val="en-US"/>
        </w:rPr>
        <w:fldChar w:fldCharType="separate"/>
      </w:r>
      <w:r w:rsidR="0083730D">
        <w:t xml:space="preserve">Figure </w:t>
      </w:r>
      <w:r w:rsidR="0083730D">
        <w:rPr>
          <w:noProof/>
        </w:rPr>
        <w:t>2</w:t>
      </w:r>
      <w:r w:rsidR="0083730D">
        <w:rPr>
          <w:lang w:val="en-US"/>
        </w:rPr>
        <w:fldChar w:fldCharType="end"/>
      </w:r>
      <w:r>
        <w:rPr>
          <w:lang w:val="en-US"/>
        </w:rPr>
        <w:t xml:space="preserve">, with TAE and the respective compensation with/without quantization </w:t>
      </w:r>
      <w:r>
        <w:t xml:space="preserve">(5 bits i.e. </w:t>
      </w:r>
      <m:oMath>
        <m:sSub>
          <m:sSubPr>
            <m:ctrlPr>
              <w:rPr>
                <w:rFonts w:ascii="Cambria Math" w:hAnsi="Cambria Math"/>
                <w:i/>
              </w:rPr>
            </m:ctrlPr>
          </m:sSubPr>
          <m:e>
            <m:r>
              <w:rPr>
                <w:rFonts w:ascii="Cambria Math" w:hAnsi="Cambria Math"/>
              </w:rPr>
              <m:t>M</m:t>
            </m:r>
          </m:e>
          <m:sub>
            <m:r>
              <w:rPr>
                <w:rFonts w:ascii="Cambria Math" w:hAnsi="Cambria Math"/>
              </w:rPr>
              <m:t>D</m:t>
            </m:r>
          </m:sub>
        </m:sSub>
        <m:r>
          <w:rPr>
            <w:rFonts w:ascii="Cambria Math" w:hAnsi="Cambria Math"/>
          </w:rPr>
          <m:t>=32</m:t>
        </m:r>
      </m:oMath>
      <w:r>
        <w:t>)</w:t>
      </w:r>
      <w:r>
        <w:rPr>
          <w:lang w:val="en-US"/>
        </w:rPr>
        <w:t xml:space="preserve"> is possible to nearly obtain ideal results as in the case with no TAE. Therefore, one might think that time averaging in this setup would not bring any significant enhancement as the room for improvement between the actual reported DO estimations and the ideal case show a very negligible difference.</w:t>
      </w:r>
    </w:p>
    <w:p w14:paraId="287FC5B0" w14:textId="77777777" w:rsidR="00A71A47" w:rsidRPr="00A71A47" w:rsidRDefault="00A71A47" w:rsidP="00DF6595">
      <w:pPr>
        <w:rPr>
          <w:lang w:val="en-US"/>
        </w:rPr>
      </w:pPr>
    </w:p>
    <w:p w14:paraId="01A0A2E5" w14:textId="77777777" w:rsidR="003A2E18" w:rsidRDefault="003A2E18" w:rsidP="003A2E18">
      <w:pPr>
        <w:jc w:val="center"/>
        <w:rPr>
          <w:lang w:val="sv-SE"/>
        </w:rPr>
      </w:pPr>
      <w:bookmarkStart w:id="24" w:name="_Hlk181870565"/>
      <w:r w:rsidRPr="009F6F0B">
        <w:rPr>
          <w:noProof/>
        </w:rPr>
        <w:drawing>
          <wp:inline distT="0" distB="0" distL="0" distR="0" wp14:anchorId="048B7070" wp14:editId="23AEE39B">
            <wp:extent cx="4628744" cy="3219588"/>
            <wp:effectExtent l="0" t="0" r="635" b="0"/>
            <wp:docPr id="9" name="Picture 8" descr="A graph with colored lines and numbers&#10;&#10;Description automatically generated">
              <a:extLst xmlns:a="http://schemas.openxmlformats.org/drawingml/2006/main">
                <a:ext uri="{FF2B5EF4-FFF2-40B4-BE49-F238E27FC236}">
                  <a16:creationId xmlns:a16="http://schemas.microsoft.com/office/drawing/2014/main" id="{E3F7B22A-B5FA-6AD3-93FC-2E586ED8AE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with colored lines and numbers&#10;&#10;Description automatically generated">
                      <a:extLst>
                        <a:ext uri="{FF2B5EF4-FFF2-40B4-BE49-F238E27FC236}">
                          <a16:creationId xmlns:a16="http://schemas.microsoft.com/office/drawing/2014/main" id="{E3F7B22A-B5FA-6AD3-93FC-2E586ED8AE85}"/>
                        </a:ext>
                      </a:extLst>
                    </pic:cNvPr>
                    <pic:cNvPicPr>
                      <a:picLocks noChangeAspect="1"/>
                    </pic:cNvPicPr>
                  </pic:nvPicPr>
                  <pic:blipFill>
                    <a:blip r:embed="rId9"/>
                    <a:stretch>
                      <a:fillRect/>
                    </a:stretch>
                  </pic:blipFill>
                  <pic:spPr>
                    <a:xfrm>
                      <a:off x="0" y="0"/>
                      <a:ext cx="4661975" cy="3242702"/>
                    </a:xfrm>
                    <a:prstGeom prst="rect">
                      <a:avLst/>
                    </a:prstGeom>
                  </pic:spPr>
                </pic:pic>
              </a:graphicData>
            </a:graphic>
          </wp:inline>
        </w:drawing>
      </w:r>
    </w:p>
    <w:p w14:paraId="0A95DD52" w14:textId="15BEE0B3" w:rsidR="003A2E18" w:rsidRPr="0084507C" w:rsidRDefault="00C66912" w:rsidP="0084507C">
      <w:pPr>
        <w:pStyle w:val="Caption"/>
        <w:rPr>
          <w:lang w:val="sv-SE"/>
        </w:rPr>
      </w:pPr>
      <w:bookmarkStart w:id="25" w:name="_Ref181876212"/>
      <w:r>
        <w:t xml:space="preserve">Figure </w:t>
      </w:r>
      <w:r>
        <w:fldChar w:fldCharType="begin"/>
      </w:r>
      <w:r>
        <w:instrText xml:space="preserve"> SEQ Figure \* ARABIC </w:instrText>
      </w:r>
      <w:r>
        <w:fldChar w:fldCharType="separate"/>
      </w:r>
      <w:r w:rsidR="00943365">
        <w:rPr>
          <w:noProof/>
        </w:rPr>
        <w:t>2</w:t>
      </w:r>
      <w:r>
        <w:fldChar w:fldCharType="end"/>
      </w:r>
      <w:bookmarkEnd w:id="25"/>
      <w:r>
        <w:t xml:space="preserve"> </w:t>
      </w:r>
      <w:r w:rsidRPr="00C66912">
        <w:t xml:space="preserve">mean UE </w:t>
      </w:r>
      <w:proofErr w:type="spellStart"/>
      <w:r w:rsidRPr="00C66912">
        <w:t>Thrp</w:t>
      </w:r>
      <w:proofErr w:type="spellEnd"/>
      <w:r w:rsidRPr="00C66912">
        <w:t xml:space="preserve"> vs. CJT Type II bit overhead under different TAE estimation/compensation conditions without averaging (TRP selection might be slightly affected and then bit overhead).</w:t>
      </w:r>
      <w:r>
        <w:t xml:space="preserve"> </w:t>
      </w:r>
    </w:p>
    <w:p w14:paraId="32585A20" w14:textId="77777777" w:rsidR="003A2E18" w:rsidRDefault="003A2E18" w:rsidP="003A2E18">
      <w:pPr>
        <w:jc w:val="both"/>
        <w:rPr>
          <w:lang w:val="en-US"/>
        </w:rPr>
      </w:pPr>
    </w:p>
    <w:p w14:paraId="0286399C" w14:textId="4253D585" w:rsidR="003A2E18" w:rsidRDefault="003A2E18" w:rsidP="00943365">
      <w:r>
        <w:rPr>
          <w:lang w:val="en-US"/>
        </w:rPr>
        <w:t xml:space="preserve">The results for FO reporting are shown in </w:t>
      </w:r>
      <w:r w:rsidR="00C17E7C">
        <w:rPr>
          <w:lang w:val="en-US"/>
        </w:rPr>
        <w:fldChar w:fldCharType="begin"/>
      </w:r>
      <w:r w:rsidR="00C17E7C">
        <w:rPr>
          <w:lang w:val="en-US"/>
        </w:rPr>
        <w:instrText xml:space="preserve"> REF _Ref181876667 \h </w:instrText>
      </w:r>
      <w:r w:rsidR="00C17E7C">
        <w:rPr>
          <w:lang w:val="en-US"/>
        </w:rPr>
      </w:r>
      <w:r w:rsidR="00C17E7C">
        <w:rPr>
          <w:lang w:val="en-US"/>
        </w:rPr>
        <w:fldChar w:fldCharType="separate"/>
      </w:r>
      <w:r w:rsidR="00C17E7C">
        <w:t xml:space="preserve">Figure </w:t>
      </w:r>
      <w:r w:rsidR="00C17E7C">
        <w:rPr>
          <w:noProof/>
        </w:rPr>
        <w:t>3</w:t>
      </w:r>
      <w:r w:rsidR="00C17E7C">
        <w:rPr>
          <w:lang w:val="en-US"/>
        </w:rPr>
        <w:fldChar w:fldCharType="end"/>
      </w:r>
      <w:r>
        <w:t xml:space="preserve">. </w:t>
      </w:r>
      <w:r>
        <w:rPr>
          <w:lang w:val="en-US"/>
        </w:rPr>
        <w:t xml:space="preserve">Likewise for the case with FO reporting in the same scenario and with CFO distribution </w:t>
      </w:r>
      <w:r w:rsidRPr="00F04252">
        <w:t>uniformly distributed for all TRPs in</w:t>
      </w:r>
      <w:r>
        <w:t>to</w:t>
      </w:r>
      <w:r w:rsidRPr="00F04252">
        <w:t xml:space="preserve"> (</w:t>
      </w:r>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CFO</m:t>
            </m:r>
            <m:r>
              <m:rPr>
                <m:sty m:val="p"/>
              </m:rPr>
              <w:rPr>
                <w:rFonts w:ascii="Cambria Math" w:hAnsi="Cambria Math"/>
              </w:rPr>
              <m:t>,</m:t>
            </m:r>
            <m:r>
              <w:rPr>
                <w:rFonts w:ascii="Cambria Math" w:hAnsi="Cambria Math"/>
              </w:rPr>
              <m:t>max</m:t>
            </m:r>
          </m:sub>
        </m:sSub>
        <m:r>
          <m:rPr>
            <m:sty m:val="p"/>
          </m:rPr>
          <w:rPr>
            <w:rFonts w:ascii="Cambria Math" w:hAnsi="Cambria Math"/>
          </w:rPr>
          <m:t>, Δ</m:t>
        </m:r>
        <m:sSub>
          <m:sSubPr>
            <m:ctrlPr>
              <w:rPr>
                <w:rFonts w:ascii="Cambria Math" w:hAnsi="Cambria Math"/>
                <w:i/>
                <w:iCs/>
              </w:rPr>
            </m:ctrlPr>
          </m:sSubPr>
          <m:e>
            <m:r>
              <w:rPr>
                <w:rFonts w:ascii="Cambria Math" w:hAnsi="Cambria Math"/>
              </w:rPr>
              <m:t>f</m:t>
            </m:r>
          </m:e>
          <m:sub>
            <m:r>
              <w:rPr>
                <w:rFonts w:ascii="Cambria Math" w:hAnsi="Cambria Math"/>
              </w:rPr>
              <m:t>CFO</m:t>
            </m:r>
            <m:r>
              <m:rPr>
                <m:sty m:val="p"/>
              </m:rPr>
              <w:rPr>
                <w:rFonts w:ascii="Cambria Math" w:hAnsi="Cambria Math"/>
              </w:rPr>
              <m:t>,</m:t>
            </m:r>
            <m:r>
              <w:rPr>
                <w:rFonts w:ascii="Cambria Math" w:hAnsi="Cambria Math"/>
              </w:rPr>
              <m:t>max</m:t>
            </m:r>
          </m:sub>
        </m:sSub>
        <m:r>
          <m:rPr>
            <m:sty m:val="p"/>
          </m:rPr>
          <w:rPr>
            <w:rFonts w:ascii="Cambria Math" w:hAnsi="Cambria Math"/>
          </w:rPr>
          <m:t>)</m:t>
        </m:r>
      </m:oMath>
      <w:r w:rsidRPr="00F04252">
        <w:t xml:space="preserve"> with </w:t>
      </w:r>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CFO</m:t>
            </m:r>
            <m:r>
              <m:rPr>
                <m:sty m:val="p"/>
              </m:rPr>
              <w:rPr>
                <w:rFonts w:ascii="Cambria Math" w:hAnsi="Cambria Math"/>
              </w:rPr>
              <m:t>,</m:t>
            </m:r>
            <m:r>
              <w:rPr>
                <w:rFonts w:ascii="Cambria Math" w:hAnsi="Cambria Math"/>
              </w:rPr>
              <m:t>max</m:t>
            </m:r>
          </m:sub>
        </m:sSub>
      </m:oMath>
      <w:r w:rsidRPr="00F04252">
        <w:t xml:space="preserve"> corresponding to an error of 0.05 ppm</w:t>
      </w:r>
      <w:r>
        <w:t xml:space="preserve">, we observe a similar result. As seen, the actual estimations and ideal estimations (i.e. GA, genie-aided) with quantization (4 bits i.e. </w:t>
      </w:r>
      <m:oMath>
        <m:sSub>
          <m:sSubPr>
            <m:ctrlPr>
              <w:rPr>
                <w:rFonts w:ascii="Cambria Math" w:hAnsi="Cambria Math"/>
                <w:i/>
              </w:rPr>
            </m:ctrlPr>
          </m:sSubPr>
          <m:e>
            <m:r>
              <w:rPr>
                <w:rFonts w:ascii="Cambria Math" w:hAnsi="Cambria Math"/>
              </w:rPr>
              <m:t>M</m:t>
            </m:r>
          </m:e>
          <m:sub>
            <m:r>
              <w:rPr>
                <w:rFonts w:ascii="Cambria Math" w:hAnsi="Cambria Math"/>
              </w:rPr>
              <m:t>FO</m:t>
            </m:r>
          </m:sub>
        </m:sSub>
        <m:r>
          <w:rPr>
            <w:rFonts w:ascii="Cambria Math" w:hAnsi="Cambria Math"/>
          </w:rPr>
          <m:t>=16</m:t>
        </m:r>
      </m:oMath>
      <w:r>
        <w:t xml:space="preserve">) and the ideal case with no CFO, yield no major differences in performance. Therefore, we have the same conclusion as previously: the difference of performance </w:t>
      </w:r>
      <w:proofErr w:type="gramStart"/>
      <w:r>
        <w:t>lead</w:t>
      </w:r>
      <w:proofErr w:type="gramEnd"/>
      <w:r>
        <w:t xml:space="preserve"> us to think that time averaging would not bring any additional advantage in comparison to a single shot estimation.</w:t>
      </w:r>
    </w:p>
    <w:p w14:paraId="4B5ECA11" w14:textId="77777777" w:rsidR="0084507C" w:rsidRPr="00F97CE7" w:rsidRDefault="0084507C" w:rsidP="00EC4108">
      <w:pPr>
        <w:pStyle w:val="RAN4Observation"/>
        <w:ind w:left="426"/>
      </w:pPr>
      <w:r>
        <w:t>Based on our initial simulations,</w:t>
      </w:r>
      <w:r w:rsidRPr="00F97CE7">
        <w:t xml:space="preserve"> DO and CFO CJT </w:t>
      </w:r>
      <w:r>
        <w:t xml:space="preserve">estimation and </w:t>
      </w:r>
      <w:r w:rsidRPr="00F97CE7">
        <w:t xml:space="preserve">compensation seem to </w:t>
      </w:r>
      <w:r>
        <w:t xml:space="preserve">count </w:t>
      </w:r>
      <w:r w:rsidRPr="00F97CE7">
        <w:t xml:space="preserve">already </w:t>
      </w:r>
      <w:r>
        <w:t xml:space="preserve">with </w:t>
      </w:r>
      <w:r w:rsidRPr="00F97CE7">
        <w:t xml:space="preserve">a good </w:t>
      </w:r>
      <w:r>
        <w:t>performance</w:t>
      </w:r>
      <w:r w:rsidRPr="00F97CE7">
        <w:t xml:space="preserve"> with single shot, which does not give the room for improvement to introduce time averaging.</w:t>
      </w:r>
    </w:p>
    <w:p w14:paraId="59301A40" w14:textId="77777777" w:rsidR="0084507C" w:rsidRDefault="0084507C" w:rsidP="00183DA7"/>
    <w:p w14:paraId="725CC570" w14:textId="77777777" w:rsidR="003A2E18" w:rsidRDefault="003A2E18" w:rsidP="003A2E18">
      <w:pPr>
        <w:jc w:val="center"/>
        <w:rPr>
          <w:lang w:val="en-US"/>
        </w:rPr>
      </w:pPr>
      <w:r w:rsidRPr="00F04252">
        <w:rPr>
          <w:noProof/>
        </w:rPr>
        <w:lastRenderedPageBreak/>
        <w:drawing>
          <wp:inline distT="0" distB="0" distL="0" distR="0" wp14:anchorId="6B2218FC" wp14:editId="162566EC">
            <wp:extent cx="4318000" cy="3238501"/>
            <wp:effectExtent l="19050" t="19050" r="25400" b="19050"/>
            <wp:docPr id="11" name="Picture 10" descr="A graph with numbers and lines&#10;&#10;Description automatically generated">
              <a:extLst xmlns:a="http://schemas.openxmlformats.org/drawingml/2006/main">
                <a:ext uri="{FF2B5EF4-FFF2-40B4-BE49-F238E27FC236}">
                  <a16:creationId xmlns:a16="http://schemas.microsoft.com/office/drawing/2014/main" id="{4A1404EF-76A8-0D16-7A27-2F5A7452A3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with numbers and lines&#10;&#10;Description automatically generated">
                      <a:extLst>
                        <a:ext uri="{FF2B5EF4-FFF2-40B4-BE49-F238E27FC236}">
                          <a16:creationId xmlns:a16="http://schemas.microsoft.com/office/drawing/2014/main" id="{4A1404EF-76A8-0D16-7A27-2F5A7452A308}"/>
                        </a:ext>
                      </a:extLst>
                    </pic:cNvPr>
                    <pic:cNvPicPr>
                      <a:picLocks noChangeAspect="1"/>
                    </pic:cNvPicPr>
                  </pic:nvPicPr>
                  <pic:blipFill>
                    <a:blip r:embed="rId10"/>
                    <a:stretch>
                      <a:fillRect/>
                    </a:stretch>
                  </pic:blipFill>
                  <pic:spPr>
                    <a:xfrm>
                      <a:off x="0" y="0"/>
                      <a:ext cx="4330501" cy="3247877"/>
                    </a:xfrm>
                    <a:prstGeom prst="rect">
                      <a:avLst/>
                    </a:prstGeom>
                    <a:ln>
                      <a:solidFill>
                        <a:schemeClr val="tx2"/>
                      </a:solidFill>
                    </a:ln>
                  </pic:spPr>
                </pic:pic>
              </a:graphicData>
            </a:graphic>
          </wp:inline>
        </w:drawing>
      </w:r>
    </w:p>
    <w:p w14:paraId="188893B9" w14:textId="42C134D2" w:rsidR="0083730D" w:rsidRPr="00F04252" w:rsidRDefault="00E701C0" w:rsidP="00183DA7">
      <w:pPr>
        <w:pStyle w:val="Caption"/>
        <w:rPr>
          <w:lang w:val="en-US"/>
        </w:rPr>
      </w:pPr>
      <w:bookmarkStart w:id="26" w:name="_Ref181876667"/>
      <w:r>
        <w:t xml:space="preserve">Figure </w:t>
      </w:r>
      <w:r>
        <w:fldChar w:fldCharType="begin"/>
      </w:r>
      <w:r>
        <w:instrText xml:space="preserve"> SEQ Figure \* ARABIC </w:instrText>
      </w:r>
      <w:r>
        <w:fldChar w:fldCharType="separate"/>
      </w:r>
      <w:r w:rsidR="00943365">
        <w:rPr>
          <w:noProof/>
        </w:rPr>
        <w:t>3</w:t>
      </w:r>
      <w:r>
        <w:fldChar w:fldCharType="end"/>
      </w:r>
      <w:bookmarkEnd w:id="26"/>
      <w:r>
        <w:t xml:space="preserve"> </w:t>
      </w:r>
      <w:r w:rsidRPr="00E701C0">
        <w:t xml:space="preserve">mean UE </w:t>
      </w:r>
      <w:proofErr w:type="spellStart"/>
      <w:r w:rsidRPr="00E701C0">
        <w:t>Thrp</w:t>
      </w:r>
      <w:proofErr w:type="spellEnd"/>
      <w:r w:rsidRPr="00E701C0">
        <w:t xml:space="preserve"> vs. CJT Type II bit overhead under different single-shot CFO estimation and compensation conditions without averaging.</w:t>
      </w:r>
    </w:p>
    <w:p w14:paraId="48403D35" w14:textId="77777777" w:rsidR="003A2E18" w:rsidRPr="00183DA7" w:rsidRDefault="003A2E18" w:rsidP="003A2E18">
      <w:pPr>
        <w:pStyle w:val="NormalWeb"/>
        <w:spacing w:before="0" w:beforeAutospacing="0" w:after="0" w:afterAutospacing="0"/>
        <w:jc w:val="both"/>
        <w:rPr>
          <w:b/>
          <w:bCs/>
          <w:sz w:val="20"/>
          <w:szCs w:val="20"/>
          <w:lang w:val="en-GB"/>
        </w:rPr>
      </w:pPr>
    </w:p>
    <w:p w14:paraId="6378E58E" w14:textId="77777777" w:rsidR="003A2E18" w:rsidRPr="00E4065B" w:rsidRDefault="003A2E18" w:rsidP="00183DA7">
      <w:r>
        <w:t>However, the study could be extended by utilizing different simulation parameters to stress the estimation methods. For instance, one may increase ISD to increase the DO or increasing the error or maximum offset in the distributions for CFO and DO. By doing this we may see observe a larger gap between the ideal CJT case without impairments and the CJT case using a calibration quantity for estimation and compensation of the offsets.</w:t>
      </w:r>
    </w:p>
    <w:p w14:paraId="300B677B" w14:textId="77777777" w:rsidR="003A2E18" w:rsidRPr="00F97CE7" w:rsidRDefault="003A2E18" w:rsidP="003A2E18">
      <w:pPr>
        <w:pStyle w:val="NormalWeb"/>
        <w:spacing w:before="0" w:beforeAutospacing="0" w:after="0" w:afterAutospacing="0"/>
        <w:jc w:val="both"/>
        <w:rPr>
          <w:b/>
          <w:bCs/>
          <w:i/>
          <w:iCs/>
          <w:sz w:val="20"/>
          <w:szCs w:val="20"/>
        </w:rPr>
      </w:pPr>
    </w:p>
    <w:p w14:paraId="408DACEE" w14:textId="2FF4497D" w:rsidR="003A2E18" w:rsidRPr="00F97CE7" w:rsidRDefault="009F7D52" w:rsidP="00183DA7">
      <w:pPr>
        <w:pStyle w:val="RAN4proposal"/>
      </w:pPr>
      <w:bookmarkStart w:id="27" w:name="_Toc181882790"/>
      <w:r>
        <w:t>S</w:t>
      </w:r>
      <w:r w:rsidR="003A2E18" w:rsidRPr="00F97CE7">
        <w:t>tudy new scenarios in which the simulation parameters could be stressed to see a potential room for improvement and</w:t>
      </w:r>
      <w:r w:rsidR="003A2E18">
        <w:t xml:space="preserve"> then</w:t>
      </w:r>
      <w:r w:rsidR="003A2E18" w:rsidRPr="00F97CE7">
        <w:t xml:space="preserve"> time averaging could be used</w:t>
      </w:r>
      <w:r w:rsidR="003A2E18">
        <w:t xml:space="preserve"> and properly justified</w:t>
      </w:r>
      <w:r w:rsidR="003A2E18" w:rsidRPr="00F97CE7">
        <w:t>.</w:t>
      </w:r>
      <w:bookmarkEnd w:id="27"/>
    </w:p>
    <w:p w14:paraId="162FF8BC" w14:textId="77777777" w:rsidR="003A2E18" w:rsidRDefault="003A2E18" w:rsidP="00183DA7">
      <w:r>
        <w:t xml:space="preserve">The previous examples for DO and CFO CJT calibration have a point in common. They can be measured and reported at one side of the communication link, more particularly at the UE side. Thus, we may say that DO and CFO CJT calculations are one-sided estimation cases. For the case of UL/DL PO CJT calibration the situation is a bit more complicated as part of the phase measurements and calculations can be carried out in the UE with CSI-RS and another part of these measurements and calculations need to be run in the NW side based on the SRS measurements received from the UE. </w:t>
      </w:r>
    </w:p>
    <w:p w14:paraId="496608B5" w14:textId="77777777" w:rsidR="003A2E18" w:rsidRDefault="003A2E18" w:rsidP="00183DA7">
      <w:pPr>
        <w:rPr>
          <w:rFonts w:eastAsiaTheme="minorEastAsia"/>
        </w:rPr>
      </w:pPr>
      <w:r>
        <w:t xml:space="preserve">During the RAN 1 studies different type of averaging have been explored for UL/DL PO CJT. In frequency domain, as matter of fact initially the method was conceived to be wideband (averaging in frequency). However, </w:t>
      </w:r>
      <w:proofErr w:type="gramStart"/>
      <w:r>
        <w:t>i</w:t>
      </w:r>
      <w:r>
        <w:rPr>
          <w:rFonts w:eastAsiaTheme="minorEastAsia"/>
        </w:rPr>
        <w:t>n order to</w:t>
      </w:r>
      <w:proofErr w:type="gramEnd"/>
      <w:r>
        <w:rPr>
          <w:rFonts w:eastAsiaTheme="minorEastAsia"/>
        </w:rPr>
        <w:t xml:space="preserve"> improve the method in presence of increased delay spread across TRP measurements, a </w:t>
      </w:r>
      <w:proofErr w:type="spellStart"/>
      <w:r>
        <w:rPr>
          <w:rFonts w:eastAsiaTheme="minorEastAsia"/>
        </w:rPr>
        <w:t>subband</w:t>
      </w:r>
      <w:proofErr w:type="spellEnd"/>
      <w:r>
        <w:rPr>
          <w:rFonts w:eastAsiaTheme="minorEastAsia"/>
        </w:rPr>
        <w:t xml:space="preserve"> reporting alternative was proposed to report multiple PO values for different sub-bands and tackle the frequency selectivity.</w:t>
      </w:r>
      <w:r>
        <w:t xml:space="preserve"> On the other hand, measurements with different number of SRS antenna ports, i.e.,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&gt;1</m:t>
        </m:r>
      </m:oMath>
      <w:r>
        <w:rPr>
          <w:rFonts w:eastAsiaTheme="minorEastAsia"/>
        </w:rPr>
        <w:t xml:space="preserve"> were proposed to increase the accuracy and robustness against noise (antenna domain averaging). However, there was no strong evidence to support that antenna domain averaging would provide gains. As a </w:t>
      </w:r>
      <w:proofErr w:type="gramStart"/>
      <w:r>
        <w:rPr>
          <w:rFonts w:eastAsiaTheme="minorEastAsia"/>
        </w:rPr>
        <w:t>result</w:t>
      </w:r>
      <w:proofErr w:type="gramEnd"/>
      <w:r>
        <w:rPr>
          <w:rFonts w:eastAsiaTheme="minorEastAsia"/>
        </w:rPr>
        <w:t xml:space="preserve"> the UL/DL PO estimation method agreed in RAN1 requires only one UE antenna, i.e.,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=1</m:t>
        </m:r>
      </m:oMath>
      <w:r>
        <w:rPr>
          <w:rFonts w:eastAsiaTheme="minorEastAsia"/>
        </w:rPr>
        <w:t xml:space="preserve">.  </w:t>
      </w:r>
    </w:p>
    <w:p w14:paraId="6A68DB5F" w14:textId="352E4683" w:rsidR="003A2E18" w:rsidRDefault="003A2E18" w:rsidP="00183DA7">
      <w:r>
        <w:t>Besides antenna averaging, there are other mechanisms that can be studied to improve performance with PO calibration. For instance, another way to combat the effect of SRS noise might be the time averaging. In the simulation from Fig. 3 we have somehow managed to obtain a good estimation and compensation, because we have limited the ISD to only 200m. However, for larger ISD the impact of noise in the measurements and estimations may result in degraded performance. The SRS in comparison to CSI-RS exhibits lower values of SNR with approximately 20dB gap due to the existing UL/DL power imbalance. Thus, SNR will be worse if the ISD is increased as users might be located at a longer distance from the associated TRPs.</w:t>
      </w:r>
    </w:p>
    <w:p w14:paraId="6BB6A5C7" w14:textId="2FBDF0F7" w:rsidR="009F7D52" w:rsidRDefault="003A2E18" w:rsidP="00FC5C61">
      <w:pPr>
        <w:pStyle w:val="NormalWeb"/>
        <w:jc w:val="center"/>
        <w:rPr>
          <w:rFonts w:eastAsiaTheme="minorEastAsia"/>
          <w:b/>
          <w:sz w:val="20"/>
        </w:rPr>
      </w:pPr>
      <w:r>
        <w:rPr>
          <w:noProof/>
          <w:lang w:eastAsia="de-DE"/>
        </w:rPr>
        <w:lastRenderedPageBreak/>
        <w:drawing>
          <wp:inline distT="0" distB="0" distL="0" distR="0" wp14:anchorId="663DF7DF" wp14:editId="075E72CD">
            <wp:extent cx="5037576" cy="2263786"/>
            <wp:effectExtent l="0" t="0" r="0" b="3175"/>
            <wp:docPr id="1"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bar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037576" cy="2263786"/>
                    </a:xfrm>
                    <a:prstGeom prst="rect">
                      <a:avLst/>
                    </a:prstGeom>
                    <a:noFill/>
                    <a:ln>
                      <a:noFill/>
                    </a:ln>
                  </pic:spPr>
                </pic:pic>
              </a:graphicData>
            </a:graphic>
          </wp:inline>
        </w:drawing>
      </w:r>
      <w:bookmarkStart w:id="28" w:name="_Ref174100079"/>
    </w:p>
    <w:p w14:paraId="53B4C0A0" w14:textId="5BE1200D" w:rsidR="003A2E18" w:rsidRPr="00386EAC" w:rsidRDefault="00FC5C61" w:rsidP="00183DA7">
      <w:pPr>
        <w:pStyle w:val="Caption"/>
        <w:rPr>
          <w:rFonts w:eastAsiaTheme="minorEastAsia"/>
          <w:b/>
          <w:sz w:val="20"/>
        </w:rPr>
      </w:pPr>
      <w:r>
        <w:t xml:space="preserve">Figure </w:t>
      </w:r>
      <w:r>
        <w:fldChar w:fldCharType="begin"/>
      </w:r>
      <w:r>
        <w:instrText xml:space="preserve"> SEQ Figure \* ARABIC </w:instrText>
      </w:r>
      <w:r>
        <w:fldChar w:fldCharType="separate"/>
      </w:r>
      <w:r w:rsidR="00943365">
        <w:rPr>
          <w:noProof/>
        </w:rPr>
        <w:t>4</w:t>
      </w:r>
      <w:r>
        <w:fldChar w:fldCharType="end"/>
      </w:r>
      <w:r w:rsidR="005035E0">
        <w:t xml:space="preserve"> </w:t>
      </w:r>
      <w:r w:rsidR="005035E0" w:rsidRPr="005035E0">
        <w:t>Comparison between wideband PO calculation measured from one UE antenna. Network implementation with non-</w:t>
      </w:r>
      <w:proofErr w:type="spellStart"/>
      <w:r w:rsidR="005035E0" w:rsidRPr="005035E0">
        <w:t>precoded</w:t>
      </w:r>
      <w:proofErr w:type="spellEnd"/>
      <w:r w:rsidR="005035E0" w:rsidRPr="005035E0">
        <w:t xml:space="preserve"> CSI-RS for calibration measurement and ISD = 200 m.</w:t>
      </w:r>
      <w:bookmarkStart w:id="29" w:name="_Hlk181876863"/>
      <w:bookmarkEnd w:id="28"/>
    </w:p>
    <w:bookmarkEnd w:id="29"/>
    <w:p w14:paraId="584E904B" w14:textId="77777777" w:rsidR="003A2E18" w:rsidRDefault="003A2E18" w:rsidP="003A2E18">
      <w:pPr>
        <w:jc w:val="both"/>
        <w:rPr>
          <w:lang w:val="en-US"/>
        </w:rPr>
      </w:pPr>
      <w:r>
        <w:rPr>
          <w:lang w:val="en-US"/>
        </w:rPr>
        <w:t xml:space="preserve">Different mechanisms of time averaging at the UE and NW side can take place. For instance, one question would be: are several PO measurements in time to be UE reported and the time averaging takes place in the NW side? In that case, the number of estimations to be sent must be determined and configured in the UE </w:t>
      </w:r>
      <w:proofErr w:type="gramStart"/>
      <w:r>
        <w:rPr>
          <w:lang w:val="en-US"/>
        </w:rPr>
        <w:t>in order to</w:t>
      </w:r>
      <w:proofErr w:type="gramEnd"/>
      <w:r>
        <w:rPr>
          <w:lang w:val="en-US"/>
        </w:rPr>
        <w:t xml:space="preserve"> send these PO estimates toward the NW. However, one disadvantage of this option is the fact that quantization could introduce some </w:t>
      </w:r>
      <w:proofErr w:type="gramStart"/>
      <w:r>
        <w:rPr>
          <w:lang w:val="en-US"/>
        </w:rPr>
        <w:t>error</w:t>
      </w:r>
      <w:proofErr w:type="gramEnd"/>
      <w:r>
        <w:rPr>
          <w:lang w:val="en-US"/>
        </w:rPr>
        <w:t xml:space="preserve"> and it requires more bit overhead than a single time CJT calibration report. Alternatively, these measurements could be instead buffered in the UE and the NW </w:t>
      </w:r>
      <w:proofErr w:type="gramStart"/>
      <w:r>
        <w:rPr>
          <w:lang w:val="en-US"/>
        </w:rPr>
        <w:t>in order to</w:t>
      </w:r>
      <w:proofErr w:type="gramEnd"/>
      <w:r>
        <w:rPr>
          <w:lang w:val="en-US"/>
        </w:rPr>
        <w:t xml:space="preserve"> exchange a single CJT PO estimate of an averaged value in the UE. As depicted in Fig. 4, the buffering could happen after the CJT calibration triggering and thus the UE and NW sends SRS and CSI-RS respectively by means of periodic/semi-persistent schemes to enable </w:t>
      </w:r>
      <w:proofErr w:type="gramStart"/>
      <w:r>
        <w:rPr>
          <w:lang w:val="en-US"/>
        </w:rPr>
        <w:t>a number of</w:t>
      </w:r>
      <w:proofErr w:type="gramEnd"/>
      <w:r>
        <w:rPr>
          <w:lang w:val="en-US"/>
        </w:rPr>
        <w:t xml:space="preserve"> measurements for UL and DL estimations. The number of measurements to take at each side and other averaging related parameters might be needed to be signaled to the UE and sent from the NW. Otherwise the buffering could start </w:t>
      </w:r>
      <w:proofErr w:type="gramStart"/>
      <w:r>
        <w:rPr>
          <w:lang w:val="en-US"/>
        </w:rPr>
        <w:t>before</w:t>
      </w:r>
      <w:proofErr w:type="gramEnd"/>
      <w:r>
        <w:rPr>
          <w:lang w:val="en-US"/>
        </w:rPr>
        <w:t xml:space="preserve"> and the CSI-RS and SRS might have been preconfigured before the triggering. </w:t>
      </w:r>
      <w:proofErr w:type="gramStart"/>
      <w:r>
        <w:rPr>
          <w:lang w:val="en-US"/>
        </w:rPr>
        <w:t>Also</w:t>
      </w:r>
      <w:proofErr w:type="gramEnd"/>
      <w:r>
        <w:rPr>
          <w:lang w:val="en-US"/>
        </w:rPr>
        <w:t xml:space="preserve"> in this case the NW must indicate the number of measurements to include in the time-averaging and any other related parameters. Notice that in any of the previously mentioned possible implementations, a pairing/linkage in time domain is required between pairs of CSI-RS/SRS transmission occasions </w:t>
      </w:r>
      <w:proofErr w:type="gramStart"/>
      <w:r>
        <w:rPr>
          <w:lang w:val="en-US"/>
        </w:rPr>
        <w:t>in order to</w:t>
      </w:r>
      <w:proofErr w:type="gramEnd"/>
      <w:r>
        <w:rPr>
          <w:lang w:val="en-US"/>
        </w:rPr>
        <w:t xml:space="preserve"> have a consistent final PO estimate from the averaged UL and DL measurements. This means that each pair of CSI-RS/SRS must be located the closest possible to each other. </w:t>
      </w:r>
    </w:p>
    <w:p w14:paraId="590262BD" w14:textId="470F89A3" w:rsidR="003A2E18" w:rsidRPr="00F97CE7" w:rsidRDefault="003A2E18" w:rsidP="00FB195F">
      <w:pPr>
        <w:pStyle w:val="RAN4Observation"/>
        <w:ind w:left="426"/>
      </w:pPr>
      <w:r>
        <w:t xml:space="preserve">In contrast to the DO and CFO estimations which only requires estimations at UE </w:t>
      </w:r>
      <w:proofErr w:type="gramStart"/>
      <w:r>
        <w:t xml:space="preserve">side,  </w:t>
      </w:r>
      <w:r w:rsidRPr="00F97CE7">
        <w:t xml:space="preserve"> </w:t>
      </w:r>
      <w:proofErr w:type="gramEnd"/>
      <w:r>
        <w:t>UL/DL PO</w:t>
      </w:r>
      <w:r w:rsidRPr="00F97CE7">
        <w:t xml:space="preserve"> CJT </w:t>
      </w:r>
      <w:r>
        <w:t xml:space="preserve">estimation and </w:t>
      </w:r>
      <w:r w:rsidRPr="00F97CE7">
        <w:t xml:space="preserve">compensation </w:t>
      </w:r>
      <w:r>
        <w:t xml:space="preserve">requires measurements and calculations both in the UE and the NW side. Therefore, if time-averaging is used there should be consistency for the calculation. </w:t>
      </w:r>
    </w:p>
    <w:p w14:paraId="4B92D02A" w14:textId="77777777" w:rsidR="003A2E18" w:rsidRPr="00F97CE7" w:rsidRDefault="003A2E18" w:rsidP="003A2E18">
      <w:pPr>
        <w:pStyle w:val="NormalWeb"/>
        <w:spacing w:before="0" w:beforeAutospacing="0" w:after="0" w:afterAutospacing="0"/>
        <w:jc w:val="both"/>
        <w:rPr>
          <w:b/>
          <w:bCs/>
          <w:i/>
          <w:iCs/>
          <w:sz w:val="20"/>
          <w:szCs w:val="20"/>
        </w:rPr>
      </w:pPr>
    </w:p>
    <w:p w14:paraId="5A48BD7D" w14:textId="101017B0" w:rsidR="003A2E18" w:rsidRPr="00F97CE7" w:rsidRDefault="003A2E18" w:rsidP="00183DA7">
      <w:pPr>
        <w:pStyle w:val="RAN4proposal"/>
      </w:pPr>
      <w:bookmarkStart w:id="30" w:name="_Toc181882791"/>
      <w:r>
        <w:t xml:space="preserve">For UL/DL PO CJT estimation and compensation with time-averaging, further study the necessary NW configuration </w:t>
      </w:r>
      <w:proofErr w:type="spellStart"/>
      <w:r>
        <w:t>signaling</w:t>
      </w:r>
      <w:proofErr w:type="spellEnd"/>
      <w:r>
        <w:t xml:space="preserve"> to ensure consistent averaging parameters at both sides.</w:t>
      </w:r>
      <w:bookmarkEnd w:id="30"/>
    </w:p>
    <w:p w14:paraId="339A4345" w14:textId="77777777" w:rsidR="003A2E18" w:rsidRDefault="003A2E18" w:rsidP="003A2E18">
      <w:pPr>
        <w:jc w:val="both"/>
        <w:rPr>
          <w:lang w:val="en-US"/>
        </w:rPr>
      </w:pPr>
    </w:p>
    <w:p w14:paraId="40138642" w14:textId="77777777" w:rsidR="003A2E18" w:rsidRDefault="003A2E18" w:rsidP="003A2E18">
      <w:pPr>
        <w:jc w:val="center"/>
        <w:rPr>
          <w:lang w:val="en-US"/>
        </w:rPr>
      </w:pPr>
      <w:r>
        <w:rPr>
          <w:noProof/>
        </w:rPr>
        <w:lastRenderedPageBreak/>
        <w:drawing>
          <wp:inline distT="0" distB="0" distL="0" distR="0" wp14:anchorId="2904B523" wp14:editId="34A5B60A">
            <wp:extent cx="5266481" cy="3122295"/>
            <wp:effectExtent l="0" t="0" r="0" b="0"/>
            <wp:docPr id="57059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1166" cy="3166573"/>
                    </a:xfrm>
                    <a:prstGeom prst="rect">
                      <a:avLst/>
                    </a:prstGeom>
                    <a:noFill/>
                    <a:ln>
                      <a:noFill/>
                    </a:ln>
                  </pic:spPr>
                </pic:pic>
              </a:graphicData>
            </a:graphic>
          </wp:inline>
        </w:drawing>
      </w:r>
    </w:p>
    <w:p w14:paraId="672BD106" w14:textId="1787D706" w:rsidR="00DF6595" w:rsidRPr="00DF6595" w:rsidRDefault="00943365" w:rsidP="00183DA7">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rsidRPr="00943365">
        <w:t xml:space="preserve"> Illustration of CSI-RS and SRS transmissions for (a) when the measurements are collected and averaged after the triggering and (b) when the measurements are collected and averaged before the triggering.</w:t>
      </w:r>
    </w:p>
    <w:p w14:paraId="4E51D99D" w14:textId="77777777" w:rsidR="00CD7492" w:rsidRPr="00614DD8" w:rsidRDefault="00CD7492" w:rsidP="00A37002">
      <w:pPr>
        <w:pStyle w:val="RAN4H1"/>
        <w:rPr>
          <w:lang w:val="en-US"/>
        </w:rPr>
      </w:pPr>
      <w:r w:rsidRPr="00614DD8">
        <w:rPr>
          <w:lang w:val="en-US"/>
        </w:rPr>
        <w:t>Conclusion</w:t>
      </w:r>
      <w:bookmarkEnd w:id="4"/>
    </w:p>
    <w:bookmarkEnd w:id="24"/>
    <w:p w14:paraId="6DE21472" w14:textId="28AEF508" w:rsidR="00381F95" w:rsidRDefault="00936782" w:rsidP="00936159">
      <w:pPr>
        <w:rPr>
          <w:lang w:val="en-US"/>
        </w:rPr>
      </w:pPr>
      <w:r>
        <w:rPr>
          <w:lang w:val="en-US"/>
        </w:rPr>
        <w:t>In this paper,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6F494FDA" w14:textId="77777777" w:rsidR="00FB58AA" w:rsidRPr="0085416E" w:rsidRDefault="00FB58AA" w:rsidP="00FB58AA">
      <w:pPr>
        <w:rPr>
          <w:b/>
          <w:bCs/>
          <w:lang w:val="en-US"/>
        </w:rPr>
      </w:pPr>
      <w:r w:rsidRPr="0085416E">
        <w:rPr>
          <w:b/>
          <w:bCs/>
          <w:lang w:val="en-US"/>
        </w:rPr>
        <w:t xml:space="preserve">Proposal 1: Existing RRM requirements with single TA apply for asymmetric DL </w:t>
      </w:r>
      <w:proofErr w:type="spellStart"/>
      <w:r w:rsidRPr="0085416E">
        <w:rPr>
          <w:b/>
          <w:bCs/>
          <w:lang w:val="en-US"/>
        </w:rPr>
        <w:t>sTRP</w:t>
      </w:r>
      <w:proofErr w:type="spellEnd"/>
      <w:r w:rsidRPr="0085416E">
        <w:rPr>
          <w:b/>
          <w:bCs/>
          <w:lang w:val="en-US"/>
        </w:rPr>
        <w:t xml:space="preserve">/UL </w:t>
      </w:r>
      <w:proofErr w:type="spellStart"/>
      <w:r w:rsidRPr="0085416E">
        <w:rPr>
          <w:b/>
          <w:bCs/>
          <w:lang w:val="en-US"/>
        </w:rPr>
        <w:t>mTRP</w:t>
      </w:r>
      <w:proofErr w:type="spellEnd"/>
      <w:r w:rsidRPr="0085416E">
        <w:rPr>
          <w:b/>
          <w:bCs/>
          <w:lang w:val="en-US"/>
        </w:rPr>
        <w:t xml:space="preserve"> deployment.</w:t>
      </w:r>
    </w:p>
    <w:p w14:paraId="6A895747" w14:textId="77777777" w:rsidR="00FB58AA" w:rsidRPr="00FB58AA" w:rsidRDefault="00FB58AA" w:rsidP="00FB58AA">
      <w:pPr>
        <w:rPr>
          <w:lang w:val="en-US"/>
        </w:rPr>
      </w:pPr>
      <w:r w:rsidRPr="00FB58AA">
        <w:rPr>
          <w:lang w:val="en-US"/>
        </w:rPr>
        <w:t>Observation 1: RAN1 agreements do not preclude case that two TAs with single-DCI is used with two TRPs each transmitting DL RS.</w:t>
      </w:r>
    </w:p>
    <w:p w14:paraId="31E62D03" w14:textId="7407952E" w:rsidR="00FB58AA" w:rsidRPr="00FB58AA" w:rsidRDefault="0085416E" w:rsidP="00FB58AA">
      <w:pPr>
        <w:rPr>
          <w:lang w:val="en-US"/>
        </w:rPr>
      </w:pPr>
      <w:r>
        <w:rPr>
          <w:lang w:val="en-US"/>
        </w:rPr>
        <w:t>Observation 2:</w:t>
      </w:r>
      <w:r w:rsidR="00FB58AA" w:rsidRPr="00FB58AA">
        <w:rPr>
          <w:lang w:val="en-US"/>
        </w:rPr>
        <w:t xml:space="preserve"> If only one DL reference timing is used for single-DCI with two TAs, there is an ambiguity on the reference timing if both TRPs send SSB.</w:t>
      </w:r>
    </w:p>
    <w:p w14:paraId="195C0055" w14:textId="77777777" w:rsidR="00FB58AA" w:rsidRPr="0085416E" w:rsidRDefault="00FB58AA" w:rsidP="00FB58AA">
      <w:pPr>
        <w:rPr>
          <w:b/>
          <w:bCs/>
          <w:lang w:val="en-US"/>
        </w:rPr>
      </w:pPr>
      <w:r w:rsidRPr="0085416E">
        <w:rPr>
          <w:b/>
          <w:bCs/>
          <w:lang w:val="en-US"/>
        </w:rPr>
        <w:t>Proposal 2: Specify the conditions under which a UE shall monitor one or two DL reference timings for single-DCI multi-TRP with two TAs enhancement.</w:t>
      </w:r>
    </w:p>
    <w:p w14:paraId="79857DEA" w14:textId="77777777" w:rsidR="00FB58AA" w:rsidRPr="00FB58AA" w:rsidRDefault="00FB58AA" w:rsidP="00FB58AA">
      <w:pPr>
        <w:rPr>
          <w:lang w:val="en-US"/>
        </w:rPr>
      </w:pPr>
      <w:r w:rsidRPr="00FB58AA">
        <w:rPr>
          <w:lang w:val="en-US"/>
        </w:rPr>
        <w:t xml:space="preserve">Observation 3: Since existing Rel-17 unified TCI/ICBM and Rel-18 unified TCI framework is to be reused for asymmetric DL </w:t>
      </w:r>
      <w:proofErr w:type="spellStart"/>
      <w:r w:rsidRPr="00FB58AA">
        <w:rPr>
          <w:lang w:val="en-US"/>
        </w:rPr>
        <w:t>sTRP</w:t>
      </w:r>
      <w:proofErr w:type="spellEnd"/>
      <w:r w:rsidRPr="00FB58AA">
        <w:rPr>
          <w:lang w:val="en-US"/>
        </w:rPr>
        <w:t xml:space="preserve">/UL </w:t>
      </w:r>
      <w:proofErr w:type="spellStart"/>
      <w:r w:rsidRPr="00FB58AA">
        <w:rPr>
          <w:lang w:val="en-US"/>
        </w:rPr>
        <w:t>mTRP</w:t>
      </w:r>
      <w:proofErr w:type="spellEnd"/>
      <w:r w:rsidRPr="00FB58AA">
        <w:rPr>
          <w:lang w:val="en-US"/>
        </w:rPr>
        <w:t>, there is no change in DL and UL TCI state switch delay requirements.</w:t>
      </w:r>
    </w:p>
    <w:p w14:paraId="113C6D53" w14:textId="77777777" w:rsidR="00FB58AA" w:rsidRPr="00D60B69" w:rsidRDefault="00FB58AA" w:rsidP="00FB58AA">
      <w:pPr>
        <w:rPr>
          <w:b/>
          <w:bCs/>
          <w:lang w:val="en-US"/>
        </w:rPr>
      </w:pPr>
      <w:r w:rsidRPr="00D60B69">
        <w:rPr>
          <w:b/>
          <w:bCs/>
          <w:lang w:val="en-US"/>
        </w:rPr>
        <w:t xml:space="preserve">Proposal 3: For the asymmetric DL/UL scenario, reuse Rel-17 and Rel-18 unified TCI single-DCI </w:t>
      </w:r>
      <w:proofErr w:type="spellStart"/>
      <w:r w:rsidRPr="00D60B69">
        <w:rPr>
          <w:b/>
          <w:bCs/>
          <w:lang w:val="en-US"/>
        </w:rPr>
        <w:t>mTRP</w:t>
      </w:r>
      <w:proofErr w:type="spellEnd"/>
      <w:r w:rsidRPr="00D60B69">
        <w:rPr>
          <w:b/>
          <w:bCs/>
          <w:lang w:val="en-US"/>
        </w:rPr>
        <w:t xml:space="preserve"> TCI state switching delay requirements for DL and UL TCI state switch.</w:t>
      </w:r>
    </w:p>
    <w:p w14:paraId="563AD19B" w14:textId="77777777" w:rsidR="00FB58AA" w:rsidRPr="00FB58AA" w:rsidRDefault="00FB58AA" w:rsidP="00FB58AA">
      <w:pPr>
        <w:rPr>
          <w:lang w:val="en-US"/>
        </w:rPr>
      </w:pPr>
      <w:r w:rsidRPr="00FB58AA">
        <w:rPr>
          <w:lang w:val="en-US"/>
        </w:rPr>
        <w:t>Observation 4: Existing Rel-17 and Rel-18 unified TCI switching requirements are not applicable for target TCI state without DL reference signal.</w:t>
      </w:r>
    </w:p>
    <w:p w14:paraId="298819F3" w14:textId="77777777" w:rsidR="00FB58AA" w:rsidRPr="00FB58AA" w:rsidRDefault="00FB58AA" w:rsidP="00FB58AA">
      <w:pPr>
        <w:rPr>
          <w:lang w:val="en-US"/>
        </w:rPr>
      </w:pPr>
      <w:r w:rsidRPr="00FB58AA">
        <w:rPr>
          <w:lang w:val="en-US"/>
        </w:rPr>
        <w:t xml:space="preserve">Observation 5: In the case of asymmetric DL </w:t>
      </w:r>
      <w:proofErr w:type="spellStart"/>
      <w:r w:rsidRPr="00FB58AA">
        <w:rPr>
          <w:lang w:val="en-US"/>
        </w:rPr>
        <w:t>sTRP</w:t>
      </w:r>
      <w:proofErr w:type="spellEnd"/>
      <w:r w:rsidRPr="00FB58AA">
        <w:rPr>
          <w:lang w:val="en-US"/>
        </w:rPr>
        <w:t xml:space="preserve">/UL </w:t>
      </w:r>
      <w:proofErr w:type="spellStart"/>
      <w:r w:rsidRPr="00FB58AA">
        <w:rPr>
          <w:lang w:val="en-US"/>
        </w:rPr>
        <w:t>mTRP</w:t>
      </w:r>
      <w:proofErr w:type="spellEnd"/>
      <w:r w:rsidRPr="00FB58AA">
        <w:rPr>
          <w:lang w:val="en-US"/>
        </w:rPr>
        <w:t>, since the uplink only TRP does not transmit any downlink reference signal, the existing Rel-18 requirements cannot be reused without changing the applicability of the uplink TCI state switch requirements.</w:t>
      </w:r>
    </w:p>
    <w:p w14:paraId="655855AB" w14:textId="77777777" w:rsidR="00FB58AA" w:rsidRPr="00F64787" w:rsidRDefault="00FB58AA" w:rsidP="00FB58AA">
      <w:pPr>
        <w:rPr>
          <w:b/>
          <w:bCs/>
          <w:lang w:val="en-US"/>
        </w:rPr>
      </w:pPr>
      <w:r w:rsidRPr="00F64787">
        <w:rPr>
          <w:b/>
          <w:bCs/>
          <w:lang w:val="en-US"/>
        </w:rPr>
        <w:t>Proposal 4: Update the unified UL TCI state switching delay requirements to be applicable when the target UL TCI state is associated with an uplink reference signal.</w:t>
      </w:r>
    </w:p>
    <w:p w14:paraId="08DB6B86" w14:textId="77777777" w:rsidR="00FB58AA" w:rsidRPr="00FB58AA" w:rsidRDefault="00FB58AA" w:rsidP="00FB58AA">
      <w:pPr>
        <w:rPr>
          <w:lang w:val="en-US"/>
        </w:rPr>
      </w:pPr>
      <w:r w:rsidRPr="00FB58AA">
        <w:rPr>
          <w:lang w:val="en-US"/>
        </w:rPr>
        <w:t>Observation 6: Legacy uplink TCI state switching delay requirements are based on a TCI state switch being known or unknown.</w:t>
      </w:r>
    </w:p>
    <w:p w14:paraId="64B8A475" w14:textId="77777777" w:rsidR="00FB58AA" w:rsidRPr="00FB58AA" w:rsidRDefault="00FB58AA" w:rsidP="00FB58AA">
      <w:pPr>
        <w:rPr>
          <w:lang w:val="en-US"/>
        </w:rPr>
      </w:pPr>
      <w:r w:rsidRPr="00FB58AA">
        <w:rPr>
          <w:lang w:val="en-US"/>
        </w:rPr>
        <w:t>Observation 7: Conditions defined for a TCI state to be considered as known or unknown are based on a recent measurement of a downlink reference signal.</w:t>
      </w:r>
    </w:p>
    <w:p w14:paraId="1A89FFDD" w14:textId="77777777" w:rsidR="00FB58AA" w:rsidRPr="00FB58AA" w:rsidRDefault="00FB58AA" w:rsidP="00FB58AA">
      <w:pPr>
        <w:rPr>
          <w:lang w:val="en-US"/>
        </w:rPr>
      </w:pPr>
      <w:r w:rsidRPr="00FB58AA">
        <w:rPr>
          <w:lang w:val="en-US"/>
        </w:rPr>
        <w:lastRenderedPageBreak/>
        <w:t>Observation 8: For an uplink only TRP, since there is no downlink reference signal being transmitted, the legacy known/unknown conditions cannot be reused.</w:t>
      </w:r>
    </w:p>
    <w:p w14:paraId="3B296F38" w14:textId="77777777" w:rsidR="00FB58AA" w:rsidRDefault="00FB58AA" w:rsidP="00FB58AA">
      <w:pPr>
        <w:rPr>
          <w:b/>
          <w:bCs/>
          <w:lang w:val="en-US"/>
        </w:rPr>
      </w:pPr>
      <w:r w:rsidRPr="00EC4108">
        <w:rPr>
          <w:b/>
          <w:bCs/>
          <w:lang w:val="en-US"/>
        </w:rPr>
        <w:t>Proposal 5: RAN4 to define UL TCI state switch delay requirements for an uplink only TRP with no distinction between known and unknown TCI state.</w:t>
      </w:r>
    </w:p>
    <w:p w14:paraId="0EA663A7" w14:textId="237EAF15" w:rsidR="00725F4C" w:rsidRPr="00725F4C" w:rsidRDefault="00725F4C" w:rsidP="00FB58AA">
      <w:r w:rsidRPr="00725F4C">
        <w:t xml:space="preserve">Observation </w:t>
      </w:r>
      <w:r>
        <w:t>9</w:t>
      </w:r>
      <w:r w:rsidRPr="00725F4C">
        <w:t>: Based on our initial simulations, DO and CFO CJT estimation and compensation seem to count already with a good performance with single shot, which does not give the room for improvement to introduce time averaging.</w:t>
      </w:r>
    </w:p>
    <w:p w14:paraId="3F9C7815" w14:textId="77777777" w:rsidR="00FB58AA" w:rsidRPr="00FB195F" w:rsidRDefault="00FB58AA" w:rsidP="00FB58AA">
      <w:pPr>
        <w:rPr>
          <w:b/>
          <w:bCs/>
          <w:lang w:val="en-US"/>
        </w:rPr>
      </w:pPr>
      <w:r w:rsidRPr="00FB195F">
        <w:rPr>
          <w:b/>
          <w:bCs/>
          <w:lang w:val="en-US"/>
        </w:rPr>
        <w:t>Proposal 6: Study new scenarios in which the simulation parameters could be stressed to see a potential room for improvement and then time averaging could be used and properly justified.</w:t>
      </w:r>
    </w:p>
    <w:p w14:paraId="4ECBE8FB" w14:textId="331A21D1" w:rsidR="00FB195F" w:rsidRPr="00FB195F" w:rsidRDefault="00FB195F" w:rsidP="00FB58AA">
      <w:r w:rsidRPr="00FB195F">
        <w:t>Observation 1</w:t>
      </w:r>
      <w:r>
        <w:t>0</w:t>
      </w:r>
      <w:r w:rsidRPr="00FB195F">
        <w:t xml:space="preserve">: In contrast to the DO and CFO estimations which only requires estimations at UE </w:t>
      </w:r>
      <w:proofErr w:type="gramStart"/>
      <w:r w:rsidRPr="00FB195F">
        <w:t xml:space="preserve">side,   </w:t>
      </w:r>
      <w:proofErr w:type="gramEnd"/>
      <w:r w:rsidRPr="00FB195F">
        <w:t>UL/DL PO CJT estimation and compensation requires measurements and calculations both in the UE and the NW side. Therefore, if time-averaging is used there should be consistency for the calculation.</w:t>
      </w:r>
    </w:p>
    <w:p w14:paraId="44677F5F" w14:textId="25E49F9C" w:rsidR="00FB58AA" w:rsidRPr="00FB195F" w:rsidRDefault="00FB58AA" w:rsidP="00FB58AA">
      <w:pPr>
        <w:rPr>
          <w:b/>
          <w:bCs/>
          <w:lang w:val="en-US"/>
        </w:rPr>
      </w:pPr>
      <w:r w:rsidRPr="00FB195F">
        <w:rPr>
          <w:b/>
          <w:bCs/>
          <w:lang w:val="en-US"/>
        </w:rPr>
        <w:t>Proposal 7: For UL/DL PO CJT estimation and compensation with time-averaging, further study the necessary NW configuration signaling to ensure consistent averaging parameters at both sides.</w:t>
      </w:r>
    </w:p>
    <w:p w14:paraId="73CBC02B" w14:textId="757C8BD7" w:rsidR="00847264" w:rsidRPr="00614DD8" w:rsidRDefault="00847264" w:rsidP="008C39F7">
      <w:pPr>
        <w:rPr>
          <w:lang w:val="en-US"/>
        </w:rPr>
      </w:pPr>
      <w:bookmarkStart w:id="31"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1"/>
    </w:p>
    <w:p w14:paraId="3B25B8E9" w14:textId="005B7C1D" w:rsidR="00595F62" w:rsidRDefault="00F00041" w:rsidP="00DA2B9E">
      <w:pPr>
        <w:pStyle w:val="ListParagraph"/>
        <w:numPr>
          <w:ilvl w:val="0"/>
          <w:numId w:val="5"/>
        </w:numPr>
        <w:ind w:right="-22"/>
        <w:rPr>
          <w:lang w:val="en-US"/>
        </w:rPr>
      </w:pPr>
      <w:bookmarkStart w:id="32" w:name="_Ref114500673"/>
      <w:bookmarkStart w:id="33" w:name="_Ref178151194"/>
      <w:bookmarkEnd w:id="32"/>
      <w:r w:rsidRPr="00F00041">
        <w:rPr>
          <w:lang w:val="en-US"/>
        </w:rPr>
        <w:t>R4-2416921</w:t>
      </w:r>
      <w:r w:rsidR="007A6B5B">
        <w:rPr>
          <w:lang w:val="en-US"/>
        </w:rPr>
        <w:t xml:space="preserve">, </w:t>
      </w:r>
      <w:r w:rsidRPr="00F00041">
        <w:rPr>
          <w:lang w:val="en-US"/>
        </w:rPr>
        <w:t>WF on RRM requirements for NR_MIMO_Ph5_Part2</w:t>
      </w:r>
      <w:r w:rsidR="00595F62">
        <w:rPr>
          <w:lang w:val="en-US"/>
        </w:rPr>
        <w:t>, RAN4#112</w:t>
      </w:r>
      <w:r>
        <w:rPr>
          <w:lang w:val="en-US"/>
        </w:rPr>
        <w:t>bis</w:t>
      </w:r>
      <w:r w:rsidR="00595F62">
        <w:rPr>
          <w:lang w:val="en-US"/>
        </w:rPr>
        <w:t xml:space="preserve">, </w:t>
      </w:r>
      <w:r w:rsidRPr="00F00041">
        <w:rPr>
          <w:lang w:val="en-US"/>
        </w:rPr>
        <w:t xml:space="preserve">Hefei, Anhui, China, 14th ‒ 18th, </w:t>
      </w:r>
      <w:proofErr w:type="gramStart"/>
      <w:r w:rsidRPr="00F00041">
        <w:rPr>
          <w:lang w:val="en-US"/>
        </w:rPr>
        <w:t>October,</w:t>
      </w:r>
      <w:proofErr w:type="gramEnd"/>
      <w:r w:rsidRPr="00F00041">
        <w:rPr>
          <w:lang w:val="en-US"/>
        </w:rPr>
        <w:t xml:space="preserve"> 2024</w:t>
      </w:r>
      <w:r w:rsidR="00595F62">
        <w:rPr>
          <w:lang w:val="en-US"/>
        </w:rPr>
        <w:t>.</w:t>
      </w:r>
      <w:bookmarkEnd w:id="33"/>
    </w:p>
    <w:p w14:paraId="774CE793" w14:textId="29D632CB" w:rsidR="00884E3A" w:rsidRPr="00595F62" w:rsidRDefault="001F5695" w:rsidP="00DA2B9E">
      <w:pPr>
        <w:pStyle w:val="ListParagraph"/>
        <w:numPr>
          <w:ilvl w:val="0"/>
          <w:numId w:val="5"/>
        </w:numPr>
        <w:ind w:right="-22"/>
        <w:rPr>
          <w:lang w:val="en-US"/>
        </w:rPr>
      </w:pPr>
      <w:bookmarkStart w:id="34" w:name="_Ref181951106"/>
      <w:r w:rsidRPr="001F5695">
        <w:rPr>
          <w:lang w:val="en-US"/>
        </w:rPr>
        <w:t>R4-2417117</w:t>
      </w:r>
      <w:r w:rsidR="007A6B5B">
        <w:rPr>
          <w:lang w:val="en-US"/>
        </w:rPr>
        <w:t xml:space="preserve">, </w:t>
      </w:r>
      <w:r w:rsidR="007A6B5B" w:rsidRPr="007A6B5B">
        <w:rPr>
          <w:lang w:val="en-US"/>
        </w:rPr>
        <w:t xml:space="preserve">LS on UE RF issues for Rel-19 MIMO enhancement, RAN4#112bis, Hefei, Anhui, China, 14th ‒ 18th, </w:t>
      </w:r>
      <w:proofErr w:type="gramStart"/>
      <w:r w:rsidR="007A6B5B" w:rsidRPr="007A6B5B">
        <w:rPr>
          <w:lang w:val="en-US"/>
        </w:rPr>
        <w:t>October,</w:t>
      </w:r>
      <w:proofErr w:type="gramEnd"/>
      <w:r w:rsidR="007A6B5B" w:rsidRPr="007A6B5B">
        <w:rPr>
          <w:lang w:val="en-US"/>
        </w:rPr>
        <w:t xml:space="preserve"> 2024</w:t>
      </w:r>
      <w:r w:rsidR="007A6B5B">
        <w:rPr>
          <w:lang w:val="en-US"/>
        </w:rPr>
        <w:t>.</w:t>
      </w:r>
      <w:bookmarkEnd w:id="34"/>
    </w:p>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88A0D" w14:textId="77777777" w:rsidR="000E0625" w:rsidRDefault="000E0625" w:rsidP="00001C9B">
      <w:pPr>
        <w:spacing w:after="0" w:line="240" w:lineRule="auto"/>
      </w:pPr>
      <w:r>
        <w:separator/>
      </w:r>
    </w:p>
  </w:endnote>
  <w:endnote w:type="continuationSeparator" w:id="0">
    <w:p w14:paraId="117BB7FC" w14:textId="77777777" w:rsidR="000E0625" w:rsidRDefault="000E0625" w:rsidP="00001C9B">
      <w:pPr>
        <w:spacing w:after="0" w:line="240" w:lineRule="auto"/>
      </w:pPr>
      <w:r>
        <w:continuationSeparator/>
      </w:r>
    </w:p>
  </w:endnote>
  <w:endnote w:type="continuationNotice" w:id="1">
    <w:p w14:paraId="11CC530E" w14:textId="77777777" w:rsidR="000E0625" w:rsidRDefault="000E0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86AC5" w14:textId="77777777" w:rsidR="000E0625" w:rsidRDefault="000E0625" w:rsidP="00001C9B">
      <w:pPr>
        <w:spacing w:after="0" w:line="240" w:lineRule="auto"/>
      </w:pPr>
      <w:r>
        <w:separator/>
      </w:r>
    </w:p>
  </w:footnote>
  <w:footnote w:type="continuationSeparator" w:id="0">
    <w:p w14:paraId="1EF94292" w14:textId="77777777" w:rsidR="000E0625" w:rsidRDefault="000E0625" w:rsidP="00001C9B">
      <w:pPr>
        <w:spacing w:after="0" w:line="240" w:lineRule="auto"/>
      </w:pPr>
      <w:r>
        <w:continuationSeparator/>
      </w:r>
    </w:p>
  </w:footnote>
  <w:footnote w:type="continuationNotice" w:id="1">
    <w:p w14:paraId="32F10342" w14:textId="77777777" w:rsidR="000E0625" w:rsidRDefault="000E06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8B63DE"/>
    <w:multiLevelType w:val="hybridMultilevel"/>
    <w:tmpl w:val="F7A4E35C"/>
    <w:lvl w:ilvl="0" w:tplc="E7A2B33E">
      <w:start w:val="1"/>
      <w:numFmt w:val="bullet"/>
      <w:lvlText w:val=""/>
      <w:lvlJc w:val="left"/>
      <w:pPr>
        <w:tabs>
          <w:tab w:val="num" w:pos="720"/>
        </w:tabs>
        <w:ind w:left="720" w:hanging="360"/>
      </w:pPr>
      <w:rPr>
        <w:rFonts w:ascii="Wingdings" w:hAnsi="Wingdings" w:hint="default"/>
      </w:rPr>
    </w:lvl>
    <w:lvl w:ilvl="1" w:tplc="BE08CCC6" w:tentative="1">
      <w:start w:val="1"/>
      <w:numFmt w:val="bullet"/>
      <w:lvlText w:val=""/>
      <w:lvlJc w:val="left"/>
      <w:pPr>
        <w:tabs>
          <w:tab w:val="num" w:pos="1440"/>
        </w:tabs>
        <w:ind w:left="1440" w:hanging="360"/>
      </w:pPr>
      <w:rPr>
        <w:rFonts w:ascii="Wingdings" w:hAnsi="Wingdings" w:hint="default"/>
      </w:rPr>
    </w:lvl>
    <w:lvl w:ilvl="2" w:tplc="6B203806" w:tentative="1">
      <w:start w:val="1"/>
      <w:numFmt w:val="bullet"/>
      <w:lvlText w:val=""/>
      <w:lvlJc w:val="left"/>
      <w:pPr>
        <w:tabs>
          <w:tab w:val="num" w:pos="2160"/>
        </w:tabs>
        <w:ind w:left="2160" w:hanging="360"/>
      </w:pPr>
      <w:rPr>
        <w:rFonts w:ascii="Wingdings" w:hAnsi="Wingdings" w:hint="default"/>
      </w:rPr>
    </w:lvl>
    <w:lvl w:ilvl="3" w:tplc="8F2AB670" w:tentative="1">
      <w:start w:val="1"/>
      <w:numFmt w:val="bullet"/>
      <w:lvlText w:val=""/>
      <w:lvlJc w:val="left"/>
      <w:pPr>
        <w:tabs>
          <w:tab w:val="num" w:pos="2880"/>
        </w:tabs>
        <w:ind w:left="2880" w:hanging="360"/>
      </w:pPr>
      <w:rPr>
        <w:rFonts w:ascii="Wingdings" w:hAnsi="Wingdings" w:hint="default"/>
      </w:rPr>
    </w:lvl>
    <w:lvl w:ilvl="4" w:tplc="7AE05EBE" w:tentative="1">
      <w:start w:val="1"/>
      <w:numFmt w:val="bullet"/>
      <w:lvlText w:val=""/>
      <w:lvlJc w:val="left"/>
      <w:pPr>
        <w:tabs>
          <w:tab w:val="num" w:pos="3600"/>
        </w:tabs>
        <w:ind w:left="3600" w:hanging="360"/>
      </w:pPr>
      <w:rPr>
        <w:rFonts w:ascii="Wingdings" w:hAnsi="Wingdings" w:hint="default"/>
      </w:rPr>
    </w:lvl>
    <w:lvl w:ilvl="5" w:tplc="19A2E05E" w:tentative="1">
      <w:start w:val="1"/>
      <w:numFmt w:val="bullet"/>
      <w:lvlText w:val=""/>
      <w:lvlJc w:val="left"/>
      <w:pPr>
        <w:tabs>
          <w:tab w:val="num" w:pos="4320"/>
        </w:tabs>
        <w:ind w:left="4320" w:hanging="360"/>
      </w:pPr>
      <w:rPr>
        <w:rFonts w:ascii="Wingdings" w:hAnsi="Wingdings" w:hint="default"/>
      </w:rPr>
    </w:lvl>
    <w:lvl w:ilvl="6" w:tplc="13808CD2" w:tentative="1">
      <w:start w:val="1"/>
      <w:numFmt w:val="bullet"/>
      <w:lvlText w:val=""/>
      <w:lvlJc w:val="left"/>
      <w:pPr>
        <w:tabs>
          <w:tab w:val="num" w:pos="5040"/>
        </w:tabs>
        <w:ind w:left="5040" w:hanging="360"/>
      </w:pPr>
      <w:rPr>
        <w:rFonts w:ascii="Wingdings" w:hAnsi="Wingdings" w:hint="default"/>
      </w:rPr>
    </w:lvl>
    <w:lvl w:ilvl="7" w:tplc="CECE5B50" w:tentative="1">
      <w:start w:val="1"/>
      <w:numFmt w:val="bullet"/>
      <w:lvlText w:val=""/>
      <w:lvlJc w:val="left"/>
      <w:pPr>
        <w:tabs>
          <w:tab w:val="num" w:pos="5760"/>
        </w:tabs>
        <w:ind w:left="5760" w:hanging="360"/>
      </w:pPr>
      <w:rPr>
        <w:rFonts w:ascii="Wingdings" w:hAnsi="Wingdings" w:hint="default"/>
      </w:rPr>
    </w:lvl>
    <w:lvl w:ilvl="8" w:tplc="9BD6C7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C45E62"/>
    <w:multiLevelType w:val="hybridMultilevel"/>
    <w:tmpl w:val="7878FFE0"/>
    <w:lvl w:ilvl="0" w:tplc="0132217A">
      <w:start w:val="2"/>
      <w:numFmt w:val="bullet"/>
      <w:lvlText w:val="-"/>
      <w:lvlJc w:val="left"/>
      <w:pPr>
        <w:ind w:left="648" w:hanging="36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132217A">
      <w:start w:val="2"/>
      <w:numFmt w:val="bullet"/>
      <w:lvlText w:val="-"/>
      <w:lvlJc w:val="left"/>
      <w:pPr>
        <w:ind w:left="1548" w:hanging="420"/>
      </w:pPr>
      <w:rPr>
        <w:rFonts w:ascii="Times New Roman" w:eastAsia="Times New Roman" w:hAnsi="Times New Roman" w:cs="Times New Roman" w:hint="default"/>
      </w:rPr>
    </w:lvl>
    <w:lvl w:ilvl="3" w:tplc="04090001">
      <w:start w:val="1"/>
      <w:numFmt w:val="bullet"/>
      <w:lvlText w:val=""/>
      <w:lvlJc w:val="left"/>
      <w:pPr>
        <w:ind w:left="1968" w:hanging="420"/>
      </w:pPr>
      <w:rPr>
        <w:rFonts w:ascii="Wingdings" w:hAnsi="Wingdings" w:hint="default"/>
      </w:rPr>
    </w:lvl>
    <w:lvl w:ilvl="4" w:tplc="C23C2BA4">
      <w:numFmt w:val="bullet"/>
      <w:lvlText w:val="•"/>
      <w:lvlJc w:val="left"/>
      <w:pPr>
        <w:ind w:left="2388" w:hanging="420"/>
      </w:pPr>
      <w:rPr>
        <w:rFonts w:ascii="Times New Roman" w:eastAsia="Times New Roman" w:hAnsi="Times New Roman"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 w15:restartNumberingAfterBreak="0">
    <w:nsid w:val="3AA475F7"/>
    <w:multiLevelType w:val="hybridMultilevel"/>
    <w:tmpl w:val="573E7412"/>
    <w:lvl w:ilvl="0" w:tplc="A6B036A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A2192"/>
    <w:multiLevelType w:val="multilevel"/>
    <w:tmpl w:val="2512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770" w:hanging="360"/>
      </w:pPr>
      <w:rPr>
        <w:rFonts w:ascii="Times New Roman" w:hAnsi="Times New Roman" w:hint="default"/>
        <w:b/>
        <w:i w:val="0"/>
        <w:color w:val="auto"/>
        <w:sz w:val="20"/>
      </w:rPr>
    </w:lvl>
    <w:lvl w:ilvl="1" w:tplc="04090019" w:tentative="1">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625510"/>
    <w:multiLevelType w:val="hybridMultilevel"/>
    <w:tmpl w:val="FA5A11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95545"/>
    <w:multiLevelType w:val="hybridMultilevel"/>
    <w:tmpl w:val="FF42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31F61"/>
    <w:multiLevelType w:val="hybridMultilevel"/>
    <w:tmpl w:val="EDB4D474"/>
    <w:lvl w:ilvl="0" w:tplc="1256BB12">
      <w:start w:val="3"/>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C1AE6"/>
    <w:multiLevelType w:val="multilevel"/>
    <w:tmpl w:val="2F9E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22216D"/>
    <w:multiLevelType w:val="hybridMultilevel"/>
    <w:tmpl w:val="23609D9E"/>
    <w:lvl w:ilvl="0" w:tplc="86CE2A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B74E00"/>
    <w:multiLevelType w:val="hybridMultilevel"/>
    <w:tmpl w:val="51B0582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508FA"/>
    <w:multiLevelType w:val="hybridMultilevel"/>
    <w:tmpl w:val="ED1CF136"/>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01">
      <w:start w:val="1"/>
      <w:numFmt w:val="bullet"/>
      <w:lvlText w:val=""/>
      <w:lvlJc w:val="left"/>
      <w:pPr>
        <w:ind w:left="216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C80F1C"/>
    <w:multiLevelType w:val="hybridMultilevel"/>
    <w:tmpl w:val="AA226134"/>
    <w:lvl w:ilvl="0" w:tplc="A6B036A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3" w15:restartNumberingAfterBreak="0">
    <w:nsid w:val="6ACC5A95"/>
    <w:multiLevelType w:val="hybridMultilevel"/>
    <w:tmpl w:val="B540F7EE"/>
    <w:lvl w:ilvl="0" w:tplc="2DAA533C">
      <w:start w:val="1"/>
      <w:numFmt w:val="bullet"/>
      <w:lvlText w:val=""/>
      <w:lvlJc w:val="left"/>
      <w:pPr>
        <w:ind w:left="720" w:hanging="360"/>
      </w:pPr>
      <w:rPr>
        <w:rFonts w:ascii="Symbol" w:hAnsi="Symbol"/>
      </w:rPr>
    </w:lvl>
    <w:lvl w:ilvl="1" w:tplc="0CC2AB8A">
      <w:start w:val="1"/>
      <w:numFmt w:val="bullet"/>
      <w:lvlText w:val=""/>
      <w:lvlJc w:val="left"/>
      <w:pPr>
        <w:ind w:left="720" w:hanging="360"/>
      </w:pPr>
      <w:rPr>
        <w:rFonts w:ascii="Symbol" w:hAnsi="Symbol"/>
      </w:rPr>
    </w:lvl>
    <w:lvl w:ilvl="2" w:tplc="9D9CD78E">
      <w:start w:val="1"/>
      <w:numFmt w:val="bullet"/>
      <w:lvlText w:val=""/>
      <w:lvlJc w:val="left"/>
      <w:pPr>
        <w:ind w:left="720" w:hanging="360"/>
      </w:pPr>
      <w:rPr>
        <w:rFonts w:ascii="Symbol" w:hAnsi="Symbol"/>
      </w:rPr>
    </w:lvl>
    <w:lvl w:ilvl="3" w:tplc="0CDC9E92">
      <w:start w:val="1"/>
      <w:numFmt w:val="bullet"/>
      <w:lvlText w:val=""/>
      <w:lvlJc w:val="left"/>
      <w:pPr>
        <w:ind w:left="720" w:hanging="360"/>
      </w:pPr>
      <w:rPr>
        <w:rFonts w:ascii="Symbol" w:hAnsi="Symbol"/>
      </w:rPr>
    </w:lvl>
    <w:lvl w:ilvl="4" w:tplc="F7EC9A40">
      <w:start w:val="1"/>
      <w:numFmt w:val="bullet"/>
      <w:lvlText w:val=""/>
      <w:lvlJc w:val="left"/>
      <w:pPr>
        <w:ind w:left="720" w:hanging="360"/>
      </w:pPr>
      <w:rPr>
        <w:rFonts w:ascii="Symbol" w:hAnsi="Symbol"/>
      </w:rPr>
    </w:lvl>
    <w:lvl w:ilvl="5" w:tplc="23001A44">
      <w:start w:val="1"/>
      <w:numFmt w:val="bullet"/>
      <w:lvlText w:val=""/>
      <w:lvlJc w:val="left"/>
      <w:pPr>
        <w:ind w:left="720" w:hanging="360"/>
      </w:pPr>
      <w:rPr>
        <w:rFonts w:ascii="Symbol" w:hAnsi="Symbol"/>
      </w:rPr>
    </w:lvl>
    <w:lvl w:ilvl="6" w:tplc="EE04BB0E">
      <w:start w:val="1"/>
      <w:numFmt w:val="bullet"/>
      <w:lvlText w:val=""/>
      <w:lvlJc w:val="left"/>
      <w:pPr>
        <w:ind w:left="720" w:hanging="360"/>
      </w:pPr>
      <w:rPr>
        <w:rFonts w:ascii="Symbol" w:hAnsi="Symbol"/>
      </w:rPr>
    </w:lvl>
    <w:lvl w:ilvl="7" w:tplc="A8FEB72E">
      <w:start w:val="1"/>
      <w:numFmt w:val="bullet"/>
      <w:lvlText w:val=""/>
      <w:lvlJc w:val="left"/>
      <w:pPr>
        <w:ind w:left="720" w:hanging="360"/>
      </w:pPr>
      <w:rPr>
        <w:rFonts w:ascii="Symbol" w:hAnsi="Symbol"/>
      </w:rPr>
    </w:lvl>
    <w:lvl w:ilvl="8" w:tplc="EFD0804E">
      <w:start w:val="1"/>
      <w:numFmt w:val="bullet"/>
      <w:lvlText w:val=""/>
      <w:lvlJc w:val="left"/>
      <w:pPr>
        <w:ind w:left="720" w:hanging="360"/>
      </w:pPr>
      <w:rPr>
        <w:rFonts w:ascii="Symbol" w:hAnsi="Symbol"/>
      </w:rPr>
    </w:lvl>
  </w:abstractNum>
  <w:abstractNum w:abstractNumId="24" w15:restartNumberingAfterBreak="0">
    <w:nsid w:val="6BB83184"/>
    <w:multiLevelType w:val="hybridMultilevel"/>
    <w:tmpl w:val="C5E47770"/>
    <w:lvl w:ilvl="0" w:tplc="DA080DA0">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431DA"/>
    <w:multiLevelType w:val="multilevel"/>
    <w:tmpl w:val="7E3E7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7" w15:restartNumberingAfterBreak="0">
    <w:nsid w:val="7D1141BC"/>
    <w:multiLevelType w:val="hybridMultilevel"/>
    <w:tmpl w:val="B9080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2749823">
    <w:abstractNumId w:val="10"/>
  </w:num>
  <w:num w:numId="2" w16cid:durableId="80681869">
    <w:abstractNumId w:val="6"/>
  </w:num>
  <w:num w:numId="3" w16cid:durableId="1566528953">
    <w:abstractNumId w:val="9"/>
  </w:num>
  <w:num w:numId="4" w16cid:durableId="1456096507">
    <w:abstractNumId w:val="20"/>
  </w:num>
  <w:num w:numId="5" w16cid:durableId="1659071369">
    <w:abstractNumId w:val="18"/>
  </w:num>
  <w:num w:numId="6" w16cid:durableId="143009612">
    <w:abstractNumId w:val="0"/>
  </w:num>
  <w:num w:numId="7" w16cid:durableId="617025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98218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680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897120">
    <w:abstractNumId w:val="14"/>
  </w:num>
  <w:num w:numId="11" w16cid:durableId="1051004329">
    <w:abstractNumId w:val="2"/>
  </w:num>
  <w:num w:numId="12" w16cid:durableId="1652975533">
    <w:abstractNumId w:val="17"/>
  </w:num>
  <w:num w:numId="13" w16cid:durableId="473569799">
    <w:abstractNumId w:val="3"/>
  </w:num>
  <w:num w:numId="14" w16cid:durableId="1166818346">
    <w:abstractNumId w:val="22"/>
  </w:num>
  <w:num w:numId="15" w16cid:durableId="1242063117">
    <w:abstractNumId w:val="26"/>
  </w:num>
  <w:num w:numId="16" w16cid:durableId="30153610">
    <w:abstractNumId w:val="7"/>
  </w:num>
  <w:num w:numId="17" w16cid:durableId="317854079">
    <w:abstractNumId w:val="16"/>
  </w:num>
  <w:num w:numId="18" w16cid:durableId="1179389610">
    <w:abstractNumId w:val="11"/>
  </w:num>
  <w:num w:numId="19" w16cid:durableId="136189061">
    <w:abstractNumId w:val="15"/>
  </w:num>
  <w:num w:numId="20" w16cid:durableId="1667132384">
    <w:abstractNumId w:val="19"/>
  </w:num>
  <w:num w:numId="21" w16cid:durableId="202333406">
    <w:abstractNumId w:val="27"/>
  </w:num>
  <w:num w:numId="22" w16cid:durableId="497960095">
    <w:abstractNumId w:val="8"/>
  </w:num>
  <w:num w:numId="23" w16cid:durableId="1568491078">
    <w:abstractNumId w:val="13"/>
  </w:num>
  <w:num w:numId="24" w16cid:durableId="337076455">
    <w:abstractNumId w:val="5"/>
  </w:num>
  <w:num w:numId="25" w16cid:durableId="1628462599">
    <w:abstractNumId w:val="23"/>
  </w:num>
  <w:num w:numId="26" w16cid:durableId="1955555340">
    <w:abstractNumId w:val="25"/>
  </w:num>
  <w:num w:numId="27" w16cid:durableId="236787994">
    <w:abstractNumId w:val="25"/>
    <w:lvlOverride w:ilvl="1">
      <w:lvl w:ilvl="1">
        <w:numFmt w:val="bullet"/>
        <w:lvlText w:val=""/>
        <w:lvlJc w:val="left"/>
        <w:pPr>
          <w:tabs>
            <w:tab w:val="num" w:pos="1440"/>
          </w:tabs>
          <w:ind w:left="1440" w:hanging="360"/>
        </w:pPr>
        <w:rPr>
          <w:rFonts w:ascii="Symbol" w:hAnsi="Symbol" w:hint="default"/>
          <w:sz w:val="20"/>
        </w:rPr>
      </w:lvl>
    </w:lvlOverride>
  </w:num>
  <w:num w:numId="28" w16cid:durableId="1557155765">
    <w:abstractNumId w:val="25"/>
    <w:lvlOverride w:ilvl="1">
      <w:lvl w:ilvl="1">
        <w:numFmt w:val="bullet"/>
        <w:lvlText w:val=""/>
        <w:lvlJc w:val="left"/>
        <w:pPr>
          <w:tabs>
            <w:tab w:val="num" w:pos="1440"/>
          </w:tabs>
          <w:ind w:left="1440" w:hanging="360"/>
        </w:pPr>
        <w:rPr>
          <w:rFonts w:ascii="Symbol" w:hAnsi="Symbol" w:hint="default"/>
          <w:sz w:val="20"/>
        </w:rPr>
      </w:lvl>
    </w:lvlOverride>
  </w:num>
  <w:num w:numId="29" w16cid:durableId="813910514">
    <w:abstractNumId w:val="1"/>
  </w:num>
  <w:num w:numId="30" w16cid:durableId="632753180">
    <w:abstractNumId w:val="4"/>
  </w:num>
  <w:num w:numId="31" w16cid:durableId="534317262">
    <w:abstractNumId w:val="21"/>
  </w:num>
  <w:num w:numId="32" w16cid:durableId="700977104">
    <w:abstractNumId w:val="12"/>
  </w:num>
  <w:num w:numId="33" w16cid:durableId="201661508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227"/>
    <w:rsid w:val="00001B69"/>
    <w:rsid w:val="00001C9B"/>
    <w:rsid w:val="00004094"/>
    <w:rsid w:val="000040DC"/>
    <w:rsid w:val="00004C12"/>
    <w:rsid w:val="00006BAE"/>
    <w:rsid w:val="00007828"/>
    <w:rsid w:val="0001113B"/>
    <w:rsid w:val="000116F1"/>
    <w:rsid w:val="00011784"/>
    <w:rsid w:val="00011EE9"/>
    <w:rsid w:val="000151EF"/>
    <w:rsid w:val="00020705"/>
    <w:rsid w:val="00020EB7"/>
    <w:rsid w:val="00022BD6"/>
    <w:rsid w:val="000239F5"/>
    <w:rsid w:val="000241BB"/>
    <w:rsid w:val="0002469F"/>
    <w:rsid w:val="00027A7D"/>
    <w:rsid w:val="00027AAA"/>
    <w:rsid w:val="000300BF"/>
    <w:rsid w:val="000304F3"/>
    <w:rsid w:val="00030C3D"/>
    <w:rsid w:val="00034111"/>
    <w:rsid w:val="00034197"/>
    <w:rsid w:val="00034E17"/>
    <w:rsid w:val="00035FD6"/>
    <w:rsid w:val="000372DF"/>
    <w:rsid w:val="00043376"/>
    <w:rsid w:val="000439E0"/>
    <w:rsid w:val="00044A41"/>
    <w:rsid w:val="00044F73"/>
    <w:rsid w:val="00045E19"/>
    <w:rsid w:val="00050969"/>
    <w:rsid w:val="00054F7B"/>
    <w:rsid w:val="000552DD"/>
    <w:rsid w:val="00055D1A"/>
    <w:rsid w:val="0005649F"/>
    <w:rsid w:val="00057F33"/>
    <w:rsid w:val="00060EEC"/>
    <w:rsid w:val="00060F89"/>
    <w:rsid w:val="00061229"/>
    <w:rsid w:val="000613F8"/>
    <w:rsid w:val="0006276B"/>
    <w:rsid w:val="00064DB4"/>
    <w:rsid w:val="00064EAA"/>
    <w:rsid w:val="00065E6B"/>
    <w:rsid w:val="00067797"/>
    <w:rsid w:val="0006799A"/>
    <w:rsid w:val="00067E84"/>
    <w:rsid w:val="00067F6C"/>
    <w:rsid w:val="00071290"/>
    <w:rsid w:val="0007199B"/>
    <w:rsid w:val="00072CCA"/>
    <w:rsid w:val="00074F55"/>
    <w:rsid w:val="0007537E"/>
    <w:rsid w:val="000753EE"/>
    <w:rsid w:val="00082311"/>
    <w:rsid w:val="00082F07"/>
    <w:rsid w:val="000836F5"/>
    <w:rsid w:val="0008612A"/>
    <w:rsid w:val="00090E18"/>
    <w:rsid w:val="000919F4"/>
    <w:rsid w:val="00091C8F"/>
    <w:rsid w:val="00091E65"/>
    <w:rsid w:val="00092351"/>
    <w:rsid w:val="0009422B"/>
    <w:rsid w:val="00094D62"/>
    <w:rsid w:val="00096634"/>
    <w:rsid w:val="00096C24"/>
    <w:rsid w:val="000A0539"/>
    <w:rsid w:val="000A10BC"/>
    <w:rsid w:val="000A2B3D"/>
    <w:rsid w:val="000A4AA1"/>
    <w:rsid w:val="000A4DFC"/>
    <w:rsid w:val="000A4E30"/>
    <w:rsid w:val="000A5FA6"/>
    <w:rsid w:val="000A6989"/>
    <w:rsid w:val="000A7F53"/>
    <w:rsid w:val="000B0056"/>
    <w:rsid w:val="000B1309"/>
    <w:rsid w:val="000B5D06"/>
    <w:rsid w:val="000B65B9"/>
    <w:rsid w:val="000C17FC"/>
    <w:rsid w:val="000C2424"/>
    <w:rsid w:val="000C3125"/>
    <w:rsid w:val="000C319D"/>
    <w:rsid w:val="000C3C7B"/>
    <w:rsid w:val="000C5229"/>
    <w:rsid w:val="000C578F"/>
    <w:rsid w:val="000C5C44"/>
    <w:rsid w:val="000C5F63"/>
    <w:rsid w:val="000C75DF"/>
    <w:rsid w:val="000C7E8F"/>
    <w:rsid w:val="000D0AB5"/>
    <w:rsid w:val="000D0F93"/>
    <w:rsid w:val="000D34BF"/>
    <w:rsid w:val="000D5508"/>
    <w:rsid w:val="000D5EEA"/>
    <w:rsid w:val="000D6189"/>
    <w:rsid w:val="000D6911"/>
    <w:rsid w:val="000E0625"/>
    <w:rsid w:val="000E0D2B"/>
    <w:rsid w:val="000E197E"/>
    <w:rsid w:val="000E2FA0"/>
    <w:rsid w:val="000E40D1"/>
    <w:rsid w:val="000E4A3B"/>
    <w:rsid w:val="000E4C93"/>
    <w:rsid w:val="000F1CC4"/>
    <w:rsid w:val="000F2C92"/>
    <w:rsid w:val="000F31A5"/>
    <w:rsid w:val="000F36A5"/>
    <w:rsid w:val="000F5BF5"/>
    <w:rsid w:val="000F6B14"/>
    <w:rsid w:val="000F7E7C"/>
    <w:rsid w:val="00102C73"/>
    <w:rsid w:val="0010497B"/>
    <w:rsid w:val="00105D40"/>
    <w:rsid w:val="00105F76"/>
    <w:rsid w:val="00106416"/>
    <w:rsid w:val="00106A41"/>
    <w:rsid w:val="00107DEC"/>
    <w:rsid w:val="001103C0"/>
    <w:rsid w:val="00110408"/>
    <w:rsid w:val="00110481"/>
    <w:rsid w:val="00112540"/>
    <w:rsid w:val="001127C9"/>
    <w:rsid w:val="00114498"/>
    <w:rsid w:val="001154F6"/>
    <w:rsid w:val="00115B88"/>
    <w:rsid w:val="0011677E"/>
    <w:rsid w:val="001167E5"/>
    <w:rsid w:val="001168CA"/>
    <w:rsid w:val="001243E2"/>
    <w:rsid w:val="0013037C"/>
    <w:rsid w:val="001325EF"/>
    <w:rsid w:val="00132F6A"/>
    <w:rsid w:val="00133913"/>
    <w:rsid w:val="00133C52"/>
    <w:rsid w:val="00134588"/>
    <w:rsid w:val="00135C5F"/>
    <w:rsid w:val="00135C7F"/>
    <w:rsid w:val="00135DCF"/>
    <w:rsid w:val="00137464"/>
    <w:rsid w:val="00140221"/>
    <w:rsid w:val="00140A07"/>
    <w:rsid w:val="00140B8A"/>
    <w:rsid w:val="00144ED5"/>
    <w:rsid w:val="001456F8"/>
    <w:rsid w:val="001504B5"/>
    <w:rsid w:val="0015128E"/>
    <w:rsid w:val="001517DB"/>
    <w:rsid w:val="00151FAB"/>
    <w:rsid w:val="0015276C"/>
    <w:rsid w:val="00154C76"/>
    <w:rsid w:val="001552FA"/>
    <w:rsid w:val="00155B90"/>
    <w:rsid w:val="00156C14"/>
    <w:rsid w:val="00156F35"/>
    <w:rsid w:val="00157F28"/>
    <w:rsid w:val="00162DC8"/>
    <w:rsid w:val="00163C8D"/>
    <w:rsid w:val="00164230"/>
    <w:rsid w:val="001642FC"/>
    <w:rsid w:val="0016433A"/>
    <w:rsid w:val="0016496B"/>
    <w:rsid w:val="00166463"/>
    <w:rsid w:val="00167E79"/>
    <w:rsid w:val="0017156E"/>
    <w:rsid w:val="0017203C"/>
    <w:rsid w:val="00172436"/>
    <w:rsid w:val="001735A4"/>
    <w:rsid w:val="001743E2"/>
    <w:rsid w:val="001745F8"/>
    <w:rsid w:val="00174CC9"/>
    <w:rsid w:val="00175A0C"/>
    <w:rsid w:val="00177CFD"/>
    <w:rsid w:val="001808F6"/>
    <w:rsid w:val="00180A33"/>
    <w:rsid w:val="00180FCD"/>
    <w:rsid w:val="001824B8"/>
    <w:rsid w:val="001838CF"/>
    <w:rsid w:val="00183AC7"/>
    <w:rsid w:val="00183BDC"/>
    <w:rsid w:val="00183DA7"/>
    <w:rsid w:val="001841F0"/>
    <w:rsid w:val="00184CB2"/>
    <w:rsid w:val="001868EE"/>
    <w:rsid w:val="00187911"/>
    <w:rsid w:val="00192BC9"/>
    <w:rsid w:val="00193ECB"/>
    <w:rsid w:val="00194F7C"/>
    <w:rsid w:val="00195931"/>
    <w:rsid w:val="001A312D"/>
    <w:rsid w:val="001A3878"/>
    <w:rsid w:val="001A3BA4"/>
    <w:rsid w:val="001A4EA1"/>
    <w:rsid w:val="001A6D1F"/>
    <w:rsid w:val="001A7C40"/>
    <w:rsid w:val="001B1BF1"/>
    <w:rsid w:val="001B1CBC"/>
    <w:rsid w:val="001B1EA8"/>
    <w:rsid w:val="001B27A6"/>
    <w:rsid w:val="001B2930"/>
    <w:rsid w:val="001B49BE"/>
    <w:rsid w:val="001B580F"/>
    <w:rsid w:val="001B70EB"/>
    <w:rsid w:val="001B72B7"/>
    <w:rsid w:val="001C175B"/>
    <w:rsid w:val="001C2F9A"/>
    <w:rsid w:val="001C536E"/>
    <w:rsid w:val="001C5EED"/>
    <w:rsid w:val="001D0EDC"/>
    <w:rsid w:val="001D10AF"/>
    <w:rsid w:val="001D21FA"/>
    <w:rsid w:val="001D4EF7"/>
    <w:rsid w:val="001E005C"/>
    <w:rsid w:val="001E009B"/>
    <w:rsid w:val="001E1A08"/>
    <w:rsid w:val="001E2A1F"/>
    <w:rsid w:val="001E30F6"/>
    <w:rsid w:val="001E35E1"/>
    <w:rsid w:val="001E3663"/>
    <w:rsid w:val="001E3D02"/>
    <w:rsid w:val="001E477B"/>
    <w:rsid w:val="001E4917"/>
    <w:rsid w:val="001E49A2"/>
    <w:rsid w:val="001E55F4"/>
    <w:rsid w:val="001E5E77"/>
    <w:rsid w:val="001E6045"/>
    <w:rsid w:val="001E64B0"/>
    <w:rsid w:val="001E6A40"/>
    <w:rsid w:val="001E78FB"/>
    <w:rsid w:val="001E7A6F"/>
    <w:rsid w:val="001E7E53"/>
    <w:rsid w:val="001F08E5"/>
    <w:rsid w:val="001F1258"/>
    <w:rsid w:val="001F1517"/>
    <w:rsid w:val="001F3284"/>
    <w:rsid w:val="001F4012"/>
    <w:rsid w:val="001F4803"/>
    <w:rsid w:val="001F5695"/>
    <w:rsid w:val="001F5ABC"/>
    <w:rsid w:val="001F5E71"/>
    <w:rsid w:val="001F680A"/>
    <w:rsid w:val="00200A4D"/>
    <w:rsid w:val="00201438"/>
    <w:rsid w:val="002032E7"/>
    <w:rsid w:val="00204432"/>
    <w:rsid w:val="00204E60"/>
    <w:rsid w:val="00207B09"/>
    <w:rsid w:val="00207ECF"/>
    <w:rsid w:val="002100EA"/>
    <w:rsid w:val="00211979"/>
    <w:rsid w:val="00211AB2"/>
    <w:rsid w:val="00214EE4"/>
    <w:rsid w:val="00216F35"/>
    <w:rsid w:val="00217EE5"/>
    <w:rsid w:val="00220740"/>
    <w:rsid w:val="002230CF"/>
    <w:rsid w:val="002239C4"/>
    <w:rsid w:val="00223E98"/>
    <w:rsid w:val="00224074"/>
    <w:rsid w:val="00225D2C"/>
    <w:rsid w:val="00226103"/>
    <w:rsid w:val="00227BCD"/>
    <w:rsid w:val="00232723"/>
    <w:rsid w:val="002334C6"/>
    <w:rsid w:val="0023466D"/>
    <w:rsid w:val="00234899"/>
    <w:rsid w:val="00235149"/>
    <w:rsid w:val="00235F5C"/>
    <w:rsid w:val="00237A2A"/>
    <w:rsid w:val="00245121"/>
    <w:rsid w:val="00245834"/>
    <w:rsid w:val="00245C20"/>
    <w:rsid w:val="00252029"/>
    <w:rsid w:val="00253332"/>
    <w:rsid w:val="00253F59"/>
    <w:rsid w:val="00255EFD"/>
    <w:rsid w:val="00256D50"/>
    <w:rsid w:val="00257813"/>
    <w:rsid w:val="00257FA3"/>
    <w:rsid w:val="00263040"/>
    <w:rsid w:val="002716E2"/>
    <w:rsid w:val="002717D7"/>
    <w:rsid w:val="002723A7"/>
    <w:rsid w:val="002731B7"/>
    <w:rsid w:val="00277B56"/>
    <w:rsid w:val="00277FCD"/>
    <w:rsid w:val="002805A9"/>
    <w:rsid w:val="00280990"/>
    <w:rsid w:val="0028156C"/>
    <w:rsid w:val="00282A74"/>
    <w:rsid w:val="002846B0"/>
    <w:rsid w:val="002849D4"/>
    <w:rsid w:val="0028504B"/>
    <w:rsid w:val="002857FC"/>
    <w:rsid w:val="00285F15"/>
    <w:rsid w:val="0028636F"/>
    <w:rsid w:val="00286387"/>
    <w:rsid w:val="00287380"/>
    <w:rsid w:val="00290227"/>
    <w:rsid w:val="00291119"/>
    <w:rsid w:val="00291969"/>
    <w:rsid w:val="00291AA8"/>
    <w:rsid w:val="00291C3F"/>
    <w:rsid w:val="002924A4"/>
    <w:rsid w:val="00294B0C"/>
    <w:rsid w:val="00295632"/>
    <w:rsid w:val="00297026"/>
    <w:rsid w:val="002970B7"/>
    <w:rsid w:val="002A06EE"/>
    <w:rsid w:val="002A0D70"/>
    <w:rsid w:val="002A18E0"/>
    <w:rsid w:val="002A19F5"/>
    <w:rsid w:val="002A1D61"/>
    <w:rsid w:val="002A401B"/>
    <w:rsid w:val="002A58AC"/>
    <w:rsid w:val="002A5E4A"/>
    <w:rsid w:val="002B0261"/>
    <w:rsid w:val="002B17F0"/>
    <w:rsid w:val="002B1C59"/>
    <w:rsid w:val="002B2924"/>
    <w:rsid w:val="002B37D6"/>
    <w:rsid w:val="002B430A"/>
    <w:rsid w:val="002B4922"/>
    <w:rsid w:val="002B52E3"/>
    <w:rsid w:val="002B55DE"/>
    <w:rsid w:val="002B63DE"/>
    <w:rsid w:val="002B69F3"/>
    <w:rsid w:val="002B6F72"/>
    <w:rsid w:val="002B742D"/>
    <w:rsid w:val="002B7C68"/>
    <w:rsid w:val="002B7ED4"/>
    <w:rsid w:val="002C17D7"/>
    <w:rsid w:val="002C17E5"/>
    <w:rsid w:val="002C22A3"/>
    <w:rsid w:val="002C22C3"/>
    <w:rsid w:val="002C2547"/>
    <w:rsid w:val="002C2D19"/>
    <w:rsid w:val="002C3AF6"/>
    <w:rsid w:val="002C5155"/>
    <w:rsid w:val="002C611E"/>
    <w:rsid w:val="002D10FA"/>
    <w:rsid w:val="002D1AC4"/>
    <w:rsid w:val="002D1B19"/>
    <w:rsid w:val="002D21D5"/>
    <w:rsid w:val="002D298B"/>
    <w:rsid w:val="002D3093"/>
    <w:rsid w:val="002D318F"/>
    <w:rsid w:val="002D4782"/>
    <w:rsid w:val="002D4C55"/>
    <w:rsid w:val="002D5D56"/>
    <w:rsid w:val="002D6CFC"/>
    <w:rsid w:val="002D75A9"/>
    <w:rsid w:val="002D77A6"/>
    <w:rsid w:val="002E0841"/>
    <w:rsid w:val="002E1872"/>
    <w:rsid w:val="002E302B"/>
    <w:rsid w:val="002E3855"/>
    <w:rsid w:val="002E3B36"/>
    <w:rsid w:val="002E40A8"/>
    <w:rsid w:val="002E6DED"/>
    <w:rsid w:val="002E74A9"/>
    <w:rsid w:val="002F0422"/>
    <w:rsid w:val="002F07E5"/>
    <w:rsid w:val="002F0FDF"/>
    <w:rsid w:val="002F2345"/>
    <w:rsid w:val="002F43B6"/>
    <w:rsid w:val="002F4788"/>
    <w:rsid w:val="002F4B8C"/>
    <w:rsid w:val="002F5ADC"/>
    <w:rsid w:val="002F7818"/>
    <w:rsid w:val="003002AB"/>
    <w:rsid w:val="00300956"/>
    <w:rsid w:val="00300EC5"/>
    <w:rsid w:val="00302B01"/>
    <w:rsid w:val="003030F5"/>
    <w:rsid w:val="00304185"/>
    <w:rsid w:val="003041ED"/>
    <w:rsid w:val="0030658C"/>
    <w:rsid w:val="00307939"/>
    <w:rsid w:val="00307BA9"/>
    <w:rsid w:val="00311D0D"/>
    <w:rsid w:val="003125CC"/>
    <w:rsid w:val="003139C2"/>
    <w:rsid w:val="00317187"/>
    <w:rsid w:val="00320203"/>
    <w:rsid w:val="0032085F"/>
    <w:rsid w:val="003215AB"/>
    <w:rsid w:val="00321D14"/>
    <w:rsid w:val="00322757"/>
    <w:rsid w:val="00322D6C"/>
    <w:rsid w:val="003236A2"/>
    <w:rsid w:val="0032499A"/>
    <w:rsid w:val="00325BEC"/>
    <w:rsid w:val="0033255D"/>
    <w:rsid w:val="00332D9C"/>
    <w:rsid w:val="003341F7"/>
    <w:rsid w:val="00336FA6"/>
    <w:rsid w:val="003375F2"/>
    <w:rsid w:val="00337E4A"/>
    <w:rsid w:val="00340457"/>
    <w:rsid w:val="003410A5"/>
    <w:rsid w:val="00342597"/>
    <w:rsid w:val="00342972"/>
    <w:rsid w:val="003442EC"/>
    <w:rsid w:val="003463B5"/>
    <w:rsid w:val="00347FEC"/>
    <w:rsid w:val="003502D2"/>
    <w:rsid w:val="003509DF"/>
    <w:rsid w:val="00351DFA"/>
    <w:rsid w:val="003522E2"/>
    <w:rsid w:val="00352DA9"/>
    <w:rsid w:val="00353289"/>
    <w:rsid w:val="00353929"/>
    <w:rsid w:val="00355CDC"/>
    <w:rsid w:val="0035689B"/>
    <w:rsid w:val="00356F45"/>
    <w:rsid w:val="00360189"/>
    <w:rsid w:val="003645E1"/>
    <w:rsid w:val="00365C2B"/>
    <w:rsid w:val="00366171"/>
    <w:rsid w:val="003662A8"/>
    <w:rsid w:val="00366B74"/>
    <w:rsid w:val="00366F47"/>
    <w:rsid w:val="00367204"/>
    <w:rsid w:val="00367927"/>
    <w:rsid w:val="00373393"/>
    <w:rsid w:val="00375ECF"/>
    <w:rsid w:val="00377D3F"/>
    <w:rsid w:val="00381F95"/>
    <w:rsid w:val="00382D69"/>
    <w:rsid w:val="003831F9"/>
    <w:rsid w:val="00385268"/>
    <w:rsid w:val="003863C8"/>
    <w:rsid w:val="00386733"/>
    <w:rsid w:val="00386EAC"/>
    <w:rsid w:val="00391F7A"/>
    <w:rsid w:val="00393779"/>
    <w:rsid w:val="00393919"/>
    <w:rsid w:val="00393DAA"/>
    <w:rsid w:val="00394F7F"/>
    <w:rsid w:val="003950EB"/>
    <w:rsid w:val="003953AB"/>
    <w:rsid w:val="00396B1C"/>
    <w:rsid w:val="003A0827"/>
    <w:rsid w:val="003A0C7E"/>
    <w:rsid w:val="003A183C"/>
    <w:rsid w:val="003A2E18"/>
    <w:rsid w:val="003A584C"/>
    <w:rsid w:val="003A710A"/>
    <w:rsid w:val="003B1E80"/>
    <w:rsid w:val="003B2196"/>
    <w:rsid w:val="003B337D"/>
    <w:rsid w:val="003B470B"/>
    <w:rsid w:val="003B61A6"/>
    <w:rsid w:val="003B659E"/>
    <w:rsid w:val="003B66CB"/>
    <w:rsid w:val="003B73E8"/>
    <w:rsid w:val="003C0ECD"/>
    <w:rsid w:val="003C2435"/>
    <w:rsid w:val="003C275E"/>
    <w:rsid w:val="003C47C9"/>
    <w:rsid w:val="003C4CA0"/>
    <w:rsid w:val="003C4FDE"/>
    <w:rsid w:val="003D1EA3"/>
    <w:rsid w:val="003D25ED"/>
    <w:rsid w:val="003D2CAD"/>
    <w:rsid w:val="003D2F8A"/>
    <w:rsid w:val="003D34C4"/>
    <w:rsid w:val="003D3602"/>
    <w:rsid w:val="003D3C4B"/>
    <w:rsid w:val="003D3FA5"/>
    <w:rsid w:val="003E014A"/>
    <w:rsid w:val="003E0ADA"/>
    <w:rsid w:val="003E2517"/>
    <w:rsid w:val="003E33A2"/>
    <w:rsid w:val="003E4904"/>
    <w:rsid w:val="003E4B51"/>
    <w:rsid w:val="003E522F"/>
    <w:rsid w:val="003E53EE"/>
    <w:rsid w:val="003E574D"/>
    <w:rsid w:val="003E58DF"/>
    <w:rsid w:val="003E597B"/>
    <w:rsid w:val="003E5AC1"/>
    <w:rsid w:val="003F09A9"/>
    <w:rsid w:val="003F0D90"/>
    <w:rsid w:val="003F25B2"/>
    <w:rsid w:val="003F2CD2"/>
    <w:rsid w:val="003F3943"/>
    <w:rsid w:val="003F432C"/>
    <w:rsid w:val="003F4841"/>
    <w:rsid w:val="003F5558"/>
    <w:rsid w:val="003F558E"/>
    <w:rsid w:val="003F5BA5"/>
    <w:rsid w:val="003F7A1C"/>
    <w:rsid w:val="004001C7"/>
    <w:rsid w:val="00400532"/>
    <w:rsid w:val="00403F42"/>
    <w:rsid w:val="00404360"/>
    <w:rsid w:val="00404C4C"/>
    <w:rsid w:val="0040521A"/>
    <w:rsid w:val="004102CD"/>
    <w:rsid w:val="00410743"/>
    <w:rsid w:val="00412084"/>
    <w:rsid w:val="00413011"/>
    <w:rsid w:val="00414127"/>
    <w:rsid w:val="0041423F"/>
    <w:rsid w:val="00414856"/>
    <w:rsid w:val="00414F81"/>
    <w:rsid w:val="00416448"/>
    <w:rsid w:val="00416818"/>
    <w:rsid w:val="00416D64"/>
    <w:rsid w:val="00420B34"/>
    <w:rsid w:val="00421451"/>
    <w:rsid w:val="00421F0E"/>
    <w:rsid w:val="004226A4"/>
    <w:rsid w:val="0042438A"/>
    <w:rsid w:val="00426267"/>
    <w:rsid w:val="00432DA6"/>
    <w:rsid w:val="00433F14"/>
    <w:rsid w:val="0043495C"/>
    <w:rsid w:val="0043591F"/>
    <w:rsid w:val="00436A0F"/>
    <w:rsid w:val="00437150"/>
    <w:rsid w:val="0043750A"/>
    <w:rsid w:val="004375A6"/>
    <w:rsid w:val="004377BE"/>
    <w:rsid w:val="004405AE"/>
    <w:rsid w:val="00442501"/>
    <w:rsid w:val="0044467E"/>
    <w:rsid w:val="00444A65"/>
    <w:rsid w:val="004463E2"/>
    <w:rsid w:val="00447577"/>
    <w:rsid w:val="00453BDA"/>
    <w:rsid w:val="004545DB"/>
    <w:rsid w:val="004552A2"/>
    <w:rsid w:val="00455E4D"/>
    <w:rsid w:val="00455EC0"/>
    <w:rsid w:val="00456543"/>
    <w:rsid w:val="00457373"/>
    <w:rsid w:val="00457E16"/>
    <w:rsid w:val="00460721"/>
    <w:rsid w:val="004616F0"/>
    <w:rsid w:val="0046377F"/>
    <w:rsid w:val="00465F56"/>
    <w:rsid w:val="00466FE3"/>
    <w:rsid w:val="004674CE"/>
    <w:rsid w:val="004677D3"/>
    <w:rsid w:val="00471822"/>
    <w:rsid w:val="00472B2C"/>
    <w:rsid w:val="0047325F"/>
    <w:rsid w:val="004732E9"/>
    <w:rsid w:val="00473D26"/>
    <w:rsid w:val="00474503"/>
    <w:rsid w:val="004751A2"/>
    <w:rsid w:val="0047703F"/>
    <w:rsid w:val="004775C5"/>
    <w:rsid w:val="004819FD"/>
    <w:rsid w:val="00481BD5"/>
    <w:rsid w:val="004828BD"/>
    <w:rsid w:val="0048329B"/>
    <w:rsid w:val="00484345"/>
    <w:rsid w:val="004854BB"/>
    <w:rsid w:val="00485961"/>
    <w:rsid w:val="00486630"/>
    <w:rsid w:val="00487B25"/>
    <w:rsid w:val="00491A72"/>
    <w:rsid w:val="00492A64"/>
    <w:rsid w:val="00492AEF"/>
    <w:rsid w:val="00494493"/>
    <w:rsid w:val="004944AF"/>
    <w:rsid w:val="00496606"/>
    <w:rsid w:val="0049669C"/>
    <w:rsid w:val="00496C68"/>
    <w:rsid w:val="00496D5A"/>
    <w:rsid w:val="004A4B5A"/>
    <w:rsid w:val="004A519C"/>
    <w:rsid w:val="004A5976"/>
    <w:rsid w:val="004A5BF7"/>
    <w:rsid w:val="004A7F50"/>
    <w:rsid w:val="004B0FA6"/>
    <w:rsid w:val="004B12EA"/>
    <w:rsid w:val="004B3DDC"/>
    <w:rsid w:val="004C30B2"/>
    <w:rsid w:val="004C3212"/>
    <w:rsid w:val="004C6112"/>
    <w:rsid w:val="004C7506"/>
    <w:rsid w:val="004C7C9C"/>
    <w:rsid w:val="004D1168"/>
    <w:rsid w:val="004D214A"/>
    <w:rsid w:val="004D3C26"/>
    <w:rsid w:val="004D512E"/>
    <w:rsid w:val="004E0581"/>
    <w:rsid w:val="004E0D85"/>
    <w:rsid w:val="004E102A"/>
    <w:rsid w:val="004E2B60"/>
    <w:rsid w:val="004E3CAB"/>
    <w:rsid w:val="004E43EE"/>
    <w:rsid w:val="004E56E1"/>
    <w:rsid w:val="004E5E66"/>
    <w:rsid w:val="004E5E69"/>
    <w:rsid w:val="004E64BA"/>
    <w:rsid w:val="004E6708"/>
    <w:rsid w:val="004E6BCB"/>
    <w:rsid w:val="004E7ADB"/>
    <w:rsid w:val="004E7F10"/>
    <w:rsid w:val="004E7F33"/>
    <w:rsid w:val="004F2615"/>
    <w:rsid w:val="005000BC"/>
    <w:rsid w:val="00501A71"/>
    <w:rsid w:val="0050342F"/>
    <w:rsid w:val="005035E0"/>
    <w:rsid w:val="00503B4D"/>
    <w:rsid w:val="00504EE9"/>
    <w:rsid w:val="005068DF"/>
    <w:rsid w:val="005100CC"/>
    <w:rsid w:val="00510C79"/>
    <w:rsid w:val="005119AF"/>
    <w:rsid w:val="0051210A"/>
    <w:rsid w:val="00512947"/>
    <w:rsid w:val="00514E4F"/>
    <w:rsid w:val="00517A09"/>
    <w:rsid w:val="00521576"/>
    <w:rsid w:val="00522134"/>
    <w:rsid w:val="005250E6"/>
    <w:rsid w:val="00530102"/>
    <w:rsid w:val="0053145F"/>
    <w:rsid w:val="00532935"/>
    <w:rsid w:val="00532EED"/>
    <w:rsid w:val="005351A6"/>
    <w:rsid w:val="005361A9"/>
    <w:rsid w:val="00536DB1"/>
    <w:rsid w:val="005379A9"/>
    <w:rsid w:val="00537A47"/>
    <w:rsid w:val="0054070F"/>
    <w:rsid w:val="00541E86"/>
    <w:rsid w:val="005421C2"/>
    <w:rsid w:val="00542A2E"/>
    <w:rsid w:val="00542D23"/>
    <w:rsid w:val="00542E50"/>
    <w:rsid w:val="005435DC"/>
    <w:rsid w:val="00543CB9"/>
    <w:rsid w:val="0054442C"/>
    <w:rsid w:val="00545064"/>
    <w:rsid w:val="0054517B"/>
    <w:rsid w:val="00545335"/>
    <w:rsid w:val="00546477"/>
    <w:rsid w:val="005472F9"/>
    <w:rsid w:val="005476CA"/>
    <w:rsid w:val="00550004"/>
    <w:rsid w:val="0055010F"/>
    <w:rsid w:val="00550285"/>
    <w:rsid w:val="00550E51"/>
    <w:rsid w:val="00550EE0"/>
    <w:rsid w:val="00551A1D"/>
    <w:rsid w:val="005527A2"/>
    <w:rsid w:val="005547A7"/>
    <w:rsid w:val="00555EBB"/>
    <w:rsid w:val="005604CF"/>
    <w:rsid w:val="0056180C"/>
    <w:rsid w:val="005620BF"/>
    <w:rsid w:val="00562492"/>
    <w:rsid w:val="00562DAE"/>
    <w:rsid w:val="00562EF6"/>
    <w:rsid w:val="00563084"/>
    <w:rsid w:val="005638CF"/>
    <w:rsid w:val="00564004"/>
    <w:rsid w:val="00565034"/>
    <w:rsid w:val="00565190"/>
    <w:rsid w:val="00567E19"/>
    <w:rsid w:val="00570E8D"/>
    <w:rsid w:val="00572A20"/>
    <w:rsid w:val="005751A6"/>
    <w:rsid w:val="0057658F"/>
    <w:rsid w:val="00577ADE"/>
    <w:rsid w:val="00580150"/>
    <w:rsid w:val="005821D2"/>
    <w:rsid w:val="005836F8"/>
    <w:rsid w:val="00584F16"/>
    <w:rsid w:val="0058597A"/>
    <w:rsid w:val="00587A8F"/>
    <w:rsid w:val="00590082"/>
    <w:rsid w:val="00590372"/>
    <w:rsid w:val="0059052B"/>
    <w:rsid w:val="00590AE7"/>
    <w:rsid w:val="005918FA"/>
    <w:rsid w:val="00592A86"/>
    <w:rsid w:val="0059399E"/>
    <w:rsid w:val="00593D45"/>
    <w:rsid w:val="005956E0"/>
    <w:rsid w:val="00595786"/>
    <w:rsid w:val="00595954"/>
    <w:rsid w:val="00595F62"/>
    <w:rsid w:val="00596138"/>
    <w:rsid w:val="00597020"/>
    <w:rsid w:val="00597946"/>
    <w:rsid w:val="005A15D4"/>
    <w:rsid w:val="005A1C33"/>
    <w:rsid w:val="005A2693"/>
    <w:rsid w:val="005A3894"/>
    <w:rsid w:val="005A5163"/>
    <w:rsid w:val="005A52AD"/>
    <w:rsid w:val="005A70A3"/>
    <w:rsid w:val="005B076D"/>
    <w:rsid w:val="005B3029"/>
    <w:rsid w:val="005B3250"/>
    <w:rsid w:val="005B3938"/>
    <w:rsid w:val="005B4801"/>
    <w:rsid w:val="005B4DE0"/>
    <w:rsid w:val="005B5368"/>
    <w:rsid w:val="005B72C3"/>
    <w:rsid w:val="005B7FAE"/>
    <w:rsid w:val="005C23A4"/>
    <w:rsid w:val="005C2D00"/>
    <w:rsid w:val="005C53BD"/>
    <w:rsid w:val="005C64D1"/>
    <w:rsid w:val="005C6E63"/>
    <w:rsid w:val="005C6F16"/>
    <w:rsid w:val="005D1CDF"/>
    <w:rsid w:val="005D1F0C"/>
    <w:rsid w:val="005D2BB7"/>
    <w:rsid w:val="005D6FFE"/>
    <w:rsid w:val="005D79AB"/>
    <w:rsid w:val="005D7BAA"/>
    <w:rsid w:val="005D7DD7"/>
    <w:rsid w:val="005E2CF6"/>
    <w:rsid w:val="005E45A4"/>
    <w:rsid w:val="005E45C7"/>
    <w:rsid w:val="005E61A8"/>
    <w:rsid w:val="005E6350"/>
    <w:rsid w:val="005F0226"/>
    <w:rsid w:val="005F1A37"/>
    <w:rsid w:val="005F243E"/>
    <w:rsid w:val="005F2BB7"/>
    <w:rsid w:val="005F31F8"/>
    <w:rsid w:val="005F354D"/>
    <w:rsid w:val="005F6419"/>
    <w:rsid w:val="006013FE"/>
    <w:rsid w:val="0060151A"/>
    <w:rsid w:val="0060301D"/>
    <w:rsid w:val="00603DAE"/>
    <w:rsid w:val="00604CC6"/>
    <w:rsid w:val="00604CFD"/>
    <w:rsid w:val="0060543D"/>
    <w:rsid w:val="00606095"/>
    <w:rsid w:val="0060648E"/>
    <w:rsid w:val="0060699F"/>
    <w:rsid w:val="00607C4B"/>
    <w:rsid w:val="006104DD"/>
    <w:rsid w:val="006130B5"/>
    <w:rsid w:val="00614DD8"/>
    <w:rsid w:val="00616D6E"/>
    <w:rsid w:val="0061706A"/>
    <w:rsid w:val="00617400"/>
    <w:rsid w:val="00621EE6"/>
    <w:rsid w:val="00621F44"/>
    <w:rsid w:val="00624F53"/>
    <w:rsid w:val="00625458"/>
    <w:rsid w:val="006258D2"/>
    <w:rsid w:val="00625EC1"/>
    <w:rsid w:val="006266FE"/>
    <w:rsid w:val="00627E84"/>
    <w:rsid w:val="00630521"/>
    <w:rsid w:val="00632D29"/>
    <w:rsid w:val="00632EEE"/>
    <w:rsid w:val="00633F10"/>
    <w:rsid w:val="00634AA4"/>
    <w:rsid w:val="0063513D"/>
    <w:rsid w:val="0063590F"/>
    <w:rsid w:val="00637170"/>
    <w:rsid w:val="006372A2"/>
    <w:rsid w:val="00640AF2"/>
    <w:rsid w:val="00640B86"/>
    <w:rsid w:val="00641EFA"/>
    <w:rsid w:val="006425E9"/>
    <w:rsid w:val="006437DB"/>
    <w:rsid w:val="00644CDF"/>
    <w:rsid w:val="00646FC8"/>
    <w:rsid w:val="0064741F"/>
    <w:rsid w:val="00647837"/>
    <w:rsid w:val="00651A0B"/>
    <w:rsid w:val="00651E0A"/>
    <w:rsid w:val="00654860"/>
    <w:rsid w:val="00654C27"/>
    <w:rsid w:val="00655A8F"/>
    <w:rsid w:val="00656229"/>
    <w:rsid w:val="00656A20"/>
    <w:rsid w:val="0065764A"/>
    <w:rsid w:val="00657EB4"/>
    <w:rsid w:val="006619DD"/>
    <w:rsid w:val="0066313C"/>
    <w:rsid w:val="00663141"/>
    <w:rsid w:val="00664950"/>
    <w:rsid w:val="00665C9C"/>
    <w:rsid w:val="00667D3E"/>
    <w:rsid w:val="006700A1"/>
    <w:rsid w:val="00670DE6"/>
    <w:rsid w:val="006719C3"/>
    <w:rsid w:val="00672E9F"/>
    <w:rsid w:val="006731A9"/>
    <w:rsid w:val="006734A0"/>
    <w:rsid w:val="00673571"/>
    <w:rsid w:val="006744AA"/>
    <w:rsid w:val="00675E71"/>
    <w:rsid w:val="00681BFD"/>
    <w:rsid w:val="00683220"/>
    <w:rsid w:val="00684B67"/>
    <w:rsid w:val="00687FA0"/>
    <w:rsid w:val="0069026A"/>
    <w:rsid w:val="006912F7"/>
    <w:rsid w:val="00691D2C"/>
    <w:rsid w:val="0069310E"/>
    <w:rsid w:val="0069422E"/>
    <w:rsid w:val="00695674"/>
    <w:rsid w:val="00697D21"/>
    <w:rsid w:val="006A0975"/>
    <w:rsid w:val="006A0ACC"/>
    <w:rsid w:val="006A0C7D"/>
    <w:rsid w:val="006A1EB7"/>
    <w:rsid w:val="006A2B5A"/>
    <w:rsid w:val="006A307B"/>
    <w:rsid w:val="006A3511"/>
    <w:rsid w:val="006A3C11"/>
    <w:rsid w:val="006A3FF4"/>
    <w:rsid w:val="006A4349"/>
    <w:rsid w:val="006A63C5"/>
    <w:rsid w:val="006B0145"/>
    <w:rsid w:val="006B0585"/>
    <w:rsid w:val="006B5421"/>
    <w:rsid w:val="006B5628"/>
    <w:rsid w:val="006B7010"/>
    <w:rsid w:val="006B7031"/>
    <w:rsid w:val="006B7D23"/>
    <w:rsid w:val="006C3095"/>
    <w:rsid w:val="006C3AD2"/>
    <w:rsid w:val="006C4271"/>
    <w:rsid w:val="006C731D"/>
    <w:rsid w:val="006D1DED"/>
    <w:rsid w:val="006D2179"/>
    <w:rsid w:val="006D2E69"/>
    <w:rsid w:val="006D4D3E"/>
    <w:rsid w:val="006D6812"/>
    <w:rsid w:val="006D6D60"/>
    <w:rsid w:val="006D70B8"/>
    <w:rsid w:val="006D786B"/>
    <w:rsid w:val="006D7EE5"/>
    <w:rsid w:val="006E1151"/>
    <w:rsid w:val="006E1213"/>
    <w:rsid w:val="006E22E0"/>
    <w:rsid w:val="006E24D1"/>
    <w:rsid w:val="006E24DE"/>
    <w:rsid w:val="006E27ED"/>
    <w:rsid w:val="006E2E73"/>
    <w:rsid w:val="006E53EF"/>
    <w:rsid w:val="006E6311"/>
    <w:rsid w:val="006E6F10"/>
    <w:rsid w:val="006E6F68"/>
    <w:rsid w:val="006E76BA"/>
    <w:rsid w:val="006F1FD1"/>
    <w:rsid w:val="006F6BF9"/>
    <w:rsid w:val="006F6E92"/>
    <w:rsid w:val="0070081B"/>
    <w:rsid w:val="00701BC1"/>
    <w:rsid w:val="00702285"/>
    <w:rsid w:val="00702DBC"/>
    <w:rsid w:val="00703FA8"/>
    <w:rsid w:val="00704DBD"/>
    <w:rsid w:val="00707093"/>
    <w:rsid w:val="007101E0"/>
    <w:rsid w:val="007145FF"/>
    <w:rsid w:val="007152CF"/>
    <w:rsid w:val="00715B2A"/>
    <w:rsid w:val="00716247"/>
    <w:rsid w:val="007210A9"/>
    <w:rsid w:val="00722215"/>
    <w:rsid w:val="007222C1"/>
    <w:rsid w:val="00724D79"/>
    <w:rsid w:val="00725E21"/>
    <w:rsid w:val="00725F4C"/>
    <w:rsid w:val="0072678B"/>
    <w:rsid w:val="007302E1"/>
    <w:rsid w:val="007309AD"/>
    <w:rsid w:val="00733138"/>
    <w:rsid w:val="007333D6"/>
    <w:rsid w:val="007338B8"/>
    <w:rsid w:val="00733B21"/>
    <w:rsid w:val="00735409"/>
    <w:rsid w:val="00735C46"/>
    <w:rsid w:val="00737332"/>
    <w:rsid w:val="00741D53"/>
    <w:rsid w:val="007450F1"/>
    <w:rsid w:val="007453C5"/>
    <w:rsid w:val="00746818"/>
    <w:rsid w:val="0074775E"/>
    <w:rsid w:val="00747FE6"/>
    <w:rsid w:val="00751014"/>
    <w:rsid w:val="00751515"/>
    <w:rsid w:val="007535BE"/>
    <w:rsid w:val="00760809"/>
    <w:rsid w:val="00760BD2"/>
    <w:rsid w:val="007626B7"/>
    <w:rsid w:val="00762707"/>
    <w:rsid w:val="00762745"/>
    <w:rsid w:val="0076339A"/>
    <w:rsid w:val="00765D00"/>
    <w:rsid w:val="00766220"/>
    <w:rsid w:val="007663A0"/>
    <w:rsid w:val="00767B87"/>
    <w:rsid w:val="0077067E"/>
    <w:rsid w:val="007708AF"/>
    <w:rsid w:val="00770AC4"/>
    <w:rsid w:val="00772072"/>
    <w:rsid w:val="00772674"/>
    <w:rsid w:val="00775F47"/>
    <w:rsid w:val="00776672"/>
    <w:rsid w:val="00777004"/>
    <w:rsid w:val="0077747C"/>
    <w:rsid w:val="00777AF9"/>
    <w:rsid w:val="0078212B"/>
    <w:rsid w:val="007831DE"/>
    <w:rsid w:val="007838F8"/>
    <w:rsid w:val="00784903"/>
    <w:rsid w:val="00784DF6"/>
    <w:rsid w:val="00785232"/>
    <w:rsid w:val="007875F5"/>
    <w:rsid w:val="00787856"/>
    <w:rsid w:val="007901D9"/>
    <w:rsid w:val="007960C1"/>
    <w:rsid w:val="00796821"/>
    <w:rsid w:val="007971B9"/>
    <w:rsid w:val="00797751"/>
    <w:rsid w:val="007A0BA7"/>
    <w:rsid w:val="007A1CB2"/>
    <w:rsid w:val="007A2C44"/>
    <w:rsid w:val="007A6B5B"/>
    <w:rsid w:val="007B08A1"/>
    <w:rsid w:val="007B0B8F"/>
    <w:rsid w:val="007B186C"/>
    <w:rsid w:val="007B20C4"/>
    <w:rsid w:val="007B2F68"/>
    <w:rsid w:val="007B34AA"/>
    <w:rsid w:val="007B3D8C"/>
    <w:rsid w:val="007B69BC"/>
    <w:rsid w:val="007B7903"/>
    <w:rsid w:val="007C0CB3"/>
    <w:rsid w:val="007C0DB2"/>
    <w:rsid w:val="007C0E34"/>
    <w:rsid w:val="007C1696"/>
    <w:rsid w:val="007C2BEB"/>
    <w:rsid w:val="007C333D"/>
    <w:rsid w:val="007C3ED0"/>
    <w:rsid w:val="007C48C4"/>
    <w:rsid w:val="007C5769"/>
    <w:rsid w:val="007C5971"/>
    <w:rsid w:val="007C6B98"/>
    <w:rsid w:val="007C793B"/>
    <w:rsid w:val="007D2DE1"/>
    <w:rsid w:val="007D4155"/>
    <w:rsid w:val="007D7FAE"/>
    <w:rsid w:val="007E2687"/>
    <w:rsid w:val="007E42DC"/>
    <w:rsid w:val="007E6A61"/>
    <w:rsid w:val="007F0234"/>
    <w:rsid w:val="007F2129"/>
    <w:rsid w:val="007F2DE0"/>
    <w:rsid w:val="007F3D09"/>
    <w:rsid w:val="007F48C2"/>
    <w:rsid w:val="007F4E0E"/>
    <w:rsid w:val="007F54B9"/>
    <w:rsid w:val="007F6D5B"/>
    <w:rsid w:val="007F7E70"/>
    <w:rsid w:val="00800657"/>
    <w:rsid w:val="008011B6"/>
    <w:rsid w:val="0080379D"/>
    <w:rsid w:val="0080492F"/>
    <w:rsid w:val="00805BEF"/>
    <w:rsid w:val="00806A76"/>
    <w:rsid w:val="0081054A"/>
    <w:rsid w:val="00811001"/>
    <w:rsid w:val="00811C9D"/>
    <w:rsid w:val="00811DEF"/>
    <w:rsid w:val="008122C5"/>
    <w:rsid w:val="00816C80"/>
    <w:rsid w:val="00817626"/>
    <w:rsid w:val="0081797B"/>
    <w:rsid w:val="00822ACF"/>
    <w:rsid w:val="00822BF1"/>
    <w:rsid w:val="00823F6A"/>
    <w:rsid w:val="008302DB"/>
    <w:rsid w:val="008308A4"/>
    <w:rsid w:val="008308F4"/>
    <w:rsid w:val="00830C83"/>
    <w:rsid w:val="00831A3F"/>
    <w:rsid w:val="00832199"/>
    <w:rsid w:val="00832ED2"/>
    <w:rsid w:val="008363A0"/>
    <w:rsid w:val="00836DA4"/>
    <w:rsid w:val="00837291"/>
    <w:rsid w:val="0083730D"/>
    <w:rsid w:val="0084032E"/>
    <w:rsid w:val="00841BCD"/>
    <w:rsid w:val="0084370E"/>
    <w:rsid w:val="00844012"/>
    <w:rsid w:val="0084507C"/>
    <w:rsid w:val="00847264"/>
    <w:rsid w:val="0085039C"/>
    <w:rsid w:val="00851A8E"/>
    <w:rsid w:val="00852024"/>
    <w:rsid w:val="0085365B"/>
    <w:rsid w:val="0085416E"/>
    <w:rsid w:val="00856415"/>
    <w:rsid w:val="00856B62"/>
    <w:rsid w:val="00856E75"/>
    <w:rsid w:val="0085744D"/>
    <w:rsid w:val="00860ED5"/>
    <w:rsid w:val="00862840"/>
    <w:rsid w:val="00863546"/>
    <w:rsid w:val="008658C5"/>
    <w:rsid w:val="00866814"/>
    <w:rsid w:val="00866853"/>
    <w:rsid w:val="00872633"/>
    <w:rsid w:val="008726E3"/>
    <w:rsid w:val="00874ACB"/>
    <w:rsid w:val="00875EF4"/>
    <w:rsid w:val="00875F06"/>
    <w:rsid w:val="00875FC0"/>
    <w:rsid w:val="00876401"/>
    <w:rsid w:val="008769EF"/>
    <w:rsid w:val="00877F83"/>
    <w:rsid w:val="008826C1"/>
    <w:rsid w:val="008828A3"/>
    <w:rsid w:val="008839C1"/>
    <w:rsid w:val="00883DFD"/>
    <w:rsid w:val="00884E3A"/>
    <w:rsid w:val="0088580E"/>
    <w:rsid w:val="0088641A"/>
    <w:rsid w:val="00886A6D"/>
    <w:rsid w:val="008901B5"/>
    <w:rsid w:val="00891071"/>
    <w:rsid w:val="0089210C"/>
    <w:rsid w:val="00892382"/>
    <w:rsid w:val="00892C0A"/>
    <w:rsid w:val="008938FD"/>
    <w:rsid w:val="00893D2E"/>
    <w:rsid w:val="008943BD"/>
    <w:rsid w:val="00894A4B"/>
    <w:rsid w:val="008A063C"/>
    <w:rsid w:val="008A0B13"/>
    <w:rsid w:val="008A0B1C"/>
    <w:rsid w:val="008A1BF7"/>
    <w:rsid w:val="008A201B"/>
    <w:rsid w:val="008A3753"/>
    <w:rsid w:val="008A42A0"/>
    <w:rsid w:val="008A4CA7"/>
    <w:rsid w:val="008A5B0E"/>
    <w:rsid w:val="008A5E04"/>
    <w:rsid w:val="008B0961"/>
    <w:rsid w:val="008B0C67"/>
    <w:rsid w:val="008B2C54"/>
    <w:rsid w:val="008B3A5E"/>
    <w:rsid w:val="008B4EC0"/>
    <w:rsid w:val="008B504A"/>
    <w:rsid w:val="008B62EA"/>
    <w:rsid w:val="008B711C"/>
    <w:rsid w:val="008B760D"/>
    <w:rsid w:val="008C0AAF"/>
    <w:rsid w:val="008C23EE"/>
    <w:rsid w:val="008C2716"/>
    <w:rsid w:val="008C375A"/>
    <w:rsid w:val="008C39F7"/>
    <w:rsid w:val="008C4647"/>
    <w:rsid w:val="008C6129"/>
    <w:rsid w:val="008D1877"/>
    <w:rsid w:val="008D24D3"/>
    <w:rsid w:val="008D2B2D"/>
    <w:rsid w:val="008D3B50"/>
    <w:rsid w:val="008D7A54"/>
    <w:rsid w:val="008E1BED"/>
    <w:rsid w:val="008E2983"/>
    <w:rsid w:val="008E6767"/>
    <w:rsid w:val="008E7463"/>
    <w:rsid w:val="008F1AAD"/>
    <w:rsid w:val="008F1CB1"/>
    <w:rsid w:val="008F2EF0"/>
    <w:rsid w:val="008F3686"/>
    <w:rsid w:val="008F3F17"/>
    <w:rsid w:val="008F43A8"/>
    <w:rsid w:val="008F4B3E"/>
    <w:rsid w:val="008F5103"/>
    <w:rsid w:val="008F6791"/>
    <w:rsid w:val="008F6E6A"/>
    <w:rsid w:val="008F718C"/>
    <w:rsid w:val="008F76A6"/>
    <w:rsid w:val="0090091A"/>
    <w:rsid w:val="0090131C"/>
    <w:rsid w:val="0090184E"/>
    <w:rsid w:val="0090254F"/>
    <w:rsid w:val="009042BD"/>
    <w:rsid w:val="00904908"/>
    <w:rsid w:val="00904914"/>
    <w:rsid w:val="00904FE4"/>
    <w:rsid w:val="00905266"/>
    <w:rsid w:val="009078DC"/>
    <w:rsid w:val="0091188E"/>
    <w:rsid w:val="0091286D"/>
    <w:rsid w:val="00912ED5"/>
    <w:rsid w:val="00913676"/>
    <w:rsid w:val="00913C88"/>
    <w:rsid w:val="00914D4E"/>
    <w:rsid w:val="009163A6"/>
    <w:rsid w:val="00920902"/>
    <w:rsid w:val="00922D69"/>
    <w:rsid w:val="009233C5"/>
    <w:rsid w:val="00923AF0"/>
    <w:rsid w:val="00924E66"/>
    <w:rsid w:val="00926386"/>
    <w:rsid w:val="00927740"/>
    <w:rsid w:val="00930F4F"/>
    <w:rsid w:val="0093151D"/>
    <w:rsid w:val="009328A1"/>
    <w:rsid w:val="009332AA"/>
    <w:rsid w:val="00934C64"/>
    <w:rsid w:val="00934C68"/>
    <w:rsid w:val="00935CCD"/>
    <w:rsid w:val="00935FA2"/>
    <w:rsid w:val="00936159"/>
    <w:rsid w:val="0093648B"/>
    <w:rsid w:val="00936782"/>
    <w:rsid w:val="00937869"/>
    <w:rsid w:val="00941002"/>
    <w:rsid w:val="00943365"/>
    <w:rsid w:val="0094336C"/>
    <w:rsid w:val="0094545C"/>
    <w:rsid w:val="009462AC"/>
    <w:rsid w:val="009473C2"/>
    <w:rsid w:val="00947F50"/>
    <w:rsid w:val="00950520"/>
    <w:rsid w:val="00950E68"/>
    <w:rsid w:val="00954B39"/>
    <w:rsid w:val="00954FF3"/>
    <w:rsid w:val="0095542E"/>
    <w:rsid w:val="0095594B"/>
    <w:rsid w:val="00955D06"/>
    <w:rsid w:val="009563EA"/>
    <w:rsid w:val="00956563"/>
    <w:rsid w:val="009569C5"/>
    <w:rsid w:val="00956EF5"/>
    <w:rsid w:val="00960165"/>
    <w:rsid w:val="00960635"/>
    <w:rsid w:val="00960871"/>
    <w:rsid w:val="00964305"/>
    <w:rsid w:val="009647BC"/>
    <w:rsid w:val="009672F4"/>
    <w:rsid w:val="00971BC1"/>
    <w:rsid w:val="00973F19"/>
    <w:rsid w:val="00974396"/>
    <w:rsid w:val="00975A99"/>
    <w:rsid w:val="00977B61"/>
    <w:rsid w:val="00977E1D"/>
    <w:rsid w:val="009816FC"/>
    <w:rsid w:val="00982777"/>
    <w:rsid w:val="00984CD1"/>
    <w:rsid w:val="00985F50"/>
    <w:rsid w:val="00987632"/>
    <w:rsid w:val="00990846"/>
    <w:rsid w:val="00990BA1"/>
    <w:rsid w:val="00991D4D"/>
    <w:rsid w:val="00992A70"/>
    <w:rsid w:val="009938FE"/>
    <w:rsid w:val="00994111"/>
    <w:rsid w:val="00994DCF"/>
    <w:rsid w:val="009951B6"/>
    <w:rsid w:val="00996C16"/>
    <w:rsid w:val="00997B77"/>
    <w:rsid w:val="009A1F26"/>
    <w:rsid w:val="009A2C6E"/>
    <w:rsid w:val="009A3484"/>
    <w:rsid w:val="009A3E82"/>
    <w:rsid w:val="009A4711"/>
    <w:rsid w:val="009A6AB6"/>
    <w:rsid w:val="009A6E05"/>
    <w:rsid w:val="009A6F88"/>
    <w:rsid w:val="009B0329"/>
    <w:rsid w:val="009B0573"/>
    <w:rsid w:val="009B3671"/>
    <w:rsid w:val="009B4005"/>
    <w:rsid w:val="009B49BE"/>
    <w:rsid w:val="009B5069"/>
    <w:rsid w:val="009B6913"/>
    <w:rsid w:val="009B7B4B"/>
    <w:rsid w:val="009B7C21"/>
    <w:rsid w:val="009B7F0D"/>
    <w:rsid w:val="009C0EB1"/>
    <w:rsid w:val="009C0EB8"/>
    <w:rsid w:val="009C0EE6"/>
    <w:rsid w:val="009C5431"/>
    <w:rsid w:val="009C62B6"/>
    <w:rsid w:val="009C6370"/>
    <w:rsid w:val="009C6700"/>
    <w:rsid w:val="009D1626"/>
    <w:rsid w:val="009D2C30"/>
    <w:rsid w:val="009D419C"/>
    <w:rsid w:val="009D4D2B"/>
    <w:rsid w:val="009D55D0"/>
    <w:rsid w:val="009D7E21"/>
    <w:rsid w:val="009E03EE"/>
    <w:rsid w:val="009E23D1"/>
    <w:rsid w:val="009E3043"/>
    <w:rsid w:val="009E397E"/>
    <w:rsid w:val="009E3C0C"/>
    <w:rsid w:val="009E3FC7"/>
    <w:rsid w:val="009E4180"/>
    <w:rsid w:val="009E4E6E"/>
    <w:rsid w:val="009E5356"/>
    <w:rsid w:val="009E536F"/>
    <w:rsid w:val="009E5496"/>
    <w:rsid w:val="009E6E43"/>
    <w:rsid w:val="009F010A"/>
    <w:rsid w:val="009F0E69"/>
    <w:rsid w:val="009F427E"/>
    <w:rsid w:val="009F4EA0"/>
    <w:rsid w:val="009F54EF"/>
    <w:rsid w:val="009F58C1"/>
    <w:rsid w:val="009F7D52"/>
    <w:rsid w:val="00A01073"/>
    <w:rsid w:val="00A011FD"/>
    <w:rsid w:val="00A02F96"/>
    <w:rsid w:val="00A04992"/>
    <w:rsid w:val="00A05605"/>
    <w:rsid w:val="00A05F78"/>
    <w:rsid w:val="00A10237"/>
    <w:rsid w:val="00A1236A"/>
    <w:rsid w:val="00A13CE0"/>
    <w:rsid w:val="00A1461A"/>
    <w:rsid w:val="00A147AA"/>
    <w:rsid w:val="00A1598B"/>
    <w:rsid w:val="00A16839"/>
    <w:rsid w:val="00A1787A"/>
    <w:rsid w:val="00A20EE2"/>
    <w:rsid w:val="00A21D71"/>
    <w:rsid w:val="00A22B78"/>
    <w:rsid w:val="00A244A2"/>
    <w:rsid w:val="00A246D0"/>
    <w:rsid w:val="00A246F7"/>
    <w:rsid w:val="00A24E2F"/>
    <w:rsid w:val="00A25768"/>
    <w:rsid w:val="00A25AE5"/>
    <w:rsid w:val="00A26442"/>
    <w:rsid w:val="00A2726E"/>
    <w:rsid w:val="00A277A1"/>
    <w:rsid w:val="00A3144E"/>
    <w:rsid w:val="00A365F3"/>
    <w:rsid w:val="00A37002"/>
    <w:rsid w:val="00A4102A"/>
    <w:rsid w:val="00A41065"/>
    <w:rsid w:val="00A4126D"/>
    <w:rsid w:val="00A4355E"/>
    <w:rsid w:val="00A445A2"/>
    <w:rsid w:val="00A45009"/>
    <w:rsid w:val="00A4535C"/>
    <w:rsid w:val="00A45FEE"/>
    <w:rsid w:val="00A464E9"/>
    <w:rsid w:val="00A46D27"/>
    <w:rsid w:val="00A478DF"/>
    <w:rsid w:val="00A512EE"/>
    <w:rsid w:val="00A520D9"/>
    <w:rsid w:val="00A53C91"/>
    <w:rsid w:val="00A550A6"/>
    <w:rsid w:val="00A55310"/>
    <w:rsid w:val="00A554A4"/>
    <w:rsid w:val="00A55A13"/>
    <w:rsid w:val="00A60E7B"/>
    <w:rsid w:val="00A60E8E"/>
    <w:rsid w:val="00A61D0D"/>
    <w:rsid w:val="00A637F4"/>
    <w:rsid w:val="00A649B1"/>
    <w:rsid w:val="00A64DA0"/>
    <w:rsid w:val="00A64FE0"/>
    <w:rsid w:val="00A653A3"/>
    <w:rsid w:val="00A65404"/>
    <w:rsid w:val="00A65D59"/>
    <w:rsid w:val="00A672EF"/>
    <w:rsid w:val="00A70214"/>
    <w:rsid w:val="00A71936"/>
    <w:rsid w:val="00A71A47"/>
    <w:rsid w:val="00A72CAB"/>
    <w:rsid w:val="00A73AD2"/>
    <w:rsid w:val="00A74FB6"/>
    <w:rsid w:val="00A81899"/>
    <w:rsid w:val="00A8321E"/>
    <w:rsid w:val="00A90AB6"/>
    <w:rsid w:val="00A90E20"/>
    <w:rsid w:val="00A92BCD"/>
    <w:rsid w:val="00A942F6"/>
    <w:rsid w:val="00A9462E"/>
    <w:rsid w:val="00A96E72"/>
    <w:rsid w:val="00A978DD"/>
    <w:rsid w:val="00AA02FE"/>
    <w:rsid w:val="00AA0CDF"/>
    <w:rsid w:val="00AA123A"/>
    <w:rsid w:val="00AA1B0E"/>
    <w:rsid w:val="00AA25E1"/>
    <w:rsid w:val="00AA45EC"/>
    <w:rsid w:val="00AA47B6"/>
    <w:rsid w:val="00AA5D6D"/>
    <w:rsid w:val="00AB0394"/>
    <w:rsid w:val="00AB0F99"/>
    <w:rsid w:val="00AB1A75"/>
    <w:rsid w:val="00AB3CC7"/>
    <w:rsid w:val="00AB4786"/>
    <w:rsid w:val="00AC034A"/>
    <w:rsid w:val="00AC163B"/>
    <w:rsid w:val="00AC1AF4"/>
    <w:rsid w:val="00AC3F52"/>
    <w:rsid w:val="00AC5CA7"/>
    <w:rsid w:val="00AC6058"/>
    <w:rsid w:val="00AD2063"/>
    <w:rsid w:val="00AD49F8"/>
    <w:rsid w:val="00AD5ABD"/>
    <w:rsid w:val="00AD5DB2"/>
    <w:rsid w:val="00AD660D"/>
    <w:rsid w:val="00AD7490"/>
    <w:rsid w:val="00AE17ED"/>
    <w:rsid w:val="00AE181F"/>
    <w:rsid w:val="00AE19E8"/>
    <w:rsid w:val="00AE2BA5"/>
    <w:rsid w:val="00AE4116"/>
    <w:rsid w:val="00AE4870"/>
    <w:rsid w:val="00AE56B1"/>
    <w:rsid w:val="00AE6D09"/>
    <w:rsid w:val="00AE7D07"/>
    <w:rsid w:val="00AF20EC"/>
    <w:rsid w:val="00AF3EF7"/>
    <w:rsid w:val="00AF4B1F"/>
    <w:rsid w:val="00AF4B55"/>
    <w:rsid w:val="00AF6341"/>
    <w:rsid w:val="00AF7495"/>
    <w:rsid w:val="00AF7A7C"/>
    <w:rsid w:val="00AF7E76"/>
    <w:rsid w:val="00B00305"/>
    <w:rsid w:val="00B02070"/>
    <w:rsid w:val="00B02237"/>
    <w:rsid w:val="00B024B2"/>
    <w:rsid w:val="00B04D17"/>
    <w:rsid w:val="00B05709"/>
    <w:rsid w:val="00B060D3"/>
    <w:rsid w:val="00B06A49"/>
    <w:rsid w:val="00B0709B"/>
    <w:rsid w:val="00B0759F"/>
    <w:rsid w:val="00B10477"/>
    <w:rsid w:val="00B10644"/>
    <w:rsid w:val="00B10B8E"/>
    <w:rsid w:val="00B148EB"/>
    <w:rsid w:val="00B15AE6"/>
    <w:rsid w:val="00B16A31"/>
    <w:rsid w:val="00B17B81"/>
    <w:rsid w:val="00B17F52"/>
    <w:rsid w:val="00B213F5"/>
    <w:rsid w:val="00B22368"/>
    <w:rsid w:val="00B30282"/>
    <w:rsid w:val="00B318B5"/>
    <w:rsid w:val="00B32FE9"/>
    <w:rsid w:val="00B349A4"/>
    <w:rsid w:val="00B35404"/>
    <w:rsid w:val="00B403D7"/>
    <w:rsid w:val="00B408B6"/>
    <w:rsid w:val="00B415CA"/>
    <w:rsid w:val="00B41940"/>
    <w:rsid w:val="00B424DD"/>
    <w:rsid w:val="00B42B87"/>
    <w:rsid w:val="00B44C36"/>
    <w:rsid w:val="00B45455"/>
    <w:rsid w:val="00B457AE"/>
    <w:rsid w:val="00B46588"/>
    <w:rsid w:val="00B5101A"/>
    <w:rsid w:val="00B542DA"/>
    <w:rsid w:val="00B607AC"/>
    <w:rsid w:val="00B623A4"/>
    <w:rsid w:val="00B6584C"/>
    <w:rsid w:val="00B65B04"/>
    <w:rsid w:val="00B65D72"/>
    <w:rsid w:val="00B667E0"/>
    <w:rsid w:val="00B66EB2"/>
    <w:rsid w:val="00B70163"/>
    <w:rsid w:val="00B72EAD"/>
    <w:rsid w:val="00B73442"/>
    <w:rsid w:val="00B73862"/>
    <w:rsid w:val="00B73F43"/>
    <w:rsid w:val="00B73FF1"/>
    <w:rsid w:val="00B745B4"/>
    <w:rsid w:val="00B74C50"/>
    <w:rsid w:val="00B75BBF"/>
    <w:rsid w:val="00B76323"/>
    <w:rsid w:val="00B77C5D"/>
    <w:rsid w:val="00B81680"/>
    <w:rsid w:val="00B81CDC"/>
    <w:rsid w:val="00B824EE"/>
    <w:rsid w:val="00B825FF"/>
    <w:rsid w:val="00B83C85"/>
    <w:rsid w:val="00B8410A"/>
    <w:rsid w:val="00B845A8"/>
    <w:rsid w:val="00B86D9E"/>
    <w:rsid w:val="00B90305"/>
    <w:rsid w:val="00B90969"/>
    <w:rsid w:val="00B92125"/>
    <w:rsid w:val="00B93DAF"/>
    <w:rsid w:val="00B95171"/>
    <w:rsid w:val="00B954A2"/>
    <w:rsid w:val="00B95A11"/>
    <w:rsid w:val="00B961DA"/>
    <w:rsid w:val="00B97D78"/>
    <w:rsid w:val="00BA05FD"/>
    <w:rsid w:val="00BA1B6E"/>
    <w:rsid w:val="00BA308C"/>
    <w:rsid w:val="00BA39D0"/>
    <w:rsid w:val="00BA4505"/>
    <w:rsid w:val="00BA4FBE"/>
    <w:rsid w:val="00BA6B66"/>
    <w:rsid w:val="00BA6E48"/>
    <w:rsid w:val="00BA7BC9"/>
    <w:rsid w:val="00BB0145"/>
    <w:rsid w:val="00BB0864"/>
    <w:rsid w:val="00BB2258"/>
    <w:rsid w:val="00BB35E1"/>
    <w:rsid w:val="00BB67F3"/>
    <w:rsid w:val="00BC03D4"/>
    <w:rsid w:val="00BC133D"/>
    <w:rsid w:val="00BC1D53"/>
    <w:rsid w:val="00BC4261"/>
    <w:rsid w:val="00BC4EDF"/>
    <w:rsid w:val="00BC6CCE"/>
    <w:rsid w:val="00BC71AD"/>
    <w:rsid w:val="00BD01AD"/>
    <w:rsid w:val="00BD09FE"/>
    <w:rsid w:val="00BD13F7"/>
    <w:rsid w:val="00BD1E0F"/>
    <w:rsid w:val="00BD2975"/>
    <w:rsid w:val="00BD42C9"/>
    <w:rsid w:val="00BD4842"/>
    <w:rsid w:val="00BD4C45"/>
    <w:rsid w:val="00BD64F4"/>
    <w:rsid w:val="00BD7944"/>
    <w:rsid w:val="00BE0AF6"/>
    <w:rsid w:val="00BE1AB2"/>
    <w:rsid w:val="00BE1F03"/>
    <w:rsid w:val="00BE58A7"/>
    <w:rsid w:val="00BE64D9"/>
    <w:rsid w:val="00BE6684"/>
    <w:rsid w:val="00BE6A11"/>
    <w:rsid w:val="00BE74A3"/>
    <w:rsid w:val="00BE7BE8"/>
    <w:rsid w:val="00BF05AF"/>
    <w:rsid w:val="00BF185E"/>
    <w:rsid w:val="00BF2218"/>
    <w:rsid w:val="00BF2C95"/>
    <w:rsid w:val="00BF38AA"/>
    <w:rsid w:val="00BF4001"/>
    <w:rsid w:val="00BF521A"/>
    <w:rsid w:val="00BF52D3"/>
    <w:rsid w:val="00BF5EE2"/>
    <w:rsid w:val="00BF612F"/>
    <w:rsid w:val="00BF622A"/>
    <w:rsid w:val="00BF6729"/>
    <w:rsid w:val="00BF709C"/>
    <w:rsid w:val="00C037A7"/>
    <w:rsid w:val="00C0426B"/>
    <w:rsid w:val="00C04528"/>
    <w:rsid w:val="00C045DF"/>
    <w:rsid w:val="00C05593"/>
    <w:rsid w:val="00C061FE"/>
    <w:rsid w:val="00C10116"/>
    <w:rsid w:val="00C11554"/>
    <w:rsid w:val="00C12AAC"/>
    <w:rsid w:val="00C1397F"/>
    <w:rsid w:val="00C13CAF"/>
    <w:rsid w:val="00C15ACC"/>
    <w:rsid w:val="00C16B9B"/>
    <w:rsid w:val="00C177F5"/>
    <w:rsid w:val="00C17E7C"/>
    <w:rsid w:val="00C17F45"/>
    <w:rsid w:val="00C20FF2"/>
    <w:rsid w:val="00C2108D"/>
    <w:rsid w:val="00C212DA"/>
    <w:rsid w:val="00C21CB7"/>
    <w:rsid w:val="00C22E64"/>
    <w:rsid w:val="00C22F3A"/>
    <w:rsid w:val="00C2315D"/>
    <w:rsid w:val="00C23957"/>
    <w:rsid w:val="00C23A9F"/>
    <w:rsid w:val="00C246E6"/>
    <w:rsid w:val="00C247E7"/>
    <w:rsid w:val="00C25218"/>
    <w:rsid w:val="00C25AD5"/>
    <w:rsid w:val="00C26B64"/>
    <w:rsid w:val="00C26D43"/>
    <w:rsid w:val="00C27D4C"/>
    <w:rsid w:val="00C303C3"/>
    <w:rsid w:val="00C31C19"/>
    <w:rsid w:val="00C321BC"/>
    <w:rsid w:val="00C35173"/>
    <w:rsid w:val="00C35D93"/>
    <w:rsid w:val="00C35E3C"/>
    <w:rsid w:val="00C35EE7"/>
    <w:rsid w:val="00C36B0C"/>
    <w:rsid w:val="00C36DAE"/>
    <w:rsid w:val="00C37000"/>
    <w:rsid w:val="00C40686"/>
    <w:rsid w:val="00C463D4"/>
    <w:rsid w:val="00C46548"/>
    <w:rsid w:val="00C46C6C"/>
    <w:rsid w:val="00C472C1"/>
    <w:rsid w:val="00C47B91"/>
    <w:rsid w:val="00C50A78"/>
    <w:rsid w:val="00C51A7D"/>
    <w:rsid w:val="00C540E7"/>
    <w:rsid w:val="00C5534C"/>
    <w:rsid w:val="00C55526"/>
    <w:rsid w:val="00C55DDD"/>
    <w:rsid w:val="00C574D5"/>
    <w:rsid w:val="00C605F9"/>
    <w:rsid w:val="00C60646"/>
    <w:rsid w:val="00C629E3"/>
    <w:rsid w:val="00C63E5A"/>
    <w:rsid w:val="00C64F22"/>
    <w:rsid w:val="00C6531E"/>
    <w:rsid w:val="00C65F76"/>
    <w:rsid w:val="00C660A7"/>
    <w:rsid w:val="00C66912"/>
    <w:rsid w:val="00C67A3B"/>
    <w:rsid w:val="00C67FD5"/>
    <w:rsid w:val="00C72A59"/>
    <w:rsid w:val="00C72AA7"/>
    <w:rsid w:val="00C72D3D"/>
    <w:rsid w:val="00C72D3E"/>
    <w:rsid w:val="00C72DBC"/>
    <w:rsid w:val="00C72E0C"/>
    <w:rsid w:val="00C7361C"/>
    <w:rsid w:val="00C73F32"/>
    <w:rsid w:val="00C741BD"/>
    <w:rsid w:val="00C74819"/>
    <w:rsid w:val="00C74AFC"/>
    <w:rsid w:val="00C76F03"/>
    <w:rsid w:val="00C77371"/>
    <w:rsid w:val="00C777D7"/>
    <w:rsid w:val="00C77B86"/>
    <w:rsid w:val="00C807CC"/>
    <w:rsid w:val="00C8513C"/>
    <w:rsid w:val="00C87462"/>
    <w:rsid w:val="00C87D12"/>
    <w:rsid w:val="00C92032"/>
    <w:rsid w:val="00C92E0B"/>
    <w:rsid w:val="00C9312A"/>
    <w:rsid w:val="00C9317A"/>
    <w:rsid w:val="00C93700"/>
    <w:rsid w:val="00C950E9"/>
    <w:rsid w:val="00C9635A"/>
    <w:rsid w:val="00C96FF7"/>
    <w:rsid w:val="00CA0659"/>
    <w:rsid w:val="00CA0CA3"/>
    <w:rsid w:val="00CA117E"/>
    <w:rsid w:val="00CA17EB"/>
    <w:rsid w:val="00CA180C"/>
    <w:rsid w:val="00CA4377"/>
    <w:rsid w:val="00CA7154"/>
    <w:rsid w:val="00CA7B1E"/>
    <w:rsid w:val="00CB0697"/>
    <w:rsid w:val="00CB0713"/>
    <w:rsid w:val="00CB07A0"/>
    <w:rsid w:val="00CB1721"/>
    <w:rsid w:val="00CB1B09"/>
    <w:rsid w:val="00CB22B2"/>
    <w:rsid w:val="00CB2626"/>
    <w:rsid w:val="00CB29CE"/>
    <w:rsid w:val="00CB2CEB"/>
    <w:rsid w:val="00CB43A4"/>
    <w:rsid w:val="00CB5CF5"/>
    <w:rsid w:val="00CB64F3"/>
    <w:rsid w:val="00CC01F7"/>
    <w:rsid w:val="00CC1309"/>
    <w:rsid w:val="00CC1A0D"/>
    <w:rsid w:val="00CC1ED9"/>
    <w:rsid w:val="00CC2B30"/>
    <w:rsid w:val="00CC3884"/>
    <w:rsid w:val="00CC3EE2"/>
    <w:rsid w:val="00CC447E"/>
    <w:rsid w:val="00CC4C06"/>
    <w:rsid w:val="00CC56DF"/>
    <w:rsid w:val="00CC5DA3"/>
    <w:rsid w:val="00CD4D69"/>
    <w:rsid w:val="00CD67FC"/>
    <w:rsid w:val="00CD6A6E"/>
    <w:rsid w:val="00CD7492"/>
    <w:rsid w:val="00CE12D1"/>
    <w:rsid w:val="00CE2333"/>
    <w:rsid w:val="00CE2895"/>
    <w:rsid w:val="00CE2AAB"/>
    <w:rsid w:val="00CE2BD1"/>
    <w:rsid w:val="00CE3A6B"/>
    <w:rsid w:val="00CE458A"/>
    <w:rsid w:val="00CE4D97"/>
    <w:rsid w:val="00CE7B64"/>
    <w:rsid w:val="00CF00E5"/>
    <w:rsid w:val="00CF03E1"/>
    <w:rsid w:val="00CF1DB3"/>
    <w:rsid w:val="00CF2834"/>
    <w:rsid w:val="00CF4296"/>
    <w:rsid w:val="00CF4CC3"/>
    <w:rsid w:val="00CF786E"/>
    <w:rsid w:val="00CF7DB8"/>
    <w:rsid w:val="00D00211"/>
    <w:rsid w:val="00D006D1"/>
    <w:rsid w:val="00D007AA"/>
    <w:rsid w:val="00D025AE"/>
    <w:rsid w:val="00D02BB5"/>
    <w:rsid w:val="00D06309"/>
    <w:rsid w:val="00D075B0"/>
    <w:rsid w:val="00D1000A"/>
    <w:rsid w:val="00D15BE1"/>
    <w:rsid w:val="00D17285"/>
    <w:rsid w:val="00D21CC2"/>
    <w:rsid w:val="00D22711"/>
    <w:rsid w:val="00D22B6E"/>
    <w:rsid w:val="00D234F8"/>
    <w:rsid w:val="00D23B31"/>
    <w:rsid w:val="00D26C26"/>
    <w:rsid w:val="00D279DC"/>
    <w:rsid w:val="00D311A3"/>
    <w:rsid w:val="00D326CF"/>
    <w:rsid w:val="00D33018"/>
    <w:rsid w:val="00D340B7"/>
    <w:rsid w:val="00D35037"/>
    <w:rsid w:val="00D351EA"/>
    <w:rsid w:val="00D36714"/>
    <w:rsid w:val="00D40288"/>
    <w:rsid w:val="00D413ED"/>
    <w:rsid w:val="00D416DE"/>
    <w:rsid w:val="00D42DF4"/>
    <w:rsid w:val="00D43403"/>
    <w:rsid w:val="00D44C29"/>
    <w:rsid w:val="00D44F26"/>
    <w:rsid w:val="00D46D37"/>
    <w:rsid w:val="00D505DA"/>
    <w:rsid w:val="00D50A6B"/>
    <w:rsid w:val="00D50B76"/>
    <w:rsid w:val="00D51AAC"/>
    <w:rsid w:val="00D52190"/>
    <w:rsid w:val="00D521B7"/>
    <w:rsid w:val="00D5270B"/>
    <w:rsid w:val="00D53DF3"/>
    <w:rsid w:val="00D550B7"/>
    <w:rsid w:val="00D57932"/>
    <w:rsid w:val="00D602D1"/>
    <w:rsid w:val="00D60B69"/>
    <w:rsid w:val="00D61773"/>
    <w:rsid w:val="00D619F5"/>
    <w:rsid w:val="00D620F6"/>
    <w:rsid w:val="00D62E71"/>
    <w:rsid w:val="00D6355A"/>
    <w:rsid w:val="00D6430D"/>
    <w:rsid w:val="00D6453B"/>
    <w:rsid w:val="00D64F44"/>
    <w:rsid w:val="00D66188"/>
    <w:rsid w:val="00D67A69"/>
    <w:rsid w:val="00D731F6"/>
    <w:rsid w:val="00D740CA"/>
    <w:rsid w:val="00D756D6"/>
    <w:rsid w:val="00D77192"/>
    <w:rsid w:val="00D778F6"/>
    <w:rsid w:val="00D77CDB"/>
    <w:rsid w:val="00D83036"/>
    <w:rsid w:val="00D838EE"/>
    <w:rsid w:val="00D83E84"/>
    <w:rsid w:val="00D856AA"/>
    <w:rsid w:val="00D85728"/>
    <w:rsid w:val="00D903FB"/>
    <w:rsid w:val="00D9058E"/>
    <w:rsid w:val="00D91257"/>
    <w:rsid w:val="00D91296"/>
    <w:rsid w:val="00D92361"/>
    <w:rsid w:val="00D92C87"/>
    <w:rsid w:val="00D95481"/>
    <w:rsid w:val="00D966ED"/>
    <w:rsid w:val="00D971A8"/>
    <w:rsid w:val="00DA0336"/>
    <w:rsid w:val="00DA1CD1"/>
    <w:rsid w:val="00DA2207"/>
    <w:rsid w:val="00DA22FC"/>
    <w:rsid w:val="00DA2B9E"/>
    <w:rsid w:val="00DA3B59"/>
    <w:rsid w:val="00DA555A"/>
    <w:rsid w:val="00DA688E"/>
    <w:rsid w:val="00DA7297"/>
    <w:rsid w:val="00DB143A"/>
    <w:rsid w:val="00DB1A3D"/>
    <w:rsid w:val="00DB1FA1"/>
    <w:rsid w:val="00DB559F"/>
    <w:rsid w:val="00DB6019"/>
    <w:rsid w:val="00DB61FE"/>
    <w:rsid w:val="00DC3A36"/>
    <w:rsid w:val="00DC3C45"/>
    <w:rsid w:val="00DC4FDC"/>
    <w:rsid w:val="00DC5F7A"/>
    <w:rsid w:val="00DC73BF"/>
    <w:rsid w:val="00DC74D9"/>
    <w:rsid w:val="00DC769C"/>
    <w:rsid w:val="00DC7A13"/>
    <w:rsid w:val="00DC7F86"/>
    <w:rsid w:val="00DD07DE"/>
    <w:rsid w:val="00DD0F82"/>
    <w:rsid w:val="00DD1702"/>
    <w:rsid w:val="00DD1718"/>
    <w:rsid w:val="00DD2FD3"/>
    <w:rsid w:val="00DD4D0D"/>
    <w:rsid w:val="00DD5794"/>
    <w:rsid w:val="00DD6A40"/>
    <w:rsid w:val="00DD73E0"/>
    <w:rsid w:val="00DE1425"/>
    <w:rsid w:val="00DE2162"/>
    <w:rsid w:val="00DE2EF4"/>
    <w:rsid w:val="00DE3D4F"/>
    <w:rsid w:val="00DE4291"/>
    <w:rsid w:val="00DE4425"/>
    <w:rsid w:val="00DE4CA7"/>
    <w:rsid w:val="00DE56F6"/>
    <w:rsid w:val="00DE5FA4"/>
    <w:rsid w:val="00DE7064"/>
    <w:rsid w:val="00DF1363"/>
    <w:rsid w:val="00DF1DCB"/>
    <w:rsid w:val="00DF2997"/>
    <w:rsid w:val="00DF5C6C"/>
    <w:rsid w:val="00DF6595"/>
    <w:rsid w:val="00DF6997"/>
    <w:rsid w:val="00DF7C91"/>
    <w:rsid w:val="00E002D5"/>
    <w:rsid w:val="00E014CA"/>
    <w:rsid w:val="00E031B8"/>
    <w:rsid w:val="00E06246"/>
    <w:rsid w:val="00E06288"/>
    <w:rsid w:val="00E10174"/>
    <w:rsid w:val="00E104D7"/>
    <w:rsid w:val="00E109FB"/>
    <w:rsid w:val="00E10A65"/>
    <w:rsid w:val="00E10BC4"/>
    <w:rsid w:val="00E125C5"/>
    <w:rsid w:val="00E12B68"/>
    <w:rsid w:val="00E13748"/>
    <w:rsid w:val="00E13CB6"/>
    <w:rsid w:val="00E1415D"/>
    <w:rsid w:val="00E14E23"/>
    <w:rsid w:val="00E16355"/>
    <w:rsid w:val="00E17893"/>
    <w:rsid w:val="00E17E79"/>
    <w:rsid w:val="00E201F9"/>
    <w:rsid w:val="00E20F0D"/>
    <w:rsid w:val="00E213BD"/>
    <w:rsid w:val="00E226BF"/>
    <w:rsid w:val="00E2530C"/>
    <w:rsid w:val="00E26708"/>
    <w:rsid w:val="00E2709E"/>
    <w:rsid w:val="00E30884"/>
    <w:rsid w:val="00E323E9"/>
    <w:rsid w:val="00E32D70"/>
    <w:rsid w:val="00E32FB6"/>
    <w:rsid w:val="00E33CB1"/>
    <w:rsid w:val="00E34018"/>
    <w:rsid w:val="00E3758F"/>
    <w:rsid w:val="00E4004A"/>
    <w:rsid w:val="00E40301"/>
    <w:rsid w:val="00E40E86"/>
    <w:rsid w:val="00E4237A"/>
    <w:rsid w:val="00E423ED"/>
    <w:rsid w:val="00E437D2"/>
    <w:rsid w:val="00E43BF9"/>
    <w:rsid w:val="00E44515"/>
    <w:rsid w:val="00E44BC4"/>
    <w:rsid w:val="00E4580D"/>
    <w:rsid w:val="00E45B15"/>
    <w:rsid w:val="00E47BC6"/>
    <w:rsid w:val="00E518A0"/>
    <w:rsid w:val="00E51930"/>
    <w:rsid w:val="00E55751"/>
    <w:rsid w:val="00E56D79"/>
    <w:rsid w:val="00E572B7"/>
    <w:rsid w:val="00E575DB"/>
    <w:rsid w:val="00E607BC"/>
    <w:rsid w:val="00E61B02"/>
    <w:rsid w:val="00E62AD7"/>
    <w:rsid w:val="00E64308"/>
    <w:rsid w:val="00E65F83"/>
    <w:rsid w:val="00E66728"/>
    <w:rsid w:val="00E668E1"/>
    <w:rsid w:val="00E67186"/>
    <w:rsid w:val="00E701C0"/>
    <w:rsid w:val="00E72CEF"/>
    <w:rsid w:val="00E733EC"/>
    <w:rsid w:val="00E7398E"/>
    <w:rsid w:val="00E7530B"/>
    <w:rsid w:val="00E75459"/>
    <w:rsid w:val="00E773D6"/>
    <w:rsid w:val="00E82B94"/>
    <w:rsid w:val="00E84178"/>
    <w:rsid w:val="00E8425F"/>
    <w:rsid w:val="00E874F0"/>
    <w:rsid w:val="00E941D2"/>
    <w:rsid w:val="00E94A56"/>
    <w:rsid w:val="00E96641"/>
    <w:rsid w:val="00E96E59"/>
    <w:rsid w:val="00E979BE"/>
    <w:rsid w:val="00EA09AB"/>
    <w:rsid w:val="00EA2055"/>
    <w:rsid w:val="00EA2311"/>
    <w:rsid w:val="00EA35BF"/>
    <w:rsid w:val="00EA6525"/>
    <w:rsid w:val="00EB4D47"/>
    <w:rsid w:val="00EB695D"/>
    <w:rsid w:val="00EB6ABE"/>
    <w:rsid w:val="00EB6DAB"/>
    <w:rsid w:val="00EB6E40"/>
    <w:rsid w:val="00EB756F"/>
    <w:rsid w:val="00EC1407"/>
    <w:rsid w:val="00EC4108"/>
    <w:rsid w:val="00EC577F"/>
    <w:rsid w:val="00EC76A6"/>
    <w:rsid w:val="00EC7BC3"/>
    <w:rsid w:val="00ED1148"/>
    <w:rsid w:val="00ED23D7"/>
    <w:rsid w:val="00ED2BBB"/>
    <w:rsid w:val="00ED349B"/>
    <w:rsid w:val="00ED6F74"/>
    <w:rsid w:val="00ED7600"/>
    <w:rsid w:val="00EE1791"/>
    <w:rsid w:val="00EE4241"/>
    <w:rsid w:val="00EE62CE"/>
    <w:rsid w:val="00EF0520"/>
    <w:rsid w:val="00EF10FD"/>
    <w:rsid w:val="00EF232C"/>
    <w:rsid w:val="00EF4840"/>
    <w:rsid w:val="00EF4F9C"/>
    <w:rsid w:val="00EF6073"/>
    <w:rsid w:val="00EF698B"/>
    <w:rsid w:val="00EF6E37"/>
    <w:rsid w:val="00F00041"/>
    <w:rsid w:val="00F00459"/>
    <w:rsid w:val="00F04374"/>
    <w:rsid w:val="00F06CDE"/>
    <w:rsid w:val="00F07BB2"/>
    <w:rsid w:val="00F112FE"/>
    <w:rsid w:val="00F1362C"/>
    <w:rsid w:val="00F146D0"/>
    <w:rsid w:val="00F14CEE"/>
    <w:rsid w:val="00F151D9"/>
    <w:rsid w:val="00F15A4F"/>
    <w:rsid w:val="00F1789F"/>
    <w:rsid w:val="00F20EE0"/>
    <w:rsid w:val="00F2289F"/>
    <w:rsid w:val="00F2356A"/>
    <w:rsid w:val="00F23E61"/>
    <w:rsid w:val="00F24D6C"/>
    <w:rsid w:val="00F2532E"/>
    <w:rsid w:val="00F2647E"/>
    <w:rsid w:val="00F2758D"/>
    <w:rsid w:val="00F315A4"/>
    <w:rsid w:val="00F316F9"/>
    <w:rsid w:val="00F33429"/>
    <w:rsid w:val="00F339C7"/>
    <w:rsid w:val="00F33A2A"/>
    <w:rsid w:val="00F37187"/>
    <w:rsid w:val="00F3755C"/>
    <w:rsid w:val="00F37D10"/>
    <w:rsid w:val="00F40321"/>
    <w:rsid w:val="00F40706"/>
    <w:rsid w:val="00F40967"/>
    <w:rsid w:val="00F40C78"/>
    <w:rsid w:val="00F414F1"/>
    <w:rsid w:val="00F4158C"/>
    <w:rsid w:val="00F43521"/>
    <w:rsid w:val="00F467E3"/>
    <w:rsid w:val="00F4758F"/>
    <w:rsid w:val="00F508B8"/>
    <w:rsid w:val="00F50AEB"/>
    <w:rsid w:val="00F51CF1"/>
    <w:rsid w:val="00F51DF1"/>
    <w:rsid w:val="00F52537"/>
    <w:rsid w:val="00F52FFE"/>
    <w:rsid w:val="00F55D24"/>
    <w:rsid w:val="00F56C23"/>
    <w:rsid w:val="00F56F44"/>
    <w:rsid w:val="00F57C94"/>
    <w:rsid w:val="00F605CF"/>
    <w:rsid w:val="00F608CC"/>
    <w:rsid w:val="00F609CE"/>
    <w:rsid w:val="00F60A95"/>
    <w:rsid w:val="00F60CED"/>
    <w:rsid w:val="00F6100C"/>
    <w:rsid w:val="00F61309"/>
    <w:rsid w:val="00F62FDA"/>
    <w:rsid w:val="00F63263"/>
    <w:rsid w:val="00F63E10"/>
    <w:rsid w:val="00F646D0"/>
    <w:rsid w:val="00F64787"/>
    <w:rsid w:val="00F67CFD"/>
    <w:rsid w:val="00F702BF"/>
    <w:rsid w:val="00F7139C"/>
    <w:rsid w:val="00F72CB1"/>
    <w:rsid w:val="00F750E4"/>
    <w:rsid w:val="00F751B8"/>
    <w:rsid w:val="00F8022D"/>
    <w:rsid w:val="00F80B34"/>
    <w:rsid w:val="00F81EDD"/>
    <w:rsid w:val="00F8215E"/>
    <w:rsid w:val="00F824C6"/>
    <w:rsid w:val="00F824F5"/>
    <w:rsid w:val="00F843CB"/>
    <w:rsid w:val="00F844BF"/>
    <w:rsid w:val="00F857EE"/>
    <w:rsid w:val="00F85AA1"/>
    <w:rsid w:val="00F85B03"/>
    <w:rsid w:val="00F86DE0"/>
    <w:rsid w:val="00F86F79"/>
    <w:rsid w:val="00F873C9"/>
    <w:rsid w:val="00F87C08"/>
    <w:rsid w:val="00F90FAB"/>
    <w:rsid w:val="00F9374D"/>
    <w:rsid w:val="00F95538"/>
    <w:rsid w:val="00FA26E2"/>
    <w:rsid w:val="00FA2DB5"/>
    <w:rsid w:val="00FA2DDF"/>
    <w:rsid w:val="00FA3282"/>
    <w:rsid w:val="00FA420F"/>
    <w:rsid w:val="00FA5E88"/>
    <w:rsid w:val="00FA7D4C"/>
    <w:rsid w:val="00FA7E4F"/>
    <w:rsid w:val="00FB195F"/>
    <w:rsid w:val="00FB301D"/>
    <w:rsid w:val="00FB463C"/>
    <w:rsid w:val="00FB47ED"/>
    <w:rsid w:val="00FB4BA0"/>
    <w:rsid w:val="00FB58AA"/>
    <w:rsid w:val="00FB5A30"/>
    <w:rsid w:val="00FB7298"/>
    <w:rsid w:val="00FC0C2F"/>
    <w:rsid w:val="00FC29B9"/>
    <w:rsid w:val="00FC4783"/>
    <w:rsid w:val="00FC5C61"/>
    <w:rsid w:val="00FC6FD3"/>
    <w:rsid w:val="00FC7D2F"/>
    <w:rsid w:val="00FD3667"/>
    <w:rsid w:val="00FD411F"/>
    <w:rsid w:val="00FD4B32"/>
    <w:rsid w:val="00FD5047"/>
    <w:rsid w:val="00FD7B5F"/>
    <w:rsid w:val="00FE0A79"/>
    <w:rsid w:val="00FE1026"/>
    <w:rsid w:val="00FE1E7F"/>
    <w:rsid w:val="00FE24AE"/>
    <w:rsid w:val="00FE26F2"/>
    <w:rsid w:val="00FE305C"/>
    <w:rsid w:val="00FE3D0F"/>
    <w:rsid w:val="00FE534B"/>
    <w:rsid w:val="00FF0301"/>
    <w:rsid w:val="00FF0B0E"/>
    <w:rsid w:val="00FF1D82"/>
    <w:rsid w:val="00FF31F4"/>
    <w:rsid w:val="00FF3836"/>
    <w:rsid w:val="00FF3C0A"/>
    <w:rsid w:val="00FF53B9"/>
    <w:rsid w:val="00FF5C1C"/>
    <w:rsid w:val="00FF6565"/>
    <w:rsid w:val="00FF7D40"/>
    <w:rsid w:val="00FF7E15"/>
    <w:rsid w:val="00FF7F24"/>
    <w:rsid w:val="02D18B29"/>
    <w:rsid w:val="03D33B31"/>
    <w:rsid w:val="090F4569"/>
    <w:rsid w:val="0944A5CD"/>
    <w:rsid w:val="0AEE5EFA"/>
    <w:rsid w:val="0D09A3A4"/>
    <w:rsid w:val="0E6DA061"/>
    <w:rsid w:val="11306B8C"/>
    <w:rsid w:val="14B5236E"/>
    <w:rsid w:val="25A8185D"/>
    <w:rsid w:val="34B1BB82"/>
    <w:rsid w:val="35DC04B1"/>
    <w:rsid w:val="3C4C2475"/>
    <w:rsid w:val="41F33F68"/>
    <w:rsid w:val="4669D220"/>
    <w:rsid w:val="46BAF7F3"/>
    <w:rsid w:val="4D6C20B6"/>
    <w:rsid w:val="53C111C2"/>
    <w:rsid w:val="57F5399C"/>
    <w:rsid w:val="59C5E3E1"/>
    <w:rsid w:val="5AE28625"/>
    <w:rsid w:val="5B46DDE7"/>
    <w:rsid w:val="6295AECE"/>
    <w:rsid w:val="62C83B6D"/>
    <w:rsid w:val="64E51968"/>
    <w:rsid w:val="7A254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56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11"/>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NormalWeb">
    <w:name w:val="Normal (Web)"/>
    <w:basedOn w:val="Normal"/>
    <w:uiPriority w:val="99"/>
    <w:unhideWhenUsed/>
    <w:rsid w:val="006A307B"/>
    <w:pPr>
      <w:spacing w:before="100" w:beforeAutospacing="1" w:after="100" w:afterAutospacing="1" w:line="240" w:lineRule="auto"/>
    </w:pPr>
    <w:rPr>
      <w:rFonts w:eastAsia="Times New Roman" w:cs="Times New Roman"/>
      <w:sz w:val="24"/>
      <w:szCs w:val="24"/>
      <w:lang w:val="en-US"/>
    </w:rPr>
  </w:style>
  <w:style w:type="paragraph" w:customStyle="1" w:styleId="pf1">
    <w:name w:val="pf1"/>
    <w:basedOn w:val="Normal"/>
    <w:rsid w:val="007C0DB2"/>
    <w:pPr>
      <w:spacing w:before="100" w:beforeAutospacing="1" w:after="100" w:afterAutospacing="1" w:line="240" w:lineRule="auto"/>
    </w:pPr>
    <w:rPr>
      <w:rFonts w:eastAsia="Times New Roman" w:cs="Times New Roman"/>
      <w:sz w:val="24"/>
      <w:szCs w:val="24"/>
      <w:lang w:val="en-US"/>
    </w:rPr>
  </w:style>
  <w:style w:type="paragraph" w:customStyle="1" w:styleId="pf2">
    <w:name w:val="pf2"/>
    <w:basedOn w:val="Normal"/>
    <w:rsid w:val="007C0DB2"/>
    <w:pPr>
      <w:spacing w:before="100" w:beforeAutospacing="1" w:after="100" w:afterAutospacing="1" w:line="240" w:lineRule="auto"/>
    </w:pPr>
    <w:rPr>
      <w:rFonts w:eastAsia="Times New Roman" w:cs="Times New Roman"/>
      <w:sz w:val="24"/>
      <w:szCs w:val="24"/>
      <w:lang w:val="en-US"/>
    </w:rPr>
  </w:style>
  <w:style w:type="paragraph" w:customStyle="1" w:styleId="pf0">
    <w:name w:val="pf0"/>
    <w:basedOn w:val="Normal"/>
    <w:rsid w:val="007C0DB2"/>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7C0DB2"/>
    <w:rPr>
      <w:rFonts w:ascii="Segoe UI" w:hAnsi="Segoe UI" w:cs="Segoe UI" w:hint="default"/>
      <w:b/>
      <w:bCs/>
      <w:sz w:val="18"/>
      <w:szCs w:val="18"/>
      <w:shd w:val="clear" w:color="auto" w:fill="00FF00"/>
    </w:rPr>
  </w:style>
  <w:style w:type="character" w:customStyle="1" w:styleId="cf11">
    <w:name w:val="cf11"/>
    <w:basedOn w:val="DefaultParagraphFont"/>
    <w:rsid w:val="007C0DB2"/>
    <w:rPr>
      <w:rFonts w:ascii="Segoe UI" w:hAnsi="Segoe UI" w:cs="Segoe UI" w:hint="default"/>
      <w:b/>
      <w:bCs/>
      <w:sz w:val="18"/>
      <w:szCs w:val="18"/>
      <w:shd w:val="clear" w:color="auto" w:fill="FFFF00"/>
    </w:rPr>
  </w:style>
  <w:style w:type="character" w:customStyle="1" w:styleId="cf31">
    <w:name w:val="cf31"/>
    <w:basedOn w:val="DefaultParagraphFont"/>
    <w:rsid w:val="007C0DB2"/>
    <w:rPr>
      <w:rFonts w:ascii="Segoe UI" w:hAnsi="Segoe UI" w:cs="Segoe UI" w:hint="default"/>
      <w:sz w:val="18"/>
      <w:szCs w:val="18"/>
    </w:rPr>
  </w:style>
  <w:style w:type="character" w:customStyle="1" w:styleId="cf41">
    <w:name w:val="cf41"/>
    <w:basedOn w:val="DefaultParagraphFont"/>
    <w:rsid w:val="007C0DB2"/>
    <w:rPr>
      <w:rFonts w:ascii="Segoe UI" w:hAnsi="Segoe UI" w:cs="Segoe UI" w:hint="default"/>
      <w:i/>
      <w:iCs/>
      <w:sz w:val="18"/>
      <w:szCs w:val="18"/>
    </w:rPr>
  </w:style>
  <w:style w:type="character" w:customStyle="1" w:styleId="cf51">
    <w:name w:val="cf51"/>
    <w:basedOn w:val="DefaultParagraphFont"/>
    <w:rsid w:val="007C0DB2"/>
    <w:rPr>
      <w:rFonts w:ascii="Segoe UI" w:hAnsi="Segoe UI" w:cs="Segoe UI" w:hint="default"/>
      <w:sz w:val="18"/>
      <w:szCs w:val="18"/>
    </w:rPr>
  </w:style>
  <w:style w:type="character" w:customStyle="1" w:styleId="cf61">
    <w:name w:val="cf61"/>
    <w:basedOn w:val="DefaultParagraphFont"/>
    <w:rsid w:val="007C0DB2"/>
    <w:rPr>
      <w:rFonts w:ascii="Segoe UI" w:hAnsi="Segoe UI" w:cs="Segoe UI" w:hint="default"/>
      <w:i/>
      <w:iCs/>
      <w:sz w:val="18"/>
      <w:szCs w:val="18"/>
    </w:rPr>
  </w:style>
  <w:style w:type="character" w:customStyle="1" w:styleId="cf71">
    <w:name w:val="cf71"/>
    <w:basedOn w:val="DefaultParagraphFont"/>
    <w:rsid w:val="007C0DB2"/>
    <w:rPr>
      <w:rFonts w:ascii="Segoe UI" w:hAnsi="Segoe UI" w:cs="Segoe UI" w:hint="default"/>
      <w:sz w:val="18"/>
      <w:szCs w:val="18"/>
      <w:shd w:val="clear" w:color="auto" w:fill="00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743070439">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195576683">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638337640">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93E3-8DCD-4719-9FCF-C2B58F98200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3895</Words>
  <Characters>22205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26048</CharactersWithSpaces>
  <SharedDoc>false</SharedDoc>
  <HLinks>
    <vt:vector size="96" baseType="variant">
      <vt:variant>
        <vt:i4>1835071</vt:i4>
      </vt:variant>
      <vt:variant>
        <vt:i4>86</vt:i4>
      </vt:variant>
      <vt:variant>
        <vt:i4>0</vt:i4>
      </vt:variant>
      <vt:variant>
        <vt:i4>5</vt:i4>
      </vt:variant>
      <vt:variant>
        <vt:lpwstr/>
      </vt:variant>
      <vt:variant>
        <vt:lpwstr>_Toc181882791</vt:lpwstr>
      </vt:variant>
      <vt:variant>
        <vt:i4>1835071</vt:i4>
      </vt:variant>
      <vt:variant>
        <vt:i4>83</vt:i4>
      </vt:variant>
      <vt:variant>
        <vt:i4>0</vt:i4>
      </vt:variant>
      <vt:variant>
        <vt:i4>5</vt:i4>
      </vt:variant>
      <vt:variant>
        <vt:lpwstr/>
      </vt:variant>
      <vt:variant>
        <vt:lpwstr>_Toc181882790</vt:lpwstr>
      </vt:variant>
      <vt:variant>
        <vt:i4>1900607</vt:i4>
      </vt:variant>
      <vt:variant>
        <vt:i4>80</vt:i4>
      </vt:variant>
      <vt:variant>
        <vt:i4>0</vt:i4>
      </vt:variant>
      <vt:variant>
        <vt:i4>5</vt:i4>
      </vt:variant>
      <vt:variant>
        <vt:lpwstr/>
      </vt:variant>
      <vt:variant>
        <vt:lpwstr>_Toc181882789</vt:lpwstr>
      </vt:variant>
      <vt:variant>
        <vt:i4>1900607</vt:i4>
      </vt:variant>
      <vt:variant>
        <vt:i4>77</vt:i4>
      </vt:variant>
      <vt:variant>
        <vt:i4>0</vt:i4>
      </vt:variant>
      <vt:variant>
        <vt:i4>5</vt:i4>
      </vt:variant>
      <vt:variant>
        <vt:lpwstr/>
      </vt:variant>
      <vt:variant>
        <vt:lpwstr>_Toc181882788</vt:lpwstr>
      </vt:variant>
      <vt:variant>
        <vt:i4>1900607</vt:i4>
      </vt:variant>
      <vt:variant>
        <vt:i4>74</vt:i4>
      </vt:variant>
      <vt:variant>
        <vt:i4>0</vt:i4>
      </vt:variant>
      <vt:variant>
        <vt:i4>5</vt:i4>
      </vt:variant>
      <vt:variant>
        <vt:lpwstr/>
      </vt:variant>
      <vt:variant>
        <vt:lpwstr>_Toc181882787</vt:lpwstr>
      </vt:variant>
      <vt:variant>
        <vt:i4>1900607</vt:i4>
      </vt:variant>
      <vt:variant>
        <vt:i4>71</vt:i4>
      </vt:variant>
      <vt:variant>
        <vt:i4>0</vt:i4>
      </vt:variant>
      <vt:variant>
        <vt:i4>5</vt:i4>
      </vt:variant>
      <vt:variant>
        <vt:lpwstr/>
      </vt:variant>
      <vt:variant>
        <vt:lpwstr>_Toc181882786</vt:lpwstr>
      </vt:variant>
      <vt:variant>
        <vt:i4>1900607</vt:i4>
      </vt:variant>
      <vt:variant>
        <vt:i4>68</vt:i4>
      </vt:variant>
      <vt:variant>
        <vt:i4>0</vt:i4>
      </vt:variant>
      <vt:variant>
        <vt:i4>5</vt:i4>
      </vt:variant>
      <vt:variant>
        <vt:lpwstr/>
      </vt:variant>
      <vt:variant>
        <vt:lpwstr>_Toc181882785</vt:lpwstr>
      </vt:variant>
      <vt:variant>
        <vt:i4>1900607</vt:i4>
      </vt:variant>
      <vt:variant>
        <vt:i4>65</vt:i4>
      </vt:variant>
      <vt:variant>
        <vt:i4>0</vt:i4>
      </vt:variant>
      <vt:variant>
        <vt:i4>5</vt:i4>
      </vt:variant>
      <vt:variant>
        <vt:lpwstr/>
      </vt:variant>
      <vt:variant>
        <vt:lpwstr>_Toc181882784</vt:lpwstr>
      </vt:variant>
      <vt:variant>
        <vt:i4>1900607</vt:i4>
      </vt:variant>
      <vt:variant>
        <vt:i4>62</vt:i4>
      </vt:variant>
      <vt:variant>
        <vt:i4>0</vt:i4>
      </vt:variant>
      <vt:variant>
        <vt:i4>5</vt:i4>
      </vt:variant>
      <vt:variant>
        <vt:lpwstr/>
      </vt:variant>
      <vt:variant>
        <vt:lpwstr>_Toc181882783</vt:lpwstr>
      </vt:variant>
      <vt:variant>
        <vt:i4>1900607</vt:i4>
      </vt:variant>
      <vt:variant>
        <vt:i4>59</vt:i4>
      </vt:variant>
      <vt:variant>
        <vt:i4>0</vt:i4>
      </vt:variant>
      <vt:variant>
        <vt:i4>5</vt:i4>
      </vt:variant>
      <vt:variant>
        <vt:lpwstr/>
      </vt:variant>
      <vt:variant>
        <vt:lpwstr>_Toc181882782</vt:lpwstr>
      </vt:variant>
      <vt:variant>
        <vt:i4>1900607</vt:i4>
      </vt:variant>
      <vt:variant>
        <vt:i4>56</vt:i4>
      </vt:variant>
      <vt:variant>
        <vt:i4>0</vt:i4>
      </vt:variant>
      <vt:variant>
        <vt:i4>5</vt:i4>
      </vt:variant>
      <vt:variant>
        <vt:lpwstr/>
      </vt:variant>
      <vt:variant>
        <vt:lpwstr>_Toc181882781</vt:lpwstr>
      </vt:variant>
      <vt:variant>
        <vt:i4>1900607</vt:i4>
      </vt:variant>
      <vt:variant>
        <vt:i4>53</vt:i4>
      </vt:variant>
      <vt:variant>
        <vt:i4>0</vt:i4>
      </vt:variant>
      <vt:variant>
        <vt:i4>5</vt:i4>
      </vt:variant>
      <vt:variant>
        <vt:lpwstr/>
      </vt:variant>
      <vt:variant>
        <vt:lpwstr>_Toc181882780</vt:lpwstr>
      </vt:variant>
      <vt:variant>
        <vt:i4>1179711</vt:i4>
      </vt:variant>
      <vt:variant>
        <vt:i4>50</vt:i4>
      </vt:variant>
      <vt:variant>
        <vt:i4>0</vt:i4>
      </vt:variant>
      <vt:variant>
        <vt:i4>5</vt:i4>
      </vt:variant>
      <vt:variant>
        <vt:lpwstr/>
      </vt:variant>
      <vt:variant>
        <vt:lpwstr>_Toc181882779</vt:lpwstr>
      </vt:variant>
      <vt:variant>
        <vt:i4>1179711</vt:i4>
      </vt:variant>
      <vt:variant>
        <vt:i4>47</vt:i4>
      </vt:variant>
      <vt:variant>
        <vt:i4>0</vt:i4>
      </vt:variant>
      <vt:variant>
        <vt:i4>5</vt:i4>
      </vt:variant>
      <vt:variant>
        <vt:lpwstr/>
      </vt:variant>
      <vt:variant>
        <vt:lpwstr>_Toc181882778</vt:lpwstr>
      </vt:variant>
      <vt:variant>
        <vt:i4>1179711</vt:i4>
      </vt:variant>
      <vt:variant>
        <vt:i4>44</vt:i4>
      </vt:variant>
      <vt:variant>
        <vt:i4>0</vt:i4>
      </vt:variant>
      <vt:variant>
        <vt:i4>5</vt:i4>
      </vt:variant>
      <vt:variant>
        <vt:lpwstr/>
      </vt:variant>
      <vt:variant>
        <vt:lpwstr>_Toc181882777</vt:lpwstr>
      </vt:variant>
      <vt:variant>
        <vt:i4>1179711</vt:i4>
      </vt:variant>
      <vt:variant>
        <vt:i4>41</vt:i4>
      </vt:variant>
      <vt:variant>
        <vt:i4>0</vt:i4>
      </vt:variant>
      <vt:variant>
        <vt:i4>5</vt:i4>
      </vt:variant>
      <vt:variant>
        <vt:lpwstr/>
      </vt:variant>
      <vt:variant>
        <vt:lpwstr>_Toc181882776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2024-11-08T18:15:00Z</dcterms:created>
  <dcterms:modified xsi:type="dcterms:W3CDTF">2024-11-08T18:15:00Z</dcterms:modified>
</cp:coreProperties>
</file>