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5FC22B" w:rsidR="001E41F3" w:rsidRDefault="00A92408">
      <w:pPr>
        <w:pStyle w:val="CRCoverPage"/>
        <w:tabs>
          <w:tab w:val="right" w:pos="9639"/>
        </w:tabs>
        <w:spacing w:after="0"/>
        <w:rPr>
          <w:b/>
          <w:i/>
          <w:noProof/>
          <w:sz w:val="28"/>
        </w:rPr>
      </w:pPr>
      <w:r w:rsidRPr="00A92408">
        <w:rPr>
          <w:b/>
          <w:noProof/>
          <w:sz w:val="24"/>
        </w:rPr>
        <w:t>3GPP TSG-RAN4 Meeting #113</w:t>
      </w:r>
      <w:r w:rsidR="001E41F3">
        <w:rPr>
          <w:b/>
          <w:i/>
          <w:noProof/>
          <w:sz w:val="28"/>
        </w:rPr>
        <w:tab/>
      </w:r>
      <w:r w:rsidRPr="00A92408">
        <w:rPr>
          <w:b/>
          <w:sz w:val="24"/>
        </w:rPr>
        <w:t>R4-24</w:t>
      </w:r>
      <w:r w:rsidR="00677F19">
        <w:rPr>
          <w:b/>
          <w:sz w:val="24"/>
        </w:rPr>
        <w:t>18042</w:t>
      </w:r>
    </w:p>
    <w:p w14:paraId="20AAF76D" w14:textId="131C784A" w:rsidR="00F31C14" w:rsidRDefault="00A92408" w:rsidP="005E2C44">
      <w:pPr>
        <w:pStyle w:val="CRCoverPage"/>
        <w:outlineLvl w:val="0"/>
        <w:rPr>
          <w:b/>
          <w:noProof/>
          <w:sz w:val="24"/>
        </w:rPr>
      </w:pPr>
      <w:r w:rsidRPr="00A92408">
        <w:rPr>
          <w:b/>
          <w:noProof/>
          <w:sz w:val="24"/>
        </w:rPr>
        <w:t>Orlando, United States</w:t>
      </w:r>
      <w:r w:rsidR="001E41F3">
        <w:rPr>
          <w:b/>
          <w:noProof/>
          <w:sz w:val="24"/>
        </w:rPr>
        <w:t xml:space="preserve">, </w:t>
      </w:r>
      <w:r w:rsidRPr="00A92408">
        <w:rPr>
          <w:b/>
          <w:noProof/>
          <w:sz w:val="24"/>
        </w:rPr>
        <w:t xml:space="preserve">18th - 22nd </w:t>
      </w:r>
      <w:r w:rsidR="008A359E">
        <w:rPr>
          <w:b/>
          <w:noProof/>
          <w:sz w:val="24"/>
        </w:rPr>
        <w:t>November</w:t>
      </w:r>
      <w:r w:rsidRPr="00A92408">
        <w:rPr>
          <w:b/>
          <w:noProof/>
          <w:sz w:val="24"/>
        </w:rPr>
        <w:t>, 2024</w:t>
      </w:r>
    </w:p>
    <w:p w14:paraId="6D494A66" w14:textId="77777777" w:rsidR="00F31C14" w:rsidRDefault="00F31C14" w:rsidP="005E2C44">
      <w:pPr>
        <w:pStyle w:val="CRCoverPage"/>
        <w:outlineLvl w:val="0"/>
        <w:rPr>
          <w:b/>
          <w:noProof/>
          <w:sz w:val="24"/>
        </w:rPr>
      </w:pPr>
    </w:p>
    <w:p w14:paraId="40CA9DE4" w14:textId="789C6540" w:rsidR="00F31C14" w:rsidRDefault="00F31C14" w:rsidP="00F31C14">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906A41">
        <w:rPr>
          <w:rFonts w:ascii="Arial" w:hAnsi="Arial" w:cs="Arial"/>
          <w:noProof/>
          <w:sz w:val="24"/>
        </w:rPr>
        <w:t>7.14.2</w:t>
      </w:r>
    </w:p>
    <w:p w14:paraId="4159B446" w14:textId="77777777" w:rsidR="00F31C14" w:rsidRDefault="00F31C14" w:rsidP="00F31C14">
      <w:pPr>
        <w:rPr>
          <w:rFonts w:ascii="Arial" w:hAnsi="Arial" w:cs="Arial"/>
          <w:noProof/>
          <w:sz w:val="24"/>
        </w:rPr>
      </w:pPr>
      <w:r>
        <w:rPr>
          <w:rFonts w:ascii="Arial" w:hAnsi="Arial" w:cs="Arial"/>
          <w:b/>
          <w:noProof/>
          <w:sz w:val="24"/>
        </w:rPr>
        <w:t>Source: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noProof/>
          <w:sz w:val="24"/>
        </w:rPr>
        <w:t>Keysight Technologies UK Ltd</w:t>
      </w:r>
    </w:p>
    <w:p w14:paraId="27B08BE5" w14:textId="5949235B" w:rsidR="00F31C14" w:rsidRDefault="00F31C14" w:rsidP="00F31C14">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906A41">
        <w:rPr>
          <w:rFonts w:ascii="Arial" w:hAnsi="Arial" w:cs="Arial"/>
          <w:noProof/>
          <w:sz w:val="24"/>
        </w:rPr>
        <w:t>On Rel-19 Spatial channel model</w:t>
      </w:r>
      <w:r w:rsidR="00906A41" w:rsidRPr="00906A41">
        <w:rPr>
          <w:rFonts w:ascii="Arial" w:hAnsi="Arial" w:cs="Arial"/>
          <w:noProof/>
          <w:sz w:val="24"/>
        </w:rPr>
        <w:t xml:space="preserve"> CDL Based Methodologies </w:t>
      </w:r>
      <w:r w:rsidR="00906A41">
        <w:rPr>
          <w:rFonts w:ascii="Arial" w:hAnsi="Arial" w:cs="Arial"/>
          <w:noProof/>
          <w:sz w:val="24"/>
        </w:rPr>
        <w:t>aspects</w:t>
      </w:r>
    </w:p>
    <w:p w14:paraId="595C0E7E" w14:textId="55D750FB" w:rsidR="00F31C14" w:rsidRDefault="00F31C14" w:rsidP="00F31C14">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sidR="00C2349A">
        <w:rPr>
          <w:rFonts w:ascii="Arial" w:hAnsi="Arial" w:cs="Arial"/>
          <w:noProof/>
          <w:sz w:val="24"/>
        </w:rPr>
        <w:t>Discussion and endorsement</w:t>
      </w:r>
    </w:p>
    <w:p w14:paraId="1CA2F2D7" w14:textId="77777777" w:rsidR="00F31C14" w:rsidRDefault="00F31C14" w:rsidP="00F31C14">
      <w:pPr>
        <w:pStyle w:val="Heading1"/>
        <w:rPr>
          <w:noProof/>
        </w:rPr>
      </w:pPr>
      <w:r>
        <w:rPr>
          <w:noProof/>
        </w:rPr>
        <w:t>Introduction</w:t>
      </w:r>
    </w:p>
    <w:p w14:paraId="1BC4CF31" w14:textId="77777777" w:rsidR="00C2349A" w:rsidRPr="00C2349A" w:rsidRDefault="00C2349A" w:rsidP="00C2349A">
      <w:pPr>
        <w:spacing w:after="0"/>
      </w:pPr>
      <w:r w:rsidRPr="00C2349A">
        <w:t>In RAN#104 a new study item on spatial channel model for demodulation performance requirements was approved ([1]).</w:t>
      </w:r>
    </w:p>
    <w:p w14:paraId="684D4252" w14:textId="77777777" w:rsidR="00C2349A" w:rsidRPr="00C2349A" w:rsidRDefault="00C2349A" w:rsidP="00C2349A">
      <w:pPr>
        <w:spacing w:after="0"/>
      </w:pPr>
    </w:p>
    <w:p w14:paraId="76F6347A" w14:textId="77777777" w:rsidR="00C2349A" w:rsidRPr="00C2349A" w:rsidRDefault="00C2349A" w:rsidP="00C2349A">
      <w:pPr>
        <w:spacing w:after="0"/>
      </w:pPr>
      <w:r w:rsidRPr="00C2349A">
        <w:t xml:space="preserve">The main goal of this study item is to study practical spatial channel modelling methodology for both SU- and MU-MIMO demodulation requirements and CSI reporting requirements for both FR1 (conducted) and FR2 (wireless cable), with </w:t>
      </w:r>
      <w:proofErr w:type="gramStart"/>
      <w:r w:rsidRPr="00C2349A">
        <w:t>first priority</w:t>
      </w:r>
      <w:proofErr w:type="gramEnd"/>
      <w:r w:rsidRPr="00C2349A">
        <w:t xml:space="preserve"> for FR1:</w:t>
      </w:r>
    </w:p>
    <w:p w14:paraId="5E4833B7" w14:textId="77777777" w:rsidR="00C2349A" w:rsidRPr="00C2349A" w:rsidRDefault="00C2349A" w:rsidP="00C2349A">
      <w:pPr>
        <w:pStyle w:val="ListParagraph"/>
        <w:spacing w:after="0"/>
        <w:ind w:hanging="360"/>
      </w:pPr>
      <w:r w:rsidRPr="00C2349A">
        <w:t>o</w:t>
      </w:r>
      <w:r w:rsidRPr="00C2349A">
        <w:tab/>
        <w:t>Including the limitations of the channel models used up to Rel-18 regarding UE MIMO performance</w:t>
      </w:r>
    </w:p>
    <w:p w14:paraId="12F4D604" w14:textId="77777777" w:rsidR="00C2349A" w:rsidRPr="00C2349A" w:rsidRDefault="00C2349A" w:rsidP="00C2349A">
      <w:pPr>
        <w:pStyle w:val="ListParagraph"/>
        <w:spacing w:after="0"/>
        <w:ind w:hanging="360"/>
      </w:pPr>
      <w:r w:rsidRPr="00C2349A">
        <w:t>o</w:t>
      </w:r>
      <w:r w:rsidRPr="00C2349A">
        <w:tab/>
        <w:t>Considering both Clustered Delay Line (CDL)-based and TDL-based channel modelling approaches (using the tuned repeatable spatial channel model of TR38.827 as the starting point for CDL approach).</w:t>
      </w:r>
    </w:p>
    <w:p w14:paraId="79B857E0" w14:textId="77777777" w:rsidR="00C2349A" w:rsidRDefault="00C2349A" w:rsidP="00C2349A">
      <w:pPr>
        <w:pStyle w:val="ListParagraph"/>
        <w:spacing w:after="0"/>
        <w:ind w:hanging="360"/>
      </w:pPr>
      <w:r w:rsidRPr="00C2349A">
        <w:t>o</w:t>
      </w:r>
      <w:r w:rsidRPr="00C2349A">
        <w:tab/>
        <w:t>Evaluating test methodology feasibility and achievable results uncertainty while test complexity is not significantly increased.</w:t>
      </w:r>
    </w:p>
    <w:p w14:paraId="3BEC6C02" w14:textId="77777777" w:rsidR="00C2349A" w:rsidRDefault="00C2349A" w:rsidP="00C2349A">
      <w:pPr>
        <w:spacing w:after="0"/>
      </w:pPr>
    </w:p>
    <w:p w14:paraId="6CE1D096" w14:textId="263AB78B" w:rsidR="00C2349A" w:rsidRDefault="00C2349A" w:rsidP="00C2349A">
      <w:pPr>
        <w:spacing w:after="0"/>
      </w:pPr>
      <w:r>
        <w:t xml:space="preserve">In RAN4#112bis, the way forward document agreed for this study item </w:t>
      </w:r>
      <w:r>
        <w:fldChar w:fldCharType="begin"/>
      </w:r>
      <w:r>
        <w:instrText xml:space="preserve"> REF _Ref181814432 \w </w:instrText>
      </w:r>
      <w:r>
        <w:fldChar w:fldCharType="separate"/>
      </w:r>
      <w:r>
        <w:t>[2]</w:t>
      </w:r>
      <w:r>
        <w:fldChar w:fldCharType="end"/>
      </w:r>
      <w:r>
        <w:t xml:space="preserve"> included the following statement regarding the subcluster correlation for CDL based methodologies, based on the inputs provided in</w:t>
      </w:r>
      <w:r w:rsidR="00906A41">
        <w:t xml:space="preserve"> clause 2.6 in</w:t>
      </w:r>
      <w:r>
        <w:t xml:space="preserve"> [3]:</w:t>
      </w:r>
    </w:p>
    <w:p w14:paraId="58FA36A0" w14:textId="77777777" w:rsidR="00C2349A" w:rsidRDefault="00C2349A" w:rsidP="00C2349A">
      <w:pPr>
        <w:spacing w:after="0"/>
      </w:pPr>
    </w:p>
    <w:tbl>
      <w:tblPr>
        <w:tblStyle w:val="TableGrid"/>
        <w:tblW w:w="0" w:type="auto"/>
        <w:tblLook w:val="04A0" w:firstRow="1" w:lastRow="0" w:firstColumn="1" w:lastColumn="0" w:noHBand="0" w:noVBand="1"/>
      </w:tblPr>
      <w:tblGrid>
        <w:gridCol w:w="9629"/>
      </w:tblGrid>
      <w:tr w:rsidR="00C2349A" w14:paraId="606F8469" w14:textId="77777777" w:rsidTr="00C2349A">
        <w:tc>
          <w:tcPr>
            <w:tcW w:w="9629" w:type="dxa"/>
          </w:tcPr>
          <w:p w14:paraId="2613CB6B" w14:textId="00F4E0E8" w:rsidR="00C2349A" w:rsidRDefault="00C2349A" w:rsidP="00C2349A">
            <w:pPr>
              <w:spacing w:after="0"/>
            </w:pPr>
            <w:r>
              <w:rPr>
                <w:noProof/>
              </w:rPr>
              <w:drawing>
                <wp:inline distT="0" distB="0" distL="0" distR="0" wp14:anchorId="4D64DB34" wp14:editId="313A3934">
                  <wp:extent cx="6120765" cy="888365"/>
                  <wp:effectExtent l="0" t="0" r="0" b="6985"/>
                  <wp:docPr id="16935916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591602" name=""/>
                          <pic:cNvPicPr/>
                        </pic:nvPicPr>
                        <pic:blipFill>
                          <a:blip r:embed="rId12"/>
                          <a:stretch>
                            <a:fillRect/>
                          </a:stretch>
                        </pic:blipFill>
                        <pic:spPr>
                          <a:xfrm>
                            <a:off x="0" y="0"/>
                            <a:ext cx="6120765" cy="888365"/>
                          </a:xfrm>
                          <a:prstGeom prst="rect">
                            <a:avLst/>
                          </a:prstGeom>
                        </pic:spPr>
                      </pic:pic>
                    </a:graphicData>
                  </a:graphic>
                </wp:inline>
              </w:drawing>
            </w:r>
          </w:p>
        </w:tc>
      </w:tr>
    </w:tbl>
    <w:p w14:paraId="27FE2EB2" w14:textId="190D8F86" w:rsidR="00C2349A" w:rsidRDefault="00C2349A" w:rsidP="00C2349A">
      <w:pPr>
        <w:spacing w:after="0"/>
      </w:pPr>
    </w:p>
    <w:p w14:paraId="7FA15E6F" w14:textId="3D3B8E3C" w:rsidR="00C2349A" w:rsidRDefault="00C2349A" w:rsidP="00C2349A">
      <w:pPr>
        <w:spacing w:after="0"/>
      </w:pPr>
      <w:r>
        <w:t xml:space="preserve"> </w:t>
      </w:r>
      <w:r w:rsidR="00906A41">
        <w:t>This document provides company views on that topic.</w:t>
      </w:r>
    </w:p>
    <w:p w14:paraId="137E8FA5" w14:textId="301030ED" w:rsidR="00F31C14" w:rsidRDefault="00F31C14" w:rsidP="00C2349A">
      <w:pPr>
        <w:pStyle w:val="Heading1"/>
        <w:rPr>
          <w:noProof/>
        </w:rPr>
      </w:pPr>
      <w:r w:rsidRPr="6D7A8965">
        <w:rPr>
          <w:noProof/>
        </w:rPr>
        <w:t>Discussion</w:t>
      </w:r>
    </w:p>
    <w:p w14:paraId="1127416C" w14:textId="5884B939" w:rsidR="562DF5B4" w:rsidRDefault="562DF5B4" w:rsidP="6D7A8965">
      <w:pPr>
        <w:spacing w:after="160" w:line="276" w:lineRule="auto"/>
        <w:rPr>
          <w:noProof/>
          <w:lang w:val="en-US"/>
        </w:rPr>
      </w:pPr>
      <w:r w:rsidRPr="6D7A8965">
        <w:rPr>
          <w:noProof/>
          <w:lang w:val="en-US"/>
        </w:rPr>
        <w:t>This document provides a response to the observation #10 "There is a risk that the fading processes between the sub-clusters become correlated, depending on their random initialization." and the proposal #3 "RAN4 should discuss and clarify whether the potential correlation between subclusters is an issue, and whether there should be mechanisms to avoid it." in [3]. The same issue is a proposal under the "Subcluster correlation" in [2].</w:t>
      </w:r>
    </w:p>
    <w:p w14:paraId="16F9B7D6" w14:textId="0EE00186" w:rsidR="562DF5B4" w:rsidRDefault="562DF5B4" w:rsidP="6D7A8965">
      <w:pPr>
        <w:spacing w:after="160" w:line="252" w:lineRule="auto"/>
        <w:jc w:val="both"/>
        <w:rPr>
          <w:noProof/>
          <w:lang w:val="en-US"/>
        </w:rPr>
      </w:pPr>
      <w:r w:rsidRPr="02F43BCF">
        <w:rPr>
          <w:noProof/>
          <w:lang w:val="en-US"/>
        </w:rPr>
        <w:t>3GPP TR 38.827 V16.8.0</w:t>
      </w:r>
      <w:r w:rsidR="002A5923">
        <w:rPr>
          <w:noProof/>
          <w:lang w:val="en-US"/>
        </w:rPr>
        <w:t xml:space="preserve"> </w:t>
      </w:r>
      <w:r w:rsidR="002A5923">
        <w:rPr>
          <w:noProof/>
          <w:lang w:val="en-US"/>
        </w:rPr>
        <w:fldChar w:fldCharType="begin"/>
      </w:r>
      <w:r w:rsidR="002A5923">
        <w:rPr>
          <w:noProof/>
          <w:lang w:val="en-US"/>
        </w:rPr>
        <w:instrText xml:space="preserve"> REF _Ref181879205 \n \h </w:instrText>
      </w:r>
      <w:r w:rsidR="002A5923">
        <w:rPr>
          <w:noProof/>
          <w:lang w:val="en-US"/>
        </w:rPr>
      </w:r>
      <w:r w:rsidR="002A5923">
        <w:rPr>
          <w:noProof/>
          <w:lang w:val="en-US"/>
        </w:rPr>
        <w:fldChar w:fldCharType="separate"/>
      </w:r>
      <w:r w:rsidR="002A5923">
        <w:rPr>
          <w:noProof/>
          <w:lang w:val="en-US"/>
        </w:rPr>
        <w:t>[4]</w:t>
      </w:r>
      <w:r w:rsidR="002A5923">
        <w:rPr>
          <w:noProof/>
          <w:lang w:val="en-US"/>
        </w:rPr>
        <w:fldChar w:fldCharType="end"/>
      </w:r>
      <w:r w:rsidRPr="02F43BCF">
        <w:rPr>
          <w:noProof/>
          <w:lang w:val="en-US"/>
        </w:rPr>
        <w:t xml:space="preserve"> Section 7.2 writes: "</w:t>
      </w:r>
      <w:r w:rsidRPr="02F43BCF">
        <w:rPr>
          <w:i/>
          <w:iCs/>
          <w:noProof/>
          <w:lang w:val="en-US"/>
        </w:rPr>
        <w:t>Each CDL parameter table of contains two sets of three rows, i.e., three clusters, with exactly same angular parameters. This is harmful for the statistical properties of the models as they become non-WSS across the ensemble of model realizations. Instead of making the angular parameters non-equal by introducing small offsets to angles of the three rows, the problematic clusters are treated as midpaths as intended when the CDLs where drawn from statistical distributions which works across all frequency ranges. For the clusters that look like midpaths, e.g., Cluster 2-4 and 5-7 for CDL-A and Cluster 2-4 and 6-8 for CDL-C, the powers for each of the three clusters are added and using the regular midpath power distribution of 0.5, 0.3, and 0.2 specified in Table 7.5-5 of TR38.901, the powers for the each of the midpaths are calculated. Notice that the intra cluster delay spread in Table 7.5-5 of TR38.901 is not followed, and the same delays as the original CDL are followed for the midpaths (aka Sub-Cluster). This helps keeping the rms DS of the modified CDL to 1s.</w:t>
      </w:r>
      <w:r w:rsidRPr="02F43BCF">
        <w:rPr>
          <w:noProof/>
          <w:lang w:val="en-US"/>
        </w:rPr>
        <w:t xml:space="preserve">" One of the mentioned CDL parameter tables is exemplified in </w:t>
      </w:r>
      <w:r w:rsidR="00545E8B">
        <w:rPr>
          <w:noProof/>
          <w:lang w:val="en-US"/>
        </w:rPr>
        <w:fldChar w:fldCharType="begin"/>
      </w:r>
      <w:r w:rsidR="00545E8B">
        <w:rPr>
          <w:noProof/>
          <w:lang w:val="en-US"/>
        </w:rPr>
        <w:instrText xml:space="preserve"> REF _Ref181879229 \h </w:instrText>
      </w:r>
      <w:r w:rsidR="00545E8B">
        <w:rPr>
          <w:noProof/>
          <w:lang w:val="en-US"/>
        </w:rPr>
      </w:r>
      <w:r w:rsidR="00545E8B">
        <w:rPr>
          <w:noProof/>
          <w:lang w:val="en-US"/>
        </w:rPr>
        <w:fldChar w:fldCharType="separate"/>
      </w:r>
      <w:r w:rsidR="00545E8B">
        <w:t xml:space="preserve">Figure </w:t>
      </w:r>
      <w:r w:rsidR="00545E8B">
        <w:rPr>
          <w:noProof/>
        </w:rPr>
        <w:t>1</w:t>
      </w:r>
      <w:r w:rsidR="00545E8B">
        <w:rPr>
          <w:noProof/>
          <w:lang w:val="en-US"/>
        </w:rPr>
        <w:fldChar w:fldCharType="end"/>
      </w:r>
      <w:r w:rsidR="00545E8B">
        <w:rPr>
          <w:noProof/>
          <w:lang w:val="en-US"/>
        </w:rPr>
        <w:t>.</w:t>
      </w:r>
    </w:p>
    <w:p w14:paraId="537EBCBE" w14:textId="52B2D7D8" w:rsidR="00936985" w:rsidRDefault="008674F8" w:rsidP="6D7A8965">
      <w:pPr>
        <w:spacing w:after="160" w:line="252" w:lineRule="auto"/>
        <w:jc w:val="both"/>
        <w:rPr>
          <w:noProof/>
          <w:lang w:val="en-US"/>
        </w:rPr>
      </w:pPr>
      <w:r>
        <w:rPr>
          <w:noProof/>
          <w:lang w:val="en-US"/>
        </w:rPr>
        <w:lastRenderedPageBreak/>
        <w:t xml:space="preserve">In other words, TR </w:t>
      </w:r>
      <w:r>
        <w:rPr>
          <w:noProof/>
          <w:lang w:val="en-US"/>
        </w:rPr>
        <w:fldChar w:fldCharType="begin"/>
      </w:r>
      <w:r>
        <w:rPr>
          <w:noProof/>
          <w:lang w:val="en-US"/>
        </w:rPr>
        <w:instrText xml:space="preserve"> REF _Ref181879205 \n \h </w:instrText>
      </w:r>
      <w:r>
        <w:rPr>
          <w:noProof/>
          <w:lang w:val="en-US"/>
        </w:rPr>
      </w:r>
      <w:r>
        <w:rPr>
          <w:noProof/>
          <w:lang w:val="en-US"/>
        </w:rPr>
        <w:fldChar w:fldCharType="separate"/>
      </w:r>
      <w:r>
        <w:rPr>
          <w:noProof/>
          <w:lang w:val="en-US"/>
        </w:rPr>
        <w:t>[4]</w:t>
      </w:r>
      <w:r>
        <w:rPr>
          <w:noProof/>
          <w:lang w:val="en-US"/>
        </w:rPr>
        <w:fldChar w:fldCharType="end"/>
      </w:r>
      <w:r>
        <w:rPr>
          <w:noProof/>
          <w:lang w:val="en-US"/>
        </w:rPr>
        <w:t xml:space="preserve"> says</w:t>
      </w:r>
      <w:r w:rsidR="00465880">
        <w:rPr>
          <w:noProof/>
          <w:lang w:val="en-US"/>
        </w:rPr>
        <w:t xml:space="preserve"> with a few typographic errors and unclarities,</w:t>
      </w:r>
      <w:r>
        <w:rPr>
          <w:noProof/>
          <w:lang w:val="en-US"/>
        </w:rPr>
        <w:t xml:space="preserve"> that </w:t>
      </w:r>
      <w:r w:rsidR="0013209B">
        <w:rPr>
          <w:noProof/>
          <w:lang w:val="en-US"/>
        </w:rPr>
        <w:t xml:space="preserve">the midpath </w:t>
      </w:r>
      <w:r w:rsidR="0017717F">
        <w:rPr>
          <w:noProof/>
          <w:lang w:val="en-US"/>
        </w:rPr>
        <w:t xml:space="preserve">concept is </w:t>
      </w:r>
      <w:r w:rsidR="00465880">
        <w:rPr>
          <w:noProof/>
          <w:lang w:val="en-US"/>
        </w:rPr>
        <w:t>applied</w:t>
      </w:r>
      <w:r w:rsidR="0006520B">
        <w:rPr>
          <w:noProof/>
          <w:lang w:val="en-US"/>
        </w:rPr>
        <w:t xml:space="preserve"> with </w:t>
      </w:r>
      <w:r w:rsidR="008B54CF">
        <w:rPr>
          <w:noProof/>
          <w:lang w:val="en-US"/>
        </w:rPr>
        <w:t>clusters</w:t>
      </w:r>
      <w:r w:rsidR="0042514E">
        <w:rPr>
          <w:noProof/>
          <w:lang w:val="en-US"/>
        </w:rPr>
        <w:t xml:space="preserve"> that “look like” midpaths, i.e.,</w:t>
      </w:r>
      <w:r w:rsidR="008B54CF">
        <w:rPr>
          <w:noProof/>
          <w:lang w:val="en-US"/>
        </w:rPr>
        <w:t xml:space="preserve"> </w:t>
      </w:r>
      <w:r w:rsidR="007B5FEC">
        <w:rPr>
          <w:noProof/>
          <w:lang w:val="en-US"/>
        </w:rPr>
        <w:t xml:space="preserve">paths that </w:t>
      </w:r>
      <w:r w:rsidR="002F6143">
        <w:rPr>
          <w:noProof/>
          <w:lang w:val="en-US"/>
        </w:rPr>
        <w:t>hav</w:t>
      </w:r>
      <w:r w:rsidR="000F594C">
        <w:rPr>
          <w:noProof/>
          <w:lang w:val="en-US"/>
        </w:rPr>
        <w:t>e</w:t>
      </w:r>
      <w:r w:rsidR="002F6143">
        <w:rPr>
          <w:noProof/>
          <w:lang w:val="en-US"/>
        </w:rPr>
        <w:t xml:space="preserve"> ide</w:t>
      </w:r>
      <w:r w:rsidR="005334F5">
        <w:rPr>
          <w:noProof/>
          <w:lang w:val="en-US"/>
        </w:rPr>
        <w:t>ntical angular parameters</w:t>
      </w:r>
      <w:r w:rsidR="003552FA">
        <w:rPr>
          <w:noProof/>
          <w:lang w:val="en-US"/>
        </w:rPr>
        <w:t xml:space="preserve"> but different de</w:t>
      </w:r>
      <w:r w:rsidR="000F594C">
        <w:rPr>
          <w:noProof/>
          <w:lang w:val="en-US"/>
        </w:rPr>
        <w:t>lays.</w:t>
      </w:r>
      <w:r w:rsidR="00074BE7">
        <w:rPr>
          <w:noProof/>
          <w:lang w:val="en-US"/>
        </w:rPr>
        <w:t xml:space="preserve"> </w:t>
      </w:r>
      <w:r w:rsidR="008926DF">
        <w:rPr>
          <w:noProof/>
          <w:lang w:val="en-US"/>
        </w:rPr>
        <w:t xml:space="preserve">It means, following </w:t>
      </w:r>
      <w:r w:rsidR="00FD37BE">
        <w:rPr>
          <w:noProof/>
          <w:lang w:val="en-US"/>
        </w:rPr>
        <w:t xml:space="preserve">Table 7.5-5 of </w:t>
      </w:r>
      <w:r w:rsidR="00FD37BE">
        <w:rPr>
          <w:noProof/>
          <w:lang w:val="en-US"/>
        </w:rPr>
        <w:fldChar w:fldCharType="begin"/>
      </w:r>
      <w:r w:rsidR="00FD37BE">
        <w:rPr>
          <w:noProof/>
          <w:lang w:val="en-US"/>
        </w:rPr>
        <w:instrText xml:space="preserve"> REF _Ref181879620 \n \h </w:instrText>
      </w:r>
      <w:r w:rsidR="00FD37BE">
        <w:rPr>
          <w:noProof/>
          <w:lang w:val="en-US"/>
        </w:rPr>
      </w:r>
      <w:r w:rsidR="00FD37BE">
        <w:rPr>
          <w:noProof/>
          <w:lang w:val="en-US"/>
        </w:rPr>
        <w:fldChar w:fldCharType="separate"/>
      </w:r>
      <w:r w:rsidR="00FD37BE">
        <w:rPr>
          <w:noProof/>
          <w:lang w:val="en-US"/>
        </w:rPr>
        <w:t>[5]</w:t>
      </w:r>
      <w:r w:rsidR="00FD37BE">
        <w:rPr>
          <w:noProof/>
          <w:lang w:val="en-US"/>
        </w:rPr>
        <w:fldChar w:fldCharType="end"/>
      </w:r>
      <w:r w:rsidR="00FD37BE">
        <w:rPr>
          <w:noProof/>
          <w:lang w:val="en-US"/>
        </w:rPr>
        <w:t xml:space="preserve">, that </w:t>
      </w:r>
      <w:r w:rsidR="00E7304E">
        <w:rPr>
          <w:noProof/>
          <w:lang w:val="en-US"/>
        </w:rPr>
        <w:t>10 of 20 rays</w:t>
      </w:r>
      <w:r w:rsidR="0008690D">
        <w:rPr>
          <w:noProof/>
          <w:lang w:val="en-US"/>
        </w:rPr>
        <w:t xml:space="preserve"> allocated to the first “sub-cluster”</w:t>
      </w:r>
      <w:r w:rsidR="00D46B64">
        <w:rPr>
          <w:noProof/>
          <w:lang w:val="en-US"/>
        </w:rPr>
        <w:t xml:space="preserve">, 6 of 20 to the second, and 4 of 20 to the third. More specifically, </w:t>
      </w:r>
      <w:r w:rsidR="003F1A8A">
        <w:rPr>
          <w:noProof/>
          <w:lang w:val="en-US"/>
        </w:rPr>
        <w:t xml:space="preserve">as an example concerning rows 2-4 of the CDL table in </w:t>
      </w:r>
      <w:r w:rsidR="003F1A8A">
        <w:rPr>
          <w:noProof/>
          <w:lang w:val="en-US"/>
        </w:rPr>
        <w:fldChar w:fldCharType="begin"/>
      </w:r>
      <w:r w:rsidR="003F1A8A">
        <w:rPr>
          <w:noProof/>
          <w:lang w:val="en-US"/>
        </w:rPr>
        <w:instrText xml:space="preserve"> REF _Ref181879229 \h </w:instrText>
      </w:r>
      <w:r w:rsidR="003F1A8A">
        <w:rPr>
          <w:noProof/>
          <w:lang w:val="en-US"/>
        </w:rPr>
      </w:r>
      <w:r w:rsidR="003F1A8A">
        <w:rPr>
          <w:noProof/>
          <w:lang w:val="en-US"/>
        </w:rPr>
        <w:fldChar w:fldCharType="separate"/>
      </w:r>
      <w:r w:rsidR="003F1A8A">
        <w:t xml:space="preserve">Figure </w:t>
      </w:r>
      <w:r w:rsidR="003F1A8A">
        <w:rPr>
          <w:noProof/>
        </w:rPr>
        <w:t>1</w:t>
      </w:r>
      <w:r w:rsidR="003F1A8A">
        <w:rPr>
          <w:noProof/>
          <w:lang w:val="en-US"/>
        </w:rPr>
        <w:fldChar w:fldCharType="end"/>
      </w:r>
      <w:r w:rsidR="006640E4">
        <w:rPr>
          <w:noProof/>
          <w:lang w:val="en-US"/>
        </w:rPr>
        <w:t xml:space="preserve">, rays </w:t>
      </w:r>
      <w:r w:rsidR="004B2546">
        <w:rPr>
          <w:noProof/>
          <w:lang w:val="en-US"/>
        </w:rPr>
        <w:t>{</w:t>
      </w:r>
      <w:r w:rsidR="00A26897">
        <w:rPr>
          <w:noProof/>
          <w:lang w:val="en-US"/>
        </w:rPr>
        <w:t>1,2,3,</w:t>
      </w:r>
      <w:r w:rsidR="00C671DE">
        <w:rPr>
          <w:noProof/>
          <w:lang w:val="en-US"/>
        </w:rPr>
        <w:t>4,5,6,7,8,19,20</w:t>
      </w:r>
      <w:r w:rsidR="004B2546">
        <w:rPr>
          <w:noProof/>
          <w:lang w:val="en-US"/>
        </w:rPr>
        <w:t>}</w:t>
      </w:r>
      <w:r w:rsidR="00C671DE">
        <w:rPr>
          <w:noProof/>
          <w:lang w:val="en-US"/>
        </w:rPr>
        <w:t xml:space="preserve"> are allocated to</w:t>
      </w:r>
      <w:r w:rsidR="006640E4">
        <w:rPr>
          <w:noProof/>
          <w:lang w:val="en-US"/>
        </w:rPr>
        <w:t xml:space="preserve"> the cluster #2</w:t>
      </w:r>
      <w:r w:rsidR="00C671DE">
        <w:rPr>
          <w:noProof/>
          <w:lang w:val="en-US"/>
        </w:rPr>
        <w:t>, rays {</w:t>
      </w:r>
      <w:r w:rsidR="00467BA3">
        <w:rPr>
          <w:noProof/>
          <w:lang w:val="en-US"/>
        </w:rPr>
        <w:t>9,10,11,12,17,18</w:t>
      </w:r>
      <w:r w:rsidR="00C671DE">
        <w:rPr>
          <w:noProof/>
          <w:lang w:val="en-US"/>
        </w:rPr>
        <w:t>} are allocated to the cluster #</w:t>
      </w:r>
      <w:r w:rsidR="00005061">
        <w:rPr>
          <w:noProof/>
          <w:lang w:val="en-US"/>
        </w:rPr>
        <w:t>3</w:t>
      </w:r>
      <w:r w:rsidR="00C671DE">
        <w:rPr>
          <w:noProof/>
          <w:lang w:val="en-US"/>
        </w:rPr>
        <w:t>, and rays {</w:t>
      </w:r>
      <w:r w:rsidR="00467BA3">
        <w:rPr>
          <w:noProof/>
          <w:lang w:val="en-US"/>
        </w:rPr>
        <w:t>13,14,15,16</w:t>
      </w:r>
      <w:r w:rsidR="00C671DE">
        <w:rPr>
          <w:noProof/>
          <w:lang w:val="en-US"/>
        </w:rPr>
        <w:t>} are allocated to the cluster #</w:t>
      </w:r>
      <w:r w:rsidR="00005061">
        <w:rPr>
          <w:noProof/>
          <w:lang w:val="en-US"/>
        </w:rPr>
        <w:t>4</w:t>
      </w:r>
      <w:r w:rsidR="00C671DE">
        <w:rPr>
          <w:noProof/>
          <w:lang w:val="en-US"/>
        </w:rPr>
        <w:t>.</w:t>
      </w:r>
      <w:r w:rsidR="006640E4">
        <w:rPr>
          <w:noProof/>
          <w:lang w:val="en-US"/>
        </w:rPr>
        <w:t xml:space="preserve"> </w:t>
      </w:r>
      <w:r w:rsidR="00E94C65">
        <w:rPr>
          <w:noProof/>
          <w:lang w:val="en-US"/>
        </w:rPr>
        <w:t xml:space="preserve">Since each ray has a different offset angle </w:t>
      </w:r>
      <w:r w:rsidR="00454050">
        <w:rPr>
          <w:noProof/>
          <w:lang w:val="en-US"/>
        </w:rPr>
        <w:t>any two</w:t>
      </w:r>
      <w:r w:rsidR="00E94C65">
        <w:rPr>
          <w:noProof/>
          <w:lang w:val="en-US"/>
        </w:rPr>
        <w:t xml:space="preserve"> </w:t>
      </w:r>
      <w:r w:rsidR="00F259E7">
        <w:rPr>
          <w:noProof/>
          <w:lang w:val="en-US"/>
        </w:rPr>
        <w:t xml:space="preserve">clusters </w:t>
      </w:r>
      <w:r w:rsidR="00454050">
        <w:rPr>
          <w:noProof/>
          <w:lang w:val="en-US"/>
        </w:rPr>
        <w:t>will have neither</w:t>
      </w:r>
      <w:r w:rsidR="00F259E7">
        <w:rPr>
          <w:noProof/>
          <w:lang w:val="en-US"/>
        </w:rPr>
        <w:t xml:space="preserve"> identical </w:t>
      </w:r>
      <w:r w:rsidR="00B74BF6">
        <w:rPr>
          <w:noProof/>
          <w:lang w:val="en-US"/>
        </w:rPr>
        <w:t>ray angles</w:t>
      </w:r>
      <w:r w:rsidR="00454050">
        <w:rPr>
          <w:noProof/>
          <w:lang w:val="en-US"/>
        </w:rPr>
        <w:t xml:space="preserve"> nor identical Doppler </w:t>
      </w:r>
      <w:r w:rsidR="000426A3">
        <w:rPr>
          <w:noProof/>
          <w:lang w:val="en-US"/>
        </w:rPr>
        <w:t xml:space="preserve">frequency components. Consequently, </w:t>
      </w:r>
      <w:r w:rsidR="009C14D8">
        <w:rPr>
          <w:noProof/>
          <w:lang w:val="en-US"/>
        </w:rPr>
        <w:t>having different initial phases for all rays</w:t>
      </w:r>
      <w:r w:rsidR="00AE743C">
        <w:rPr>
          <w:noProof/>
          <w:lang w:val="en-US"/>
        </w:rPr>
        <w:t xml:space="preserve"> as specified in </w:t>
      </w:r>
      <w:r w:rsidR="00AE743C">
        <w:rPr>
          <w:noProof/>
          <w:lang w:val="en-US"/>
        </w:rPr>
        <w:fldChar w:fldCharType="begin"/>
      </w:r>
      <w:r w:rsidR="00AE743C">
        <w:rPr>
          <w:noProof/>
          <w:lang w:val="en-US"/>
        </w:rPr>
        <w:instrText xml:space="preserve"> REF _Ref181879205 \n \h </w:instrText>
      </w:r>
      <w:r w:rsidR="00AE743C">
        <w:rPr>
          <w:noProof/>
          <w:lang w:val="en-US"/>
        </w:rPr>
      </w:r>
      <w:r w:rsidR="00AE743C">
        <w:rPr>
          <w:noProof/>
          <w:lang w:val="en-US"/>
        </w:rPr>
        <w:fldChar w:fldCharType="separate"/>
      </w:r>
      <w:r w:rsidR="00AE743C">
        <w:rPr>
          <w:noProof/>
          <w:lang w:val="en-US"/>
        </w:rPr>
        <w:t>[4]</w:t>
      </w:r>
      <w:r w:rsidR="00AE743C">
        <w:rPr>
          <w:noProof/>
          <w:lang w:val="en-US"/>
        </w:rPr>
        <w:fldChar w:fldCharType="end"/>
      </w:r>
      <w:r w:rsidR="009C14D8">
        <w:rPr>
          <w:noProof/>
          <w:lang w:val="en-US"/>
        </w:rPr>
        <w:t xml:space="preserve"> and </w:t>
      </w:r>
      <w:r w:rsidR="000426A3">
        <w:rPr>
          <w:noProof/>
          <w:lang w:val="en-US"/>
        </w:rPr>
        <w:t xml:space="preserve">resulting from principles of sum-of-sinusoids </w:t>
      </w:r>
      <w:r w:rsidR="006A4C7F">
        <w:rPr>
          <w:noProof/>
          <w:lang w:val="en-US"/>
        </w:rPr>
        <w:t xml:space="preserve">theory, </w:t>
      </w:r>
      <w:r w:rsidR="008C6080">
        <w:rPr>
          <w:noProof/>
          <w:lang w:val="en-US"/>
        </w:rPr>
        <w:t>generated fading sequencies will be</w:t>
      </w:r>
      <w:r w:rsidR="006F6E6E">
        <w:rPr>
          <w:noProof/>
          <w:lang w:val="en-US"/>
        </w:rPr>
        <w:t xml:space="preserve"> outcomes of</w:t>
      </w:r>
      <w:r w:rsidR="008C6080">
        <w:rPr>
          <w:noProof/>
          <w:lang w:val="en-US"/>
        </w:rPr>
        <w:t xml:space="preserve"> </w:t>
      </w:r>
      <w:r w:rsidR="006F6E6E">
        <w:rPr>
          <w:noProof/>
          <w:lang w:val="en-US"/>
        </w:rPr>
        <w:t>independent fading processes.</w:t>
      </w:r>
    </w:p>
    <w:p w14:paraId="70DE2ED1" w14:textId="77777777" w:rsidR="00B40506" w:rsidRDefault="00B40506" w:rsidP="00B40506">
      <w:pPr>
        <w:keepNext/>
        <w:spacing w:line="254" w:lineRule="auto"/>
        <w:jc w:val="both"/>
      </w:pPr>
      <w:r>
        <w:rPr>
          <w:noProof/>
        </w:rPr>
        <mc:AlternateContent>
          <mc:Choice Requires="wps">
            <w:drawing>
              <wp:anchor distT="0" distB="0" distL="114300" distR="114300" simplePos="0" relativeHeight="251658241" behindDoc="0" locked="0" layoutInCell="1" allowOverlap="1" wp14:anchorId="16B6E8A9" wp14:editId="0208620E">
                <wp:simplePos x="0" y="0"/>
                <wp:positionH relativeFrom="column">
                  <wp:posOffset>2731770</wp:posOffset>
                </wp:positionH>
                <wp:positionV relativeFrom="paragraph">
                  <wp:posOffset>1773765</wp:posOffset>
                </wp:positionV>
                <wp:extent cx="2787650" cy="481965"/>
                <wp:effectExtent l="19050" t="19050" r="12700" b="13335"/>
                <wp:wrapNone/>
                <wp:docPr id="10" name="Rectangle 10"/>
                <wp:cNvGraphicFramePr/>
                <a:graphic xmlns:a="http://schemas.openxmlformats.org/drawingml/2006/main">
                  <a:graphicData uri="http://schemas.microsoft.com/office/word/2010/wordprocessingShape">
                    <wps:wsp>
                      <wps:cNvSpPr/>
                      <wps:spPr>
                        <a:xfrm>
                          <a:off x="0" y="0"/>
                          <a:ext cx="2787650" cy="481965"/>
                        </a:xfrm>
                        <a:prstGeom prst="rect">
                          <a:avLst/>
                        </a:prstGeom>
                        <a:noFill/>
                        <a:ln w="28575">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3B4C69" id="Rectangle 10" o:spid="_x0000_s1026" style="position:absolute;margin-left:215.1pt;margin-top:139.65pt;width:219.5pt;height:37.9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" filled="f" strokecolor="#c00000" strokeweight="2.25pt"/>
            </w:pict>
          </mc:Fallback>
        </mc:AlternateContent>
      </w:r>
      <w:r>
        <w:rPr>
          <w:noProof/>
        </w:rPr>
        <mc:AlternateContent>
          <mc:Choice Requires="wps">
            <w:drawing>
              <wp:anchor distT="0" distB="0" distL="114300" distR="114300" simplePos="0" relativeHeight="251658240" behindDoc="0" locked="0" layoutInCell="1" allowOverlap="1" wp14:anchorId="16A67194" wp14:editId="0A6000FB">
                <wp:simplePos x="0" y="0"/>
                <wp:positionH relativeFrom="column">
                  <wp:posOffset>2735557</wp:posOffset>
                </wp:positionH>
                <wp:positionV relativeFrom="paragraph">
                  <wp:posOffset>1125910</wp:posOffset>
                </wp:positionV>
                <wp:extent cx="2788078" cy="482444"/>
                <wp:effectExtent l="19050" t="19050" r="12700" b="13335"/>
                <wp:wrapNone/>
                <wp:docPr id="9" name="Rectangle 9"/>
                <wp:cNvGraphicFramePr/>
                <a:graphic xmlns:a="http://schemas.openxmlformats.org/drawingml/2006/main">
                  <a:graphicData uri="http://schemas.microsoft.com/office/word/2010/wordprocessingShape">
                    <wps:wsp>
                      <wps:cNvSpPr/>
                      <wps:spPr>
                        <a:xfrm>
                          <a:off x="0" y="0"/>
                          <a:ext cx="2788078" cy="482444"/>
                        </a:xfrm>
                        <a:prstGeom prst="rect">
                          <a:avLst/>
                        </a:prstGeom>
                        <a:noFill/>
                        <a:ln w="28575">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75A766" id="Rectangle 9" o:spid="_x0000_s1026" style="position:absolute;margin-left:215.4pt;margin-top:88.65pt;width:219.55pt;height:3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" filled="f" strokecolor="#c00000" strokeweight="2.25pt"/>
            </w:pict>
          </mc:Fallback>
        </mc:AlternateContent>
      </w:r>
      <w:r>
        <w:rPr>
          <w:noProof/>
        </w:rPr>
        <w:drawing>
          <wp:inline distT="0" distB="0" distL="0" distR="0" wp14:anchorId="201248DE" wp14:editId="78824283">
            <wp:extent cx="6120765" cy="2494915"/>
            <wp:effectExtent l="19050" t="19050" r="13335" b="19685"/>
            <wp:docPr id="236400978" name="Picture 23640097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00978" name="Picture 236400978" descr="A screenshot of a computer&#10;&#10;Description automatically generated"/>
                    <pic:cNvPicPr/>
                  </pic:nvPicPr>
                  <pic:blipFill>
                    <a:blip r:embed="rId13"/>
                    <a:stretch>
                      <a:fillRect/>
                    </a:stretch>
                  </pic:blipFill>
                  <pic:spPr>
                    <a:xfrm>
                      <a:off x="0" y="0"/>
                      <a:ext cx="6120765" cy="2494915"/>
                    </a:xfrm>
                    <a:prstGeom prst="rect">
                      <a:avLst/>
                    </a:prstGeom>
                    <a:ln w="19050">
                      <a:solidFill>
                        <a:schemeClr val="accent1"/>
                      </a:solidFill>
                    </a:ln>
                  </pic:spPr>
                </pic:pic>
              </a:graphicData>
            </a:graphic>
          </wp:inline>
        </w:drawing>
      </w:r>
    </w:p>
    <w:p w14:paraId="485A76B5" w14:textId="3E0F60AE" w:rsidR="00B40506" w:rsidRDefault="00B40506" w:rsidP="00411F72">
      <w:pPr>
        <w:pStyle w:val="Caption"/>
        <w:jc w:val="center"/>
      </w:pPr>
      <w:bookmarkStart w:id="0" w:name="_Ref181879229"/>
      <w:r>
        <w:t xml:space="preserve">Figure </w:t>
      </w:r>
      <w:r>
        <w:fldChar w:fldCharType="begin"/>
      </w:r>
      <w:r>
        <w:instrText xml:space="preserve"> SEQ Figure \* ARABIC </w:instrText>
      </w:r>
      <w:r>
        <w:fldChar w:fldCharType="separate"/>
      </w:r>
      <w:r>
        <w:rPr>
          <w:noProof/>
        </w:rPr>
        <w:t>1</w:t>
      </w:r>
      <w:r>
        <w:fldChar w:fldCharType="end"/>
      </w:r>
      <w:bookmarkEnd w:id="0"/>
      <w:r>
        <w:t xml:space="preserve">. Example of </w:t>
      </w:r>
      <w:r w:rsidR="00D0128F">
        <w:t xml:space="preserve">CDL </w:t>
      </w:r>
      <w:r w:rsidR="00F441F8">
        <w:t>parameter table highlight</w:t>
      </w:r>
      <w:r w:rsidR="00D15ECB">
        <w:t xml:space="preserve">ing </w:t>
      </w:r>
      <w:r w:rsidR="00E236A3">
        <w:t xml:space="preserve">discussed </w:t>
      </w:r>
      <w:r w:rsidR="002A20B0">
        <w:t xml:space="preserve">rows and </w:t>
      </w:r>
      <w:r w:rsidR="00E5128D">
        <w:t xml:space="preserve">same </w:t>
      </w:r>
      <w:r w:rsidR="0035119E">
        <w:t>cluster</w:t>
      </w:r>
      <w:r w:rsidR="00E5128D">
        <w:t xml:space="preserve"> angles. The figure is co</w:t>
      </w:r>
      <w:r w:rsidR="00081D38">
        <w:t xml:space="preserve">pied from </w:t>
      </w:r>
      <w:r w:rsidR="00081D38">
        <w:fldChar w:fldCharType="begin"/>
      </w:r>
      <w:r w:rsidR="00081D38">
        <w:instrText xml:space="preserve"> REF _Ref181879085 \n \h </w:instrText>
      </w:r>
      <w:r w:rsidR="00081D38">
        <w:fldChar w:fldCharType="separate"/>
      </w:r>
      <w:r w:rsidR="00081D38">
        <w:t>[3]</w:t>
      </w:r>
      <w:r w:rsidR="00081D38">
        <w:fldChar w:fldCharType="end"/>
      </w:r>
      <w:r w:rsidR="00081D38">
        <w:t>.</w:t>
      </w:r>
    </w:p>
    <w:p w14:paraId="7CB45193" w14:textId="5410EAEF" w:rsidR="001E41F3" w:rsidRPr="005A7000" w:rsidRDefault="00F31C14" w:rsidP="00F31C14">
      <w:pPr>
        <w:pStyle w:val="Caption"/>
        <w:rPr>
          <w:b w:val="0"/>
          <w:bCs/>
          <w:i/>
          <w:iCs w:val="0"/>
        </w:rPr>
      </w:pPr>
      <w:bookmarkStart w:id="1" w:name="_Ref181900133"/>
      <w:r w:rsidRPr="005A7000">
        <w:rPr>
          <w:i/>
          <w:iCs w:val="0"/>
        </w:rPr>
        <w:t xml:space="preserve">Observation </w:t>
      </w:r>
      <w:r w:rsidRPr="005A7000">
        <w:rPr>
          <w:i/>
          <w:iCs w:val="0"/>
        </w:rPr>
        <w:fldChar w:fldCharType="begin"/>
      </w:r>
      <w:r w:rsidRPr="005A7000">
        <w:rPr>
          <w:i/>
          <w:iCs w:val="0"/>
        </w:rPr>
        <w:instrText xml:space="preserve"> SEQ Observation \* ARABIC </w:instrText>
      </w:r>
      <w:r w:rsidRPr="005A7000">
        <w:rPr>
          <w:i/>
          <w:iCs w:val="0"/>
        </w:rPr>
        <w:fldChar w:fldCharType="separate"/>
      </w:r>
      <w:r w:rsidRPr="005A7000">
        <w:rPr>
          <w:i/>
          <w:iCs w:val="0"/>
          <w:noProof/>
        </w:rPr>
        <w:t>1</w:t>
      </w:r>
      <w:r w:rsidRPr="005A7000">
        <w:rPr>
          <w:i/>
          <w:iCs w:val="0"/>
        </w:rPr>
        <w:fldChar w:fldCharType="end"/>
      </w:r>
      <w:r w:rsidR="00CE1DC1" w:rsidRPr="005A7000">
        <w:rPr>
          <w:i/>
          <w:iCs w:val="0"/>
        </w:rPr>
        <w:t xml:space="preserve">: </w:t>
      </w:r>
      <w:r w:rsidR="00795EBF" w:rsidRPr="005A7000">
        <w:rPr>
          <w:b w:val="0"/>
          <w:bCs/>
          <w:i/>
          <w:iCs w:val="0"/>
        </w:rPr>
        <w:t>There will be no correlation between subclusters</w:t>
      </w:r>
      <w:r w:rsidR="005A391B" w:rsidRPr="005A391B">
        <w:t xml:space="preserve"> </w:t>
      </w:r>
      <w:r w:rsidR="005A391B" w:rsidRPr="005A391B">
        <w:rPr>
          <w:b w:val="0"/>
          <w:bCs/>
          <w:i/>
          <w:iCs w:val="0"/>
        </w:rPr>
        <w:t>for CDL based methodologies</w:t>
      </w:r>
      <w:r w:rsidR="005A7000" w:rsidRPr="005A7000">
        <w:rPr>
          <w:b w:val="0"/>
          <w:bCs/>
          <w:i/>
          <w:iCs w:val="0"/>
        </w:rPr>
        <w:t>. Hence, there is no need to define mechanisms to avoid it</w:t>
      </w:r>
      <w:r w:rsidR="008B7D74" w:rsidRPr="005A7000">
        <w:rPr>
          <w:b w:val="0"/>
          <w:bCs/>
          <w:i/>
          <w:iCs w:val="0"/>
        </w:rPr>
        <w:t>.</w:t>
      </w:r>
      <w:bookmarkEnd w:id="1"/>
    </w:p>
    <w:p w14:paraId="6FF0D282" w14:textId="0AE300B4" w:rsidR="00F31C14" w:rsidRDefault="00F31C14" w:rsidP="00F31C14">
      <w:pPr>
        <w:pStyle w:val="Caption"/>
      </w:pPr>
      <w:bookmarkStart w:id="2" w:name="_Ref181900134"/>
      <w:r w:rsidRPr="0036675D">
        <w:rPr>
          <w:i/>
          <w:iCs w:val="0"/>
        </w:rPr>
        <w:t xml:space="preserve">Proposal </w:t>
      </w:r>
      <w:r w:rsidRPr="0036675D">
        <w:rPr>
          <w:i/>
          <w:iCs w:val="0"/>
        </w:rPr>
        <w:fldChar w:fldCharType="begin"/>
      </w:r>
      <w:r w:rsidRPr="0036675D">
        <w:rPr>
          <w:i/>
          <w:iCs w:val="0"/>
        </w:rPr>
        <w:instrText xml:space="preserve"> SEQ Proposal \* ARABIC </w:instrText>
      </w:r>
      <w:r w:rsidRPr="0036675D">
        <w:rPr>
          <w:i/>
          <w:iCs w:val="0"/>
        </w:rPr>
        <w:fldChar w:fldCharType="separate"/>
      </w:r>
      <w:r w:rsidRPr="0036675D">
        <w:rPr>
          <w:i/>
          <w:iCs w:val="0"/>
          <w:noProof/>
        </w:rPr>
        <w:t>1</w:t>
      </w:r>
      <w:r w:rsidRPr="0036675D">
        <w:rPr>
          <w:i/>
          <w:iCs w:val="0"/>
        </w:rPr>
        <w:fldChar w:fldCharType="end"/>
      </w:r>
      <w:r w:rsidR="007E1CCF" w:rsidRPr="0036675D">
        <w:rPr>
          <w:i/>
          <w:iCs w:val="0"/>
        </w:rPr>
        <w:t>:</w:t>
      </w:r>
      <w:r w:rsidR="007E1CCF">
        <w:t xml:space="preserve"> </w:t>
      </w:r>
      <w:r w:rsidR="00A80E85" w:rsidRPr="0036675D">
        <w:rPr>
          <w:b w:val="0"/>
          <w:bCs/>
          <w:i/>
          <w:iCs w:val="0"/>
        </w:rPr>
        <w:t xml:space="preserve">Discussion on potential correlation between subclusters and the definition of mechanisms to avoid it </w:t>
      </w:r>
      <w:r w:rsidR="0036675D" w:rsidRPr="0036675D">
        <w:rPr>
          <w:b w:val="0"/>
          <w:bCs/>
          <w:i/>
          <w:iCs w:val="0"/>
        </w:rPr>
        <w:t xml:space="preserve">for Rel-19 Demodulation spatial Channel model </w:t>
      </w:r>
      <w:r w:rsidR="008A359E">
        <w:rPr>
          <w:b w:val="0"/>
          <w:bCs/>
          <w:i/>
          <w:iCs w:val="0"/>
        </w:rPr>
        <w:t xml:space="preserve">work item </w:t>
      </w:r>
      <w:r w:rsidR="00A80E85" w:rsidRPr="0036675D">
        <w:rPr>
          <w:b w:val="0"/>
          <w:bCs/>
          <w:i/>
          <w:iCs w:val="0"/>
        </w:rPr>
        <w:t>can be closed</w:t>
      </w:r>
      <w:r w:rsidR="0036675D" w:rsidRPr="0036675D">
        <w:rPr>
          <w:b w:val="0"/>
          <w:bCs/>
          <w:i/>
          <w:iCs w:val="0"/>
        </w:rPr>
        <w:t xml:space="preserve"> now. No action is required.</w:t>
      </w:r>
      <w:r w:rsidR="00A80E85">
        <w:t xml:space="preserve"> </w:t>
      </w:r>
      <w:bookmarkEnd w:id="2"/>
    </w:p>
    <w:p w14:paraId="61CEEBEC" w14:textId="77777777" w:rsidR="00F31C14" w:rsidRDefault="00F31C14" w:rsidP="00F31C14">
      <w:pPr>
        <w:pStyle w:val="Heading1"/>
      </w:pPr>
      <w:r>
        <w:t>Conclusion</w:t>
      </w:r>
    </w:p>
    <w:p w14:paraId="57E7874A" w14:textId="77777777" w:rsidR="00906A41" w:rsidRDefault="00906A41" w:rsidP="00F31C14">
      <w:r>
        <w:t xml:space="preserve">This document provides company views on whether the potential correlation between subclusters </w:t>
      </w:r>
      <w:proofErr w:type="gramStart"/>
      <w:r>
        <w:t>is an issue</w:t>
      </w:r>
      <w:proofErr w:type="gramEnd"/>
      <w:r>
        <w:t xml:space="preserve"> and whether there should be mechanisms to avoid it. </w:t>
      </w:r>
    </w:p>
    <w:p w14:paraId="09999558" w14:textId="4EAE691E" w:rsidR="00F31C14" w:rsidRDefault="00F31C14" w:rsidP="00F31C14">
      <w:r>
        <w:t>The following observations and conclusions were made in this contribution</w:t>
      </w:r>
      <w:r w:rsidR="008A359E">
        <w:t>:</w:t>
      </w:r>
    </w:p>
    <w:p w14:paraId="43268828" w14:textId="3BAC83EC" w:rsidR="008A359E" w:rsidRPr="008A359E" w:rsidRDefault="008A359E" w:rsidP="00F31C14">
      <w:pPr>
        <w:rPr>
          <w:i/>
        </w:rPr>
      </w:pPr>
      <w:r w:rsidRPr="008A359E">
        <w:rPr>
          <w:i/>
        </w:rPr>
        <w:fldChar w:fldCharType="begin"/>
      </w:r>
      <w:r w:rsidRPr="008A359E">
        <w:rPr>
          <w:i/>
        </w:rPr>
        <w:instrText xml:space="preserve"> REF _Ref181900133 \h </w:instrText>
      </w:r>
      <w:r>
        <w:rPr>
          <w:i/>
        </w:rPr>
        <w:instrText xml:space="preserve"> \* MERGEFORMAT </w:instrText>
      </w:r>
      <w:r w:rsidRPr="008A359E">
        <w:rPr>
          <w:i/>
        </w:rPr>
      </w:r>
      <w:r w:rsidRPr="008A359E">
        <w:rPr>
          <w:i/>
        </w:rPr>
        <w:fldChar w:fldCharType="separate"/>
      </w:r>
      <w:r w:rsidR="005A391B" w:rsidRPr="005A391B">
        <w:rPr>
          <w:b/>
          <w:bCs/>
          <w:i/>
          <w:iCs/>
        </w:rPr>
        <w:t xml:space="preserve">Observation </w:t>
      </w:r>
      <w:r w:rsidR="005A391B" w:rsidRPr="005A391B">
        <w:rPr>
          <w:b/>
          <w:bCs/>
          <w:i/>
          <w:iCs/>
          <w:noProof/>
        </w:rPr>
        <w:t>1</w:t>
      </w:r>
      <w:r w:rsidR="005A391B" w:rsidRPr="005A391B">
        <w:rPr>
          <w:b/>
          <w:bCs/>
          <w:i/>
          <w:iCs/>
        </w:rPr>
        <w:t>:</w:t>
      </w:r>
      <w:r w:rsidR="005A391B" w:rsidRPr="005A391B">
        <w:rPr>
          <w:i/>
          <w:iCs/>
        </w:rPr>
        <w:t xml:space="preserve"> </w:t>
      </w:r>
      <w:r w:rsidR="005A391B" w:rsidRPr="005A391B">
        <w:rPr>
          <w:bCs/>
          <w:i/>
          <w:iCs/>
        </w:rPr>
        <w:t>There will be no correlation between subclusters</w:t>
      </w:r>
      <w:r w:rsidR="005A391B" w:rsidRPr="005A391B">
        <w:rPr>
          <w:bCs/>
          <w:i/>
          <w:iCs/>
        </w:rPr>
        <w:t xml:space="preserve"> </w:t>
      </w:r>
      <w:r w:rsidR="005A391B" w:rsidRPr="005A391B">
        <w:rPr>
          <w:bCs/>
          <w:i/>
          <w:iCs/>
        </w:rPr>
        <w:t xml:space="preserve">for CDL based methodologies. Hence, there is no need to define </w:t>
      </w:r>
      <w:r w:rsidR="005A391B" w:rsidRPr="005A7000">
        <w:rPr>
          <w:bCs/>
          <w:i/>
        </w:rPr>
        <w:t>mechanisms to avoid it.</w:t>
      </w:r>
      <w:r w:rsidRPr="008A359E">
        <w:rPr>
          <w:i/>
        </w:rPr>
        <w:fldChar w:fldCharType="end"/>
      </w:r>
    </w:p>
    <w:p w14:paraId="668E5A9D" w14:textId="13EE2A67" w:rsidR="008A359E" w:rsidRPr="008A359E" w:rsidRDefault="008A359E" w:rsidP="00F31C14">
      <w:pPr>
        <w:rPr>
          <w:bCs/>
          <w:i/>
          <w:iCs/>
        </w:rPr>
      </w:pPr>
      <w:r w:rsidRPr="008A359E">
        <w:rPr>
          <w:bCs/>
          <w:i/>
          <w:iCs/>
        </w:rPr>
        <w:fldChar w:fldCharType="begin"/>
      </w:r>
      <w:r w:rsidRPr="008A359E">
        <w:rPr>
          <w:bCs/>
          <w:i/>
          <w:iCs/>
        </w:rPr>
        <w:instrText xml:space="preserve"> REF _Ref181900134 \h  \* MERGEFORMAT </w:instrText>
      </w:r>
      <w:r w:rsidRPr="008A359E">
        <w:rPr>
          <w:bCs/>
          <w:i/>
          <w:iCs/>
        </w:rPr>
      </w:r>
      <w:r w:rsidRPr="008A359E">
        <w:rPr>
          <w:bCs/>
          <w:i/>
          <w:iCs/>
        </w:rPr>
        <w:fldChar w:fldCharType="separate"/>
      </w:r>
      <w:r w:rsidRPr="008A359E">
        <w:rPr>
          <w:b/>
          <w:i/>
          <w:iCs/>
        </w:rPr>
        <w:t xml:space="preserve">Proposal </w:t>
      </w:r>
      <w:r w:rsidRPr="008A359E">
        <w:rPr>
          <w:b/>
          <w:i/>
          <w:iCs/>
          <w:noProof/>
        </w:rPr>
        <w:t>1</w:t>
      </w:r>
      <w:r w:rsidRPr="008A359E">
        <w:rPr>
          <w:b/>
          <w:i/>
          <w:iCs/>
        </w:rPr>
        <w:t>:</w:t>
      </w:r>
      <w:r w:rsidRPr="008A359E">
        <w:rPr>
          <w:bCs/>
          <w:i/>
          <w:iCs/>
        </w:rPr>
        <w:t xml:space="preserve"> Discussion on potential correlation between subclusters and the definition of mechanisms to avoid it for Rel-19 Demodulation spatial Channel model work item can be closed now. No action is required. </w:t>
      </w:r>
      <w:r w:rsidRPr="008A359E">
        <w:rPr>
          <w:bCs/>
          <w:i/>
          <w:iCs/>
        </w:rPr>
        <w:fldChar w:fldCharType="end"/>
      </w:r>
    </w:p>
    <w:p w14:paraId="2F615DB0" w14:textId="2430287F" w:rsidR="00906A41" w:rsidRDefault="00906A41" w:rsidP="00F31C14"/>
    <w:p w14:paraId="7E735F7B" w14:textId="77777777" w:rsidR="00F31C14" w:rsidRDefault="00F31C14" w:rsidP="00F31C14">
      <w:pPr>
        <w:pStyle w:val="Heading1"/>
      </w:pPr>
      <w:r>
        <w:t>References</w:t>
      </w:r>
    </w:p>
    <w:p w14:paraId="3DD9E2E5" w14:textId="49C4894A" w:rsidR="00C2349A" w:rsidRDefault="00C2349A" w:rsidP="00C2349A">
      <w:pPr>
        <w:pStyle w:val="ListParagraph"/>
        <w:numPr>
          <w:ilvl w:val="0"/>
          <w:numId w:val="1"/>
        </w:numPr>
      </w:pPr>
      <w:r>
        <w:t>RP-241610, Study on spatial channel model for demodulation performance requirements, Nokia, BT Plc, AT&amp;T, Bell Mobility, Bouygues Telecom, China Telecom, 3GPP TSG RAN Meeting #104, June 2024</w:t>
      </w:r>
    </w:p>
    <w:p w14:paraId="6AE242C8" w14:textId="77777777" w:rsidR="00C2349A" w:rsidRDefault="00C2349A" w:rsidP="00C2349A">
      <w:pPr>
        <w:pStyle w:val="ListParagraph"/>
        <w:numPr>
          <w:ilvl w:val="0"/>
          <w:numId w:val="1"/>
        </w:numPr>
      </w:pPr>
      <w:bookmarkStart w:id="3" w:name="_Ref181814432"/>
      <w:r>
        <w:t>R4-2416591, Way Forward Minutes for [112bis][318] NR_SCM, Moderator (Nokia), 3GPP TSG-RAN WG4 Meeting #112-bis, October 2024</w:t>
      </w:r>
      <w:bookmarkEnd w:id="3"/>
    </w:p>
    <w:p w14:paraId="65A37CC2" w14:textId="7C2E0346" w:rsidR="00F31C14" w:rsidRDefault="00906A41" w:rsidP="00F31C14">
      <w:pPr>
        <w:pStyle w:val="ListParagraph"/>
        <w:numPr>
          <w:ilvl w:val="0"/>
          <w:numId w:val="1"/>
        </w:numPr>
      </w:pPr>
      <w:bookmarkStart w:id="4" w:name="_Ref181879085"/>
      <w:r>
        <w:t>R4- 2415382, Discussion on Spatial Channel Modelling, MediaTek Inc., 3GPP TSG-RAN WG4 # 112-bis, October 2024</w:t>
      </w:r>
      <w:bookmarkEnd w:id="4"/>
    </w:p>
    <w:p w14:paraId="0E536AE8" w14:textId="6DDF8664" w:rsidR="00C177BE" w:rsidRDefault="007D5C07" w:rsidP="00FD7919">
      <w:pPr>
        <w:pStyle w:val="ListParagraph"/>
        <w:numPr>
          <w:ilvl w:val="0"/>
          <w:numId w:val="1"/>
        </w:numPr>
      </w:pPr>
      <w:bookmarkStart w:id="5" w:name="_Ref181879205"/>
      <w:r w:rsidRPr="007D5C07">
        <w:lastRenderedPageBreak/>
        <w:t>3GPP TR 38.827</w:t>
      </w:r>
      <w:r w:rsidR="00FD7919">
        <w:t>, “Study on radiated metrics and test methodology for the verification of multi-antenna reception performance of NR User Equipment (UE</w:t>
      </w:r>
      <w:r w:rsidR="00AA650B">
        <w:t>)</w:t>
      </w:r>
      <w:r w:rsidR="00FD7919">
        <w:t>”,</w:t>
      </w:r>
      <w:r w:rsidRPr="007D5C07">
        <w:t xml:space="preserve"> V16.8.0</w:t>
      </w:r>
      <w:r w:rsidR="002A5923">
        <w:t xml:space="preserve">, September </w:t>
      </w:r>
      <w:r w:rsidRPr="007D5C07">
        <w:t>2022</w:t>
      </w:r>
      <w:r w:rsidR="00AA650B">
        <w:t>.</w:t>
      </w:r>
      <w:bookmarkEnd w:id="5"/>
    </w:p>
    <w:p w14:paraId="6FE35976" w14:textId="0EEC8E04" w:rsidR="00643A98" w:rsidRPr="00F31C14" w:rsidRDefault="00894A4D" w:rsidP="00FD7919">
      <w:pPr>
        <w:pStyle w:val="ListParagraph"/>
        <w:numPr>
          <w:ilvl w:val="0"/>
          <w:numId w:val="1"/>
        </w:numPr>
      </w:pPr>
      <w:bookmarkStart w:id="6" w:name="_Ref181879620"/>
      <w:r w:rsidRPr="00894A4D">
        <w:t>3GPP TR 38.901</w:t>
      </w:r>
      <w:r w:rsidR="0038485D">
        <w:t>, “</w:t>
      </w:r>
      <w:r w:rsidR="0038485D" w:rsidRPr="0038485D">
        <w:t>Study on channel model for frequencies from 0.5 to 100 GHz</w:t>
      </w:r>
      <w:r w:rsidR="0038485D">
        <w:t>”,</w:t>
      </w:r>
      <w:r w:rsidRPr="00894A4D">
        <w:t xml:space="preserve"> V18.0.0</w:t>
      </w:r>
      <w:r w:rsidR="0038485D">
        <w:t xml:space="preserve">, March </w:t>
      </w:r>
      <w:r w:rsidRPr="00894A4D">
        <w:t>2024</w:t>
      </w:r>
      <w:r w:rsidR="0038485D">
        <w:t>.</w:t>
      </w:r>
      <w:bookmarkEnd w:id="6"/>
    </w:p>
    <w:sectPr w:rsidR="00643A98" w:rsidRPr="00F31C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52BCD" w14:textId="77777777" w:rsidR="00A92881" w:rsidRDefault="00A92881">
      <w:r>
        <w:separator/>
      </w:r>
    </w:p>
  </w:endnote>
  <w:endnote w:type="continuationSeparator" w:id="0">
    <w:p w14:paraId="018050F7" w14:textId="77777777" w:rsidR="00A92881" w:rsidRDefault="00A92881">
      <w:r>
        <w:continuationSeparator/>
      </w:r>
    </w:p>
  </w:endnote>
  <w:endnote w:type="continuationNotice" w:id="1">
    <w:p w14:paraId="7695C87E" w14:textId="77777777" w:rsidR="00A92881" w:rsidRDefault="00A92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3E0C8" w14:textId="77777777" w:rsidR="00A92881" w:rsidRDefault="00A92881">
      <w:r>
        <w:separator/>
      </w:r>
    </w:p>
  </w:footnote>
  <w:footnote w:type="continuationSeparator" w:id="0">
    <w:p w14:paraId="5BAD79CF" w14:textId="77777777" w:rsidR="00A92881" w:rsidRDefault="00A92881">
      <w:r>
        <w:continuationSeparator/>
      </w:r>
    </w:p>
  </w:footnote>
  <w:footnote w:type="continuationNotice" w:id="1">
    <w:p w14:paraId="5411193D" w14:textId="77777777" w:rsidR="00A92881" w:rsidRDefault="00A928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E95B67"/>
    <w:multiLevelType w:val="hybridMultilevel"/>
    <w:tmpl w:val="B218E7D2"/>
    <w:lvl w:ilvl="0" w:tplc="1BA25D2C">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655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22E4A"/>
    <w:rsid w:val="000426A3"/>
    <w:rsid w:val="0006520B"/>
    <w:rsid w:val="00070E09"/>
    <w:rsid w:val="00074BE7"/>
    <w:rsid w:val="00081D38"/>
    <w:rsid w:val="0008690D"/>
    <w:rsid w:val="000A6394"/>
    <w:rsid w:val="000B228F"/>
    <w:rsid w:val="000B7FED"/>
    <w:rsid w:val="000C038A"/>
    <w:rsid w:val="000C6598"/>
    <w:rsid w:val="000D44B3"/>
    <w:rsid w:val="000F594C"/>
    <w:rsid w:val="00125EE8"/>
    <w:rsid w:val="0013209B"/>
    <w:rsid w:val="00145D43"/>
    <w:rsid w:val="0017717F"/>
    <w:rsid w:val="00192C46"/>
    <w:rsid w:val="001A08B3"/>
    <w:rsid w:val="001A7B60"/>
    <w:rsid w:val="001B16C4"/>
    <w:rsid w:val="001B52F0"/>
    <w:rsid w:val="001B7A65"/>
    <w:rsid w:val="001E41F3"/>
    <w:rsid w:val="001F459A"/>
    <w:rsid w:val="0026004D"/>
    <w:rsid w:val="002640DD"/>
    <w:rsid w:val="00275D12"/>
    <w:rsid w:val="00284FEB"/>
    <w:rsid w:val="002860C4"/>
    <w:rsid w:val="002A20B0"/>
    <w:rsid w:val="002A5923"/>
    <w:rsid w:val="002B5741"/>
    <w:rsid w:val="002E472E"/>
    <w:rsid w:val="002F6143"/>
    <w:rsid w:val="00305409"/>
    <w:rsid w:val="00320EAB"/>
    <w:rsid w:val="0035119E"/>
    <w:rsid w:val="003552FA"/>
    <w:rsid w:val="003609EF"/>
    <w:rsid w:val="0036231A"/>
    <w:rsid w:val="00363C54"/>
    <w:rsid w:val="0036675D"/>
    <w:rsid w:val="00374DD4"/>
    <w:rsid w:val="0038485D"/>
    <w:rsid w:val="003E1A36"/>
    <w:rsid w:val="003E1B2B"/>
    <w:rsid w:val="003F1A8A"/>
    <w:rsid w:val="00410371"/>
    <w:rsid w:val="00411F72"/>
    <w:rsid w:val="004242F1"/>
    <w:rsid w:val="0042514E"/>
    <w:rsid w:val="00432F86"/>
    <w:rsid w:val="00454050"/>
    <w:rsid w:val="00465880"/>
    <w:rsid w:val="00467BA3"/>
    <w:rsid w:val="0048072C"/>
    <w:rsid w:val="00496C45"/>
    <w:rsid w:val="004B2546"/>
    <w:rsid w:val="004B75B7"/>
    <w:rsid w:val="004E64D4"/>
    <w:rsid w:val="005141D9"/>
    <w:rsid w:val="0051580D"/>
    <w:rsid w:val="005334F5"/>
    <w:rsid w:val="0053583D"/>
    <w:rsid w:val="00545E8B"/>
    <w:rsid w:val="00547111"/>
    <w:rsid w:val="00592D74"/>
    <w:rsid w:val="005A391B"/>
    <w:rsid w:val="005A7000"/>
    <w:rsid w:val="005E2C44"/>
    <w:rsid w:val="00600BDA"/>
    <w:rsid w:val="00621188"/>
    <w:rsid w:val="006257ED"/>
    <w:rsid w:val="00643A98"/>
    <w:rsid w:val="00653DE4"/>
    <w:rsid w:val="006640E4"/>
    <w:rsid w:val="00665C47"/>
    <w:rsid w:val="00677F19"/>
    <w:rsid w:val="00695808"/>
    <w:rsid w:val="006A4C7F"/>
    <w:rsid w:val="006A655F"/>
    <w:rsid w:val="006B46FB"/>
    <w:rsid w:val="006E21FB"/>
    <w:rsid w:val="006F6E6E"/>
    <w:rsid w:val="00701963"/>
    <w:rsid w:val="00770925"/>
    <w:rsid w:val="00792342"/>
    <w:rsid w:val="00795EBF"/>
    <w:rsid w:val="007977A8"/>
    <w:rsid w:val="007B512A"/>
    <w:rsid w:val="007B5FEC"/>
    <w:rsid w:val="007C2097"/>
    <w:rsid w:val="007C291F"/>
    <w:rsid w:val="007C3C08"/>
    <w:rsid w:val="007D5C07"/>
    <w:rsid w:val="007D6A07"/>
    <w:rsid w:val="007E1CCF"/>
    <w:rsid w:val="007F7259"/>
    <w:rsid w:val="008040A8"/>
    <w:rsid w:val="00805F93"/>
    <w:rsid w:val="008279FA"/>
    <w:rsid w:val="008626E7"/>
    <w:rsid w:val="008674F8"/>
    <w:rsid w:val="00870EE7"/>
    <w:rsid w:val="008863B9"/>
    <w:rsid w:val="008926DF"/>
    <w:rsid w:val="00894A4D"/>
    <w:rsid w:val="008A359E"/>
    <w:rsid w:val="008A45A6"/>
    <w:rsid w:val="008B54CF"/>
    <w:rsid w:val="008B7D74"/>
    <w:rsid w:val="008C6080"/>
    <w:rsid w:val="008D3CCC"/>
    <w:rsid w:val="008F3789"/>
    <w:rsid w:val="008F686C"/>
    <w:rsid w:val="00906A41"/>
    <w:rsid w:val="009148DE"/>
    <w:rsid w:val="00926848"/>
    <w:rsid w:val="00936985"/>
    <w:rsid w:val="00941E30"/>
    <w:rsid w:val="009531B0"/>
    <w:rsid w:val="009741B3"/>
    <w:rsid w:val="009777D9"/>
    <w:rsid w:val="00991B88"/>
    <w:rsid w:val="009A5753"/>
    <w:rsid w:val="009A579D"/>
    <w:rsid w:val="009C14D8"/>
    <w:rsid w:val="009E3297"/>
    <w:rsid w:val="009F734F"/>
    <w:rsid w:val="00A246B6"/>
    <w:rsid w:val="00A26897"/>
    <w:rsid w:val="00A47E70"/>
    <w:rsid w:val="00A50CF0"/>
    <w:rsid w:val="00A7671C"/>
    <w:rsid w:val="00A80E85"/>
    <w:rsid w:val="00A92408"/>
    <w:rsid w:val="00A92881"/>
    <w:rsid w:val="00AA2CBC"/>
    <w:rsid w:val="00AA650B"/>
    <w:rsid w:val="00AB18A5"/>
    <w:rsid w:val="00AB44B0"/>
    <w:rsid w:val="00AC5820"/>
    <w:rsid w:val="00AD1CD8"/>
    <w:rsid w:val="00AE0B6B"/>
    <w:rsid w:val="00AE743C"/>
    <w:rsid w:val="00B16138"/>
    <w:rsid w:val="00B258BB"/>
    <w:rsid w:val="00B40506"/>
    <w:rsid w:val="00B67B97"/>
    <w:rsid w:val="00B74BF6"/>
    <w:rsid w:val="00B96681"/>
    <w:rsid w:val="00B968C8"/>
    <w:rsid w:val="00BA3EC5"/>
    <w:rsid w:val="00BA51D9"/>
    <w:rsid w:val="00BB5DFC"/>
    <w:rsid w:val="00BD279D"/>
    <w:rsid w:val="00BD4167"/>
    <w:rsid w:val="00BD6BB8"/>
    <w:rsid w:val="00BE72C1"/>
    <w:rsid w:val="00C177BE"/>
    <w:rsid w:val="00C2349A"/>
    <w:rsid w:val="00C66BA2"/>
    <w:rsid w:val="00C671DE"/>
    <w:rsid w:val="00C72966"/>
    <w:rsid w:val="00C870F6"/>
    <w:rsid w:val="00C907B5"/>
    <w:rsid w:val="00C95985"/>
    <w:rsid w:val="00CC5026"/>
    <w:rsid w:val="00CC68D0"/>
    <w:rsid w:val="00CD35BB"/>
    <w:rsid w:val="00CE1DC1"/>
    <w:rsid w:val="00D0128F"/>
    <w:rsid w:val="00D03F9A"/>
    <w:rsid w:val="00D06D51"/>
    <w:rsid w:val="00D15ECB"/>
    <w:rsid w:val="00D24991"/>
    <w:rsid w:val="00D46B64"/>
    <w:rsid w:val="00D50255"/>
    <w:rsid w:val="00D557C5"/>
    <w:rsid w:val="00D63C01"/>
    <w:rsid w:val="00D66520"/>
    <w:rsid w:val="00D84AE9"/>
    <w:rsid w:val="00D9124E"/>
    <w:rsid w:val="00DA54AC"/>
    <w:rsid w:val="00DE34CF"/>
    <w:rsid w:val="00DF00C9"/>
    <w:rsid w:val="00E00182"/>
    <w:rsid w:val="00E13F3D"/>
    <w:rsid w:val="00E236A3"/>
    <w:rsid w:val="00E34898"/>
    <w:rsid w:val="00E5128D"/>
    <w:rsid w:val="00E7304E"/>
    <w:rsid w:val="00E94C65"/>
    <w:rsid w:val="00EA2425"/>
    <w:rsid w:val="00EB09B7"/>
    <w:rsid w:val="00EE7D7C"/>
    <w:rsid w:val="00F259E7"/>
    <w:rsid w:val="00F25D98"/>
    <w:rsid w:val="00F300FB"/>
    <w:rsid w:val="00F31C14"/>
    <w:rsid w:val="00F370D2"/>
    <w:rsid w:val="00F441F8"/>
    <w:rsid w:val="00FB6386"/>
    <w:rsid w:val="00FD37BE"/>
    <w:rsid w:val="00FD7919"/>
    <w:rsid w:val="00FF68D8"/>
    <w:rsid w:val="02F43BCF"/>
    <w:rsid w:val="562DF5B4"/>
    <w:rsid w:val="6D7A89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F31C14"/>
    <w:pPr>
      <w:spacing w:after="200"/>
    </w:pPr>
    <w:rPr>
      <w:b/>
      <w:iCs/>
      <w:szCs w:val="18"/>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F31C14"/>
    <w:pPr>
      <w:ind w:left="720"/>
      <w:contextualSpacing/>
    </w:p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C2349A"/>
    <w:rPr>
      <w:rFonts w:ascii="Times New Roman" w:hAnsi="Times New Roman"/>
      <w:lang w:val="en-GB" w:eastAsia="en-US"/>
    </w:rPr>
  </w:style>
  <w:style w:type="table" w:styleId="TableGrid">
    <w:name w:val="Table Grid"/>
    <w:basedOn w:val="TableNormal"/>
    <w:rsid w:val="00C234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5F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3EEA0-53D4-4927-A691-7F4ECF3BAB7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C2AE130-8C7B-43FC-B88E-C164BC3F1E62}">
  <ds:schemaRefs>
    <ds:schemaRef ds:uri="http://schemas.microsoft.com/sharepoint/v3/contenttype/forms"/>
  </ds:schemaRefs>
</ds:datastoreItem>
</file>

<file path=customXml/itemProps4.xml><?xml version="1.0" encoding="utf-8"?>
<ds:datastoreItem xmlns:ds="http://schemas.openxmlformats.org/officeDocument/2006/customXml" ds:itemID="{C4851D91-1316-4BE6-A1A8-6AAA81D41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925</Words>
  <Characters>5273</Characters>
  <Application>Microsoft Office Word</Application>
  <DocSecurity>0</DocSecurity>
  <Lines>43</Lines>
  <Paragraphs>12</Paragraphs>
  <ScaleCrop>false</ScaleCrop>
  <Company>3GPP Support Team</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2024-11-08T19:27:00Z</dcterms:created>
  <dcterms:modified xsi:type="dcterms:W3CDTF">2024-11-08T19:29:00Z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