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037C" w14:textId="19A7259E"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w:t>
      </w:r>
      <w:r w:rsidR="00D079B4">
        <w:rPr>
          <w:rFonts w:ascii="Arial" w:eastAsia="MS Mincho" w:hAnsi="Arial" w:cs="Arial"/>
          <w:b/>
          <w:noProof/>
          <w:lang w:eastAsia="en-US"/>
        </w:rPr>
        <w:t>4</w:t>
      </w:r>
      <w:r w:rsidRPr="00700AD5">
        <w:rPr>
          <w:rFonts w:ascii="Arial" w:eastAsia="MS Mincho" w:hAnsi="Arial" w:cs="Arial"/>
          <w:b/>
          <w:noProof/>
          <w:lang w:eastAsia="en-US"/>
        </w:rPr>
        <w:t xml:space="preserve"> Meeting #1</w:t>
      </w:r>
      <w:r w:rsidR="00D079B4">
        <w:rPr>
          <w:rFonts w:ascii="Arial" w:eastAsia="MS Mincho" w:hAnsi="Arial" w:cs="Arial"/>
          <w:b/>
          <w:noProof/>
          <w:lang w:eastAsia="en-US"/>
        </w:rPr>
        <w:t>13</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w:t>
      </w:r>
      <w:r w:rsidR="00D079B4">
        <w:rPr>
          <w:rFonts w:ascii="Arial" w:eastAsia="MS Mincho" w:hAnsi="Arial" w:cs="Arial"/>
          <w:b/>
          <w:noProof/>
          <w:lang w:eastAsia="en-US"/>
        </w:rPr>
        <w:t>4</w:t>
      </w:r>
      <w:r w:rsidR="0009672A" w:rsidRPr="0009672A">
        <w:rPr>
          <w:rFonts w:ascii="Arial" w:eastAsia="MS Mincho" w:hAnsi="Arial" w:cs="Arial"/>
          <w:b/>
          <w:noProof/>
          <w:lang w:eastAsia="en-US"/>
        </w:rPr>
        <w:t>-24</w:t>
      </w:r>
      <w:r w:rsidR="00D079B4">
        <w:rPr>
          <w:rFonts w:ascii="Arial" w:eastAsia="MS Mincho" w:hAnsi="Arial" w:cs="Arial"/>
          <w:b/>
          <w:noProof/>
          <w:lang w:eastAsia="en-US"/>
        </w:rPr>
        <w:t>17</w:t>
      </w:r>
      <w:r w:rsidR="00A34609">
        <w:rPr>
          <w:rFonts w:ascii="Arial" w:eastAsia="MS Mincho" w:hAnsi="Arial" w:cs="Arial"/>
          <w:b/>
          <w:noProof/>
          <w:lang w:eastAsia="en-US"/>
        </w:rPr>
        <w:t>531</w:t>
      </w:r>
    </w:p>
    <w:p w14:paraId="57F65FD2" w14:textId="1829044F" w:rsidR="00700AD5" w:rsidRPr="00700AD5" w:rsidRDefault="00607D81" w:rsidP="00700AD5">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bCs/>
          <w:lang w:eastAsia="en-US"/>
        </w:rPr>
        <w:t>Orlando</w:t>
      </w:r>
      <w:r w:rsidR="00D94866" w:rsidRPr="00D94866">
        <w:rPr>
          <w:rFonts w:ascii="Arial" w:eastAsia="MS Mincho" w:hAnsi="Arial" w:cs="Arial"/>
          <w:b/>
          <w:bCs/>
          <w:lang w:eastAsia="en-US"/>
        </w:rPr>
        <w:t xml:space="preserve">, </w:t>
      </w:r>
      <w:r>
        <w:rPr>
          <w:rFonts w:ascii="Arial" w:eastAsia="MS Mincho" w:hAnsi="Arial" w:cs="Arial"/>
          <w:b/>
          <w:bCs/>
          <w:lang w:eastAsia="en-US"/>
        </w:rPr>
        <w:t>US</w:t>
      </w:r>
      <w:r w:rsidR="00D94866" w:rsidRPr="00D94866">
        <w:rPr>
          <w:rFonts w:ascii="Arial" w:eastAsia="MS Mincho" w:hAnsi="Arial" w:cs="Arial"/>
          <w:b/>
          <w:bCs/>
          <w:lang w:eastAsia="en-US"/>
        </w:rPr>
        <w:t>, 1</w:t>
      </w:r>
      <w:r>
        <w:rPr>
          <w:rFonts w:ascii="Arial" w:eastAsia="MS Mincho" w:hAnsi="Arial" w:cs="Arial"/>
          <w:b/>
          <w:bCs/>
          <w:lang w:eastAsia="en-US"/>
        </w:rPr>
        <w:t>8</w:t>
      </w:r>
      <w:r w:rsidR="00D94866" w:rsidRPr="00D94866">
        <w:rPr>
          <w:rFonts w:ascii="Arial" w:eastAsia="MS Mincho" w:hAnsi="Arial" w:cs="Arial"/>
          <w:b/>
          <w:bCs/>
          <w:lang w:eastAsia="en-US"/>
        </w:rPr>
        <w:t xml:space="preserve"> - </w:t>
      </w:r>
      <w:r>
        <w:rPr>
          <w:rFonts w:ascii="Arial" w:eastAsia="MS Mincho" w:hAnsi="Arial" w:cs="Arial"/>
          <w:b/>
          <w:bCs/>
          <w:lang w:eastAsia="en-US"/>
        </w:rPr>
        <w:t>22</w:t>
      </w:r>
      <w:r w:rsidR="00D94866" w:rsidRPr="00D94866">
        <w:rPr>
          <w:rFonts w:ascii="Arial" w:eastAsia="MS Mincho" w:hAnsi="Arial" w:cs="Arial"/>
          <w:b/>
          <w:bCs/>
          <w:lang w:eastAsia="en-US"/>
        </w:rPr>
        <w:t xml:space="preserve"> </w:t>
      </w:r>
      <w:proofErr w:type="gramStart"/>
      <w:r>
        <w:rPr>
          <w:rFonts w:ascii="Arial" w:eastAsia="MS Mincho" w:hAnsi="Arial" w:cs="Arial"/>
          <w:b/>
          <w:bCs/>
          <w:lang w:eastAsia="en-US"/>
        </w:rPr>
        <w:t>Novem</w:t>
      </w:r>
      <w:r w:rsidR="00D94866" w:rsidRPr="00D94866">
        <w:rPr>
          <w:rFonts w:ascii="Arial" w:eastAsia="MS Mincho" w:hAnsi="Arial" w:cs="Arial"/>
          <w:b/>
          <w:bCs/>
          <w:lang w:eastAsia="en-US"/>
        </w:rPr>
        <w:t>ber,</w:t>
      </w:r>
      <w:proofErr w:type="gramEnd"/>
      <w:r w:rsidR="00D94866" w:rsidRPr="00D94866">
        <w:rPr>
          <w:rFonts w:ascii="Arial" w:eastAsia="MS Mincho" w:hAnsi="Arial" w:cs="Arial"/>
          <w:b/>
          <w:bCs/>
          <w:lang w:eastAsia="en-US"/>
        </w:rPr>
        <w:t xml:space="preserve"> 2024</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4593206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D079B4">
        <w:rPr>
          <w:rFonts w:ascii="Arial" w:hAnsi="Arial" w:cs="Arial"/>
          <w:b/>
          <w:sz w:val="22"/>
          <w:szCs w:val="22"/>
          <w:lang w:eastAsia="en-US"/>
        </w:rPr>
        <w:t xml:space="preserve">Reply </w:t>
      </w:r>
      <w:r w:rsidR="00B1350F" w:rsidRPr="00B1350F">
        <w:rPr>
          <w:rFonts w:ascii="Arial" w:hAnsi="Arial" w:cs="Arial"/>
          <w:b/>
          <w:sz w:val="22"/>
          <w:szCs w:val="22"/>
          <w:lang w:eastAsia="en-US"/>
        </w:rPr>
        <w:t>LS on carrierBandwidth configuration for less-than-5MHz carriers</w:t>
      </w:r>
    </w:p>
    <w:p w14:paraId="6F2A9292" w14:textId="7365973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D079B4">
        <w:rPr>
          <w:rFonts w:ascii="Arial" w:hAnsi="Arial" w:cs="Arial"/>
          <w:b/>
          <w:bCs/>
          <w:sz w:val="22"/>
          <w:szCs w:val="22"/>
          <w:lang w:eastAsia="en-US"/>
        </w:rPr>
        <w:t>R2-2409409</w:t>
      </w:r>
    </w:p>
    <w:p w14:paraId="4F45D7AF" w14:textId="19AA4544"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Rel-18</w:t>
      </w:r>
    </w:p>
    <w:p w14:paraId="45703D19" w14:textId="6529004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79FF868A"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r w:rsidR="00D079B4">
        <w:rPr>
          <w:rFonts w:ascii="Arial" w:hAnsi="Arial" w:cs="Arial"/>
          <w:b/>
          <w:bCs/>
          <w:sz w:val="22"/>
          <w:szCs w:val="22"/>
          <w:lang w:eastAsia="en-US"/>
        </w:rPr>
        <w:t>4</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39477553"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w:t>
      </w:r>
      <w:r w:rsidR="00D079B4">
        <w:rPr>
          <w:rFonts w:ascii="Arial" w:hAnsi="Arial" w:cs="Arial"/>
          <w:b/>
          <w:bCs/>
          <w:sz w:val="22"/>
          <w:szCs w:val="22"/>
          <w:lang w:eastAsia="en-US"/>
        </w:rPr>
        <w:t>2</w:t>
      </w:r>
    </w:p>
    <w:p w14:paraId="5AEA68B0" w14:textId="492CB5EE"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RAN1</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1D216C8F" w:rsidR="00D079B4" w:rsidRDefault="00D079B4" w:rsidP="00B62147">
      <w:pPr>
        <w:snapToGrid w:val="0"/>
        <w:spacing w:after="120"/>
        <w:jc w:val="both"/>
        <w:rPr>
          <w:rFonts w:ascii="Arial" w:eastAsia="DengXian" w:hAnsi="Arial" w:cs="Arial"/>
          <w:sz w:val="20"/>
          <w:szCs w:val="20"/>
        </w:rPr>
      </w:pPr>
      <w:bookmarkStart w:id="2" w:name="_Hlk146817914"/>
      <w:bookmarkStart w:id="3" w:name="_Hlk149073305"/>
      <w:r w:rsidRPr="00D079B4">
        <w:rPr>
          <w:rFonts w:ascii="Arial" w:eastAsia="DengXian" w:hAnsi="Arial" w:cs="Arial"/>
          <w:sz w:val="20"/>
          <w:szCs w:val="20"/>
        </w:rPr>
        <w:t>RAN4 would like to thank RAN</w:t>
      </w:r>
      <w:r>
        <w:rPr>
          <w:rFonts w:ascii="Arial" w:eastAsia="DengXian" w:hAnsi="Arial" w:cs="Arial"/>
          <w:sz w:val="20"/>
          <w:szCs w:val="20"/>
        </w:rPr>
        <w:t>2</w:t>
      </w:r>
      <w:r w:rsidRPr="00D079B4">
        <w:rPr>
          <w:rFonts w:ascii="Arial" w:eastAsia="DengXian" w:hAnsi="Arial" w:cs="Arial"/>
          <w:sz w:val="20"/>
          <w:szCs w:val="20"/>
        </w:rPr>
        <w:t xml:space="preserve"> for their LS R</w:t>
      </w:r>
      <w:r>
        <w:rPr>
          <w:rFonts w:ascii="Arial" w:eastAsia="DengXian" w:hAnsi="Arial" w:cs="Arial"/>
          <w:sz w:val="20"/>
          <w:szCs w:val="20"/>
        </w:rPr>
        <w:t>2</w:t>
      </w:r>
      <w:r w:rsidRPr="00D079B4">
        <w:rPr>
          <w:rFonts w:ascii="Arial" w:eastAsia="DengXian" w:hAnsi="Arial" w:cs="Arial"/>
          <w:sz w:val="20"/>
          <w:szCs w:val="20"/>
        </w:rPr>
        <w:t>-240</w:t>
      </w:r>
      <w:r>
        <w:rPr>
          <w:rFonts w:ascii="Arial" w:eastAsia="DengXian" w:hAnsi="Arial" w:cs="Arial"/>
          <w:sz w:val="20"/>
          <w:szCs w:val="20"/>
        </w:rPr>
        <w:t>9409.</w:t>
      </w:r>
    </w:p>
    <w:p w14:paraId="7D6F1A46" w14:textId="129C9F5A" w:rsidR="00D079B4" w:rsidRPr="00D079B4" w:rsidRDefault="00391DFD" w:rsidP="00D079B4">
      <w:pPr>
        <w:snapToGrid w:val="0"/>
        <w:spacing w:after="120"/>
        <w:jc w:val="both"/>
        <w:rPr>
          <w:rFonts w:ascii="Arial" w:eastAsia="DengXian" w:hAnsi="Arial" w:cs="Arial"/>
          <w:sz w:val="20"/>
          <w:szCs w:val="20"/>
        </w:rPr>
      </w:pPr>
      <w:r w:rsidRPr="00264122">
        <w:rPr>
          <w:rFonts w:ascii="Arial" w:eastAsia="DengXian" w:hAnsi="Arial" w:cs="Arial"/>
          <w:sz w:val="20"/>
          <w:szCs w:val="20"/>
        </w:rPr>
        <w:t>RAN</w:t>
      </w:r>
      <w:r w:rsidR="00D079B4">
        <w:rPr>
          <w:rFonts w:ascii="Arial" w:eastAsia="DengXian" w:hAnsi="Arial" w:cs="Arial"/>
          <w:sz w:val="20"/>
          <w:szCs w:val="20"/>
        </w:rPr>
        <w:t>4</w:t>
      </w:r>
      <w:r w:rsidRPr="00264122">
        <w:rPr>
          <w:rFonts w:ascii="Arial" w:eastAsia="DengXian" w:hAnsi="Arial" w:cs="Arial"/>
          <w:sz w:val="20"/>
          <w:szCs w:val="20"/>
        </w:rPr>
        <w:t xml:space="preserve"> would like to </w:t>
      </w:r>
      <w:r w:rsidR="00D079B4">
        <w:rPr>
          <w:rFonts w:ascii="Arial" w:eastAsia="DengXian" w:hAnsi="Arial" w:cs="Arial"/>
          <w:sz w:val="20"/>
          <w:szCs w:val="20"/>
        </w:rPr>
        <w:t>reply RAN2 that</w:t>
      </w:r>
      <w:r w:rsidRPr="00264122">
        <w:rPr>
          <w:rFonts w:ascii="Arial" w:eastAsia="DengXian" w:hAnsi="Arial" w:cs="Arial"/>
          <w:sz w:val="20"/>
          <w:szCs w:val="20"/>
        </w:rPr>
        <w:t xml:space="preserve"> from RAN4 perspective </w:t>
      </w:r>
      <w:r w:rsidR="009500FB" w:rsidRPr="00264122">
        <w:rPr>
          <w:rFonts w:ascii="Arial" w:eastAsia="DengXian" w:hAnsi="Arial" w:cs="Arial"/>
          <w:sz w:val="20"/>
          <w:szCs w:val="20"/>
        </w:rPr>
        <w:t>it is feasible</w:t>
      </w:r>
      <w:r w:rsidR="0016337F" w:rsidRPr="00264122">
        <w:rPr>
          <w:rFonts w:ascii="Arial" w:eastAsia="DengXian" w:hAnsi="Arial" w:cs="Arial"/>
          <w:sz w:val="20"/>
          <w:szCs w:val="20"/>
        </w:rPr>
        <w:t xml:space="preserve"> to configure </w:t>
      </w:r>
      <w:r w:rsidR="009500FB" w:rsidRPr="00264122">
        <w:rPr>
          <w:rFonts w:ascii="Arial" w:eastAsia="DengXian" w:hAnsi="Arial" w:cs="Arial"/>
          <w:i/>
          <w:sz w:val="20"/>
          <w:szCs w:val="20"/>
        </w:rPr>
        <w:t>carrierBandwidth</w:t>
      </w:r>
      <w:r w:rsidR="009500FB" w:rsidRPr="00264122">
        <w:rPr>
          <w:rFonts w:ascii="Arial" w:eastAsia="DengXian" w:hAnsi="Arial" w:cs="Arial"/>
          <w:sz w:val="20"/>
          <w:szCs w:val="20"/>
        </w:rPr>
        <w:t xml:space="preserve"> to </w:t>
      </w:r>
      <w:r w:rsidR="0016337F" w:rsidRPr="00264122">
        <w:rPr>
          <w:rFonts w:ascii="Arial" w:eastAsia="DengXian" w:hAnsi="Arial" w:cs="Arial"/>
          <w:sz w:val="20"/>
          <w:szCs w:val="20"/>
        </w:rPr>
        <w:t>15 PRB (for the 12 PRB case) and 25 PRB (for the 20 PRB</w:t>
      </w:r>
      <w:r w:rsidR="0016337F" w:rsidRPr="00264122">
        <w:rPr>
          <w:rFonts w:ascii="Arial" w:eastAsia="DengXian" w:hAnsi="Arial" w:cs="Arial" w:hint="eastAsia"/>
          <w:sz w:val="20"/>
          <w:szCs w:val="20"/>
        </w:rPr>
        <w:t>) case</w:t>
      </w:r>
      <w:r w:rsidR="0016337F" w:rsidRPr="00264122">
        <w:rPr>
          <w:rFonts w:ascii="Arial" w:eastAsia="DengXian" w:hAnsi="Arial" w:cs="Arial"/>
          <w:sz w:val="20"/>
          <w:szCs w:val="20"/>
        </w:rPr>
        <w:t xml:space="preserve"> respectively </w:t>
      </w:r>
      <w:r w:rsidRPr="00264122">
        <w:rPr>
          <w:rFonts w:ascii="Arial" w:eastAsia="DengXian" w:hAnsi="Arial" w:cs="Arial"/>
          <w:sz w:val="20"/>
          <w:szCs w:val="20"/>
        </w:rPr>
        <w:t xml:space="preserve">in SIB1 and </w:t>
      </w:r>
      <w:r w:rsidR="00264122" w:rsidRPr="00264122">
        <w:rPr>
          <w:rFonts w:ascii="Arial" w:eastAsia="DengXian" w:hAnsi="Arial" w:cs="Arial"/>
          <w:sz w:val="20"/>
          <w:szCs w:val="20"/>
        </w:rPr>
        <w:t xml:space="preserve">in </w:t>
      </w:r>
      <w:r w:rsidRPr="00264122">
        <w:rPr>
          <w:rFonts w:ascii="Arial" w:eastAsia="DengXian" w:hAnsi="Arial" w:cs="Arial"/>
          <w:sz w:val="20"/>
          <w:szCs w:val="20"/>
        </w:rPr>
        <w:t>RRC dedicated signaling</w:t>
      </w:r>
      <w:r w:rsidR="00366678" w:rsidRPr="00264122">
        <w:rPr>
          <w:rFonts w:ascii="Arial" w:eastAsia="DengXian" w:hAnsi="Arial" w:cs="Arial"/>
          <w:sz w:val="20"/>
          <w:szCs w:val="20"/>
        </w:rPr>
        <w:t>.</w:t>
      </w:r>
      <w:r w:rsidR="00D079B4">
        <w:rPr>
          <w:rFonts w:ascii="Arial" w:eastAsia="DengXian" w:hAnsi="Arial" w:cs="Arial"/>
          <w:sz w:val="20"/>
          <w:szCs w:val="20"/>
        </w:rPr>
        <w:t xml:space="preserve"> This is because RAN4 has specified that f</w:t>
      </w:r>
      <w:r w:rsidR="00D079B4" w:rsidRPr="00D079B4">
        <w:rPr>
          <w:rFonts w:ascii="Arial" w:eastAsia="DengXian" w:hAnsi="Arial" w:cs="Arial"/>
          <w:sz w:val="20"/>
          <w:szCs w:val="20"/>
        </w:rPr>
        <w:t>or band n100</w:t>
      </w:r>
      <w:r w:rsidR="00D079B4">
        <w:rPr>
          <w:rFonts w:ascii="Arial" w:eastAsia="DengXian" w:hAnsi="Arial" w:cs="Arial"/>
          <w:sz w:val="20"/>
          <w:szCs w:val="20"/>
        </w:rPr>
        <w:t>:</w:t>
      </w:r>
    </w:p>
    <w:p w14:paraId="2A4FF10F" w14:textId="0284DE48" w:rsidR="00D079B4" w:rsidRPr="00D079B4" w:rsidRDefault="00D079B4" w:rsidP="00D079B4">
      <w:pPr>
        <w:pStyle w:val="ListParagraph"/>
        <w:numPr>
          <w:ilvl w:val="0"/>
          <w:numId w:val="13"/>
        </w:numPr>
        <w:snapToGrid w:val="0"/>
        <w:spacing w:after="120"/>
        <w:rPr>
          <w:rFonts w:ascii="Arial" w:eastAsia="DengXian" w:hAnsi="Arial" w:cs="Arial"/>
          <w:sz w:val="20"/>
          <w:szCs w:val="20"/>
        </w:rPr>
      </w:pPr>
      <w:r>
        <w:rPr>
          <w:rFonts w:ascii="Arial" w:eastAsia="DengXian" w:hAnsi="Arial" w:cs="Arial"/>
          <w:sz w:val="20"/>
          <w:szCs w:val="20"/>
        </w:rPr>
        <w:t xml:space="preserve">PCell or </w:t>
      </w:r>
      <w:r w:rsidRPr="00D079B4">
        <w:rPr>
          <w:rFonts w:ascii="Arial" w:eastAsia="DengXian" w:hAnsi="Arial" w:cs="Arial"/>
          <w:sz w:val="20"/>
          <w:szCs w:val="20"/>
        </w:rPr>
        <w:t>SCell with 12 PRB transmission bandwidth configuration within 3 MHz channel can be configured only with SS Block frequency positions same as defined in TS 38.101-1 Table 5.4.3.1-3</w:t>
      </w:r>
      <w:r>
        <w:rPr>
          <w:rFonts w:ascii="Arial" w:eastAsia="DengXian" w:hAnsi="Arial" w:cs="Arial"/>
          <w:sz w:val="20"/>
          <w:szCs w:val="20"/>
        </w:rPr>
        <w:t>.</w:t>
      </w:r>
    </w:p>
    <w:p w14:paraId="35384BCD" w14:textId="00B6DE90" w:rsidR="004D1886" w:rsidRPr="00D079B4" w:rsidRDefault="00D079B4" w:rsidP="00D079B4">
      <w:pPr>
        <w:pStyle w:val="ListParagraph"/>
        <w:numPr>
          <w:ilvl w:val="0"/>
          <w:numId w:val="13"/>
        </w:numPr>
        <w:snapToGrid w:val="0"/>
        <w:spacing w:after="120"/>
        <w:rPr>
          <w:rFonts w:ascii="Arial" w:eastAsia="DengXian" w:hAnsi="Arial" w:cs="Arial"/>
          <w:color w:val="000000"/>
          <w:sz w:val="20"/>
          <w:szCs w:val="20"/>
        </w:rPr>
      </w:pPr>
      <w:r>
        <w:rPr>
          <w:rFonts w:ascii="Arial" w:eastAsia="DengXian" w:hAnsi="Arial" w:cs="Arial"/>
          <w:sz w:val="20"/>
          <w:szCs w:val="20"/>
        </w:rPr>
        <w:t xml:space="preserve">PCell or </w:t>
      </w:r>
      <w:r w:rsidRPr="00D079B4">
        <w:rPr>
          <w:rFonts w:ascii="Arial" w:eastAsia="DengXian" w:hAnsi="Arial" w:cs="Arial"/>
          <w:sz w:val="20"/>
          <w:szCs w:val="20"/>
        </w:rPr>
        <w:t>SCell with 20 PRB transmission bandwidth configuration within 5 MHz channel can be configured only with SS Block frequency positions same as defined in TS 38.101-1 Table 5.4.3.1-3</w:t>
      </w:r>
      <w:r>
        <w:rPr>
          <w:rFonts w:ascii="Arial" w:eastAsia="DengXian" w:hAnsi="Arial" w:cs="Arial"/>
          <w:sz w:val="20"/>
          <w:szCs w:val="20"/>
        </w:rPr>
        <w:t>.</w:t>
      </w:r>
    </w:p>
    <w:p w14:paraId="2487CE9C" w14:textId="43FCC1AE" w:rsidR="00D079B4" w:rsidRPr="00D079B4" w:rsidRDefault="00D079B4" w:rsidP="00D079B4">
      <w:pPr>
        <w:snapToGrid w:val="0"/>
        <w:spacing w:after="120"/>
        <w:rPr>
          <w:rFonts w:ascii="Arial" w:eastAsia="DengXian" w:hAnsi="Arial" w:cs="Arial"/>
          <w:color w:val="000000"/>
          <w:sz w:val="20"/>
          <w:szCs w:val="20"/>
        </w:rPr>
      </w:pPr>
      <w:r>
        <w:rPr>
          <w:rFonts w:ascii="Arial" w:eastAsia="DengXian" w:hAnsi="Arial" w:cs="Arial"/>
          <w:color w:val="000000"/>
          <w:sz w:val="20"/>
          <w:szCs w:val="20"/>
        </w:rPr>
        <w:t xml:space="preserve">Therefore, UE can determine </w:t>
      </w:r>
      <w:r w:rsidRPr="00D079B4">
        <w:rPr>
          <w:rFonts w:ascii="Arial" w:eastAsia="DengXian" w:hAnsi="Arial" w:cs="Arial"/>
          <w:sz w:val="20"/>
          <w:szCs w:val="20"/>
        </w:rPr>
        <w:t xml:space="preserve">12 </w:t>
      </w:r>
      <w:r>
        <w:rPr>
          <w:rFonts w:ascii="Arial" w:eastAsia="DengXian" w:hAnsi="Arial" w:cs="Arial"/>
          <w:sz w:val="20"/>
          <w:szCs w:val="20"/>
        </w:rPr>
        <w:t xml:space="preserve">or 20 </w:t>
      </w:r>
      <w:r w:rsidRPr="00D079B4">
        <w:rPr>
          <w:rFonts w:ascii="Arial" w:eastAsia="DengXian" w:hAnsi="Arial" w:cs="Arial"/>
          <w:sz w:val="20"/>
          <w:szCs w:val="20"/>
        </w:rPr>
        <w:t>PRB transmission bandwidth configuration</w:t>
      </w:r>
      <w:r w:rsidR="003B765A">
        <w:rPr>
          <w:rFonts w:ascii="Arial" w:eastAsia="DengXian" w:hAnsi="Arial" w:cs="Arial"/>
          <w:sz w:val="20"/>
          <w:szCs w:val="20"/>
        </w:rPr>
        <w:t xml:space="preserve"> should be used instead of15 or 25 PRB </w:t>
      </w:r>
      <w:r w:rsidR="003B765A" w:rsidRPr="00D079B4">
        <w:rPr>
          <w:rFonts w:ascii="Arial" w:eastAsia="DengXian" w:hAnsi="Arial" w:cs="Arial"/>
          <w:sz w:val="20"/>
          <w:szCs w:val="20"/>
        </w:rPr>
        <w:t>transmission bandwidth configuration</w:t>
      </w:r>
      <w:r w:rsidR="003B765A">
        <w:rPr>
          <w:rFonts w:ascii="Arial" w:eastAsia="DengXian" w:hAnsi="Arial" w:cs="Arial"/>
          <w:sz w:val="20"/>
          <w:szCs w:val="20"/>
        </w:rPr>
        <w:t>, respectively, even though</w:t>
      </w:r>
      <w:r w:rsidR="003B765A" w:rsidRPr="003B765A">
        <w:rPr>
          <w:rFonts w:ascii="Arial" w:eastAsia="DengXian" w:hAnsi="Arial" w:cs="Arial"/>
          <w:i/>
          <w:sz w:val="20"/>
          <w:szCs w:val="20"/>
        </w:rPr>
        <w:t xml:space="preserve"> </w:t>
      </w:r>
      <w:r w:rsidR="003B765A" w:rsidRPr="00264122">
        <w:rPr>
          <w:rFonts w:ascii="Arial" w:eastAsia="DengXian" w:hAnsi="Arial" w:cs="Arial"/>
          <w:i/>
          <w:sz w:val="20"/>
          <w:szCs w:val="20"/>
        </w:rPr>
        <w:t>carrierBandwidth</w:t>
      </w:r>
      <w:r w:rsidR="003B765A" w:rsidRPr="00264122">
        <w:rPr>
          <w:rFonts w:ascii="Arial" w:eastAsia="DengXian" w:hAnsi="Arial" w:cs="Arial"/>
          <w:sz w:val="20"/>
          <w:szCs w:val="20"/>
        </w:rPr>
        <w:t xml:space="preserve"> </w:t>
      </w:r>
      <w:r w:rsidR="003B765A">
        <w:rPr>
          <w:rFonts w:ascii="Arial" w:eastAsia="DengXian" w:hAnsi="Arial" w:cs="Arial"/>
          <w:sz w:val="20"/>
          <w:szCs w:val="20"/>
        </w:rPr>
        <w:t xml:space="preserve">is configured </w:t>
      </w:r>
      <w:r w:rsidR="003B765A" w:rsidRPr="00264122">
        <w:rPr>
          <w:rFonts w:ascii="Arial" w:eastAsia="DengXian" w:hAnsi="Arial" w:cs="Arial"/>
          <w:sz w:val="20"/>
          <w:szCs w:val="20"/>
        </w:rPr>
        <w:t>to 15 PRB (for the 12 PRB case) and 25 PRB (for the 20 PRB</w:t>
      </w:r>
      <w:r w:rsidR="003B765A" w:rsidRPr="00264122">
        <w:rPr>
          <w:rFonts w:ascii="Arial" w:eastAsia="DengXian" w:hAnsi="Arial" w:cs="Arial" w:hint="eastAsia"/>
          <w:sz w:val="20"/>
          <w:szCs w:val="20"/>
        </w:rPr>
        <w:t>) case</w:t>
      </w:r>
      <w:r w:rsidR="003B765A" w:rsidRPr="00264122">
        <w:rPr>
          <w:rFonts w:ascii="Arial" w:eastAsia="DengXian" w:hAnsi="Arial" w:cs="Arial"/>
          <w:sz w:val="20"/>
          <w:szCs w:val="20"/>
        </w:rPr>
        <w:t xml:space="preserve"> respectively in SIB1 and in RRC dedicated signaling</w:t>
      </w:r>
      <w:r w:rsidR="003B765A">
        <w:rPr>
          <w:rFonts w:ascii="Arial" w:eastAsia="DengXian" w:hAnsi="Arial" w:cs="Arial"/>
          <w:sz w:val="20"/>
          <w:szCs w:val="20"/>
        </w:rPr>
        <w:t>.</w:t>
      </w:r>
    </w:p>
    <w:p w14:paraId="3DEE46EE" w14:textId="77777777" w:rsidR="00700AD5" w:rsidRPr="00700AD5" w:rsidRDefault="00700AD5" w:rsidP="00700AD5">
      <w:pPr>
        <w:jc w:val="both"/>
        <w:rPr>
          <w:rFonts w:ascii="Arial" w:hAnsi="Arial" w:cs="Arial"/>
          <w:szCs w:val="22"/>
        </w:rPr>
      </w:pPr>
      <w:bookmarkStart w:id="4" w:name="_Hlk149073819"/>
      <w:bookmarkEnd w:id="2"/>
      <w:bookmarkEnd w:id="3"/>
    </w:p>
    <w:bookmarkEnd w:id="4"/>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38407E31"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8F0E85" w:rsidRPr="00264122">
        <w:rPr>
          <w:rFonts w:ascii="Arial" w:eastAsia="SimSun" w:hAnsi="Arial" w:cs="Arial"/>
          <w:b/>
          <w:sz w:val="20"/>
          <w:szCs w:val="20"/>
          <w:lang w:eastAsia="en-US"/>
        </w:rPr>
        <w:t>RAN</w:t>
      </w:r>
      <w:r w:rsidR="003B765A">
        <w:rPr>
          <w:rFonts w:ascii="Arial" w:eastAsia="SimSun" w:hAnsi="Arial" w:cs="Arial"/>
          <w:b/>
          <w:sz w:val="20"/>
          <w:szCs w:val="20"/>
          <w:lang w:eastAsia="en-US"/>
        </w:rPr>
        <w:t>2</w:t>
      </w:r>
      <w:r w:rsidRPr="00264122">
        <w:rPr>
          <w:rFonts w:ascii="Arial" w:eastAsia="SimSun" w:hAnsi="Arial" w:cs="Arial"/>
          <w:b/>
          <w:sz w:val="20"/>
          <w:szCs w:val="20"/>
          <w:lang w:eastAsia="en-US"/>
        </w:rPr>
        <w:t>:</w:t>
      </w:r>
    </w:p>
    <w:p w14:paraId="49D725C7" w14:textId="5D51B99F"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RAN</w:t>
      </w:r>
      <w:r w:rsidR="003B765A">
        <w:rPr>
          <w:rFonts w:ascii="Arial" w:eastAsia="SimSun" w:hAnsi="Arial"/>
          <w:sz w:val="20"/>
          <w:szCs w:val="20"/>
          <w:lang w:eastAsia="en-US"/>
        </w:rPr>
        <w:t>4</w:t>
      </w:r>
      <w:r w:rsidRPr="00264122">
        <w:rPr>
          <w:rFonts w:ascii="Arial" w:eastAsia="SimSun" w:hAnsi="Arial"/>
          <w:sz w:val="20"/>
          <w:szCs w:val="20"/>
          <w:lang w:eastAsia="en-US"/>
        </w:rPr>
        <w:t xml:space="preserve">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 xml:space="preserve">RAN4 </w:t>
      </w:r>
      <w:r w:rsidR="00264122" w:rsidRPr="00264122">
        <w:rPr>
          <w:rFonts w:ascii="Arial" w:eastAsia="SimSun" w:hAnsi="Arial"/>
          <w:sz w:val="20"/>
          <w:szCs w:val="20"/>
          <w:lang w:eastAsia="en-US"/>
        </w:rPr>
        <w:t xml:space="preserve">to </w:t>
      </w:r>
      <w:r w:rsidR="003B765A">
        <w:rPr>
          <w:rFonts w:ascii="Arial" w:eastAsia="SimSun" w:hAnsi="Arial"/>
          <w:sz w:val="20"/>
          <w:szCs w:val="20"/>
          <w:lang w:eastAsia="en-US"/>
        </w:rPr>
        <w:t>take above into account</w:t>
      </w:r>
      <w:r w:rsidR="000B322F"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76FCF0C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RAN2#1</w:t>
      </w:r>
      <w:r w:rsidR="003B765A">
        <w:rPr>
          <w:rFonts w:ascii="Arial" w:hAnsi="Arial" w:cs="Arial"/>
          <w:sz w:val="20"/>
          <w:szCs w:val="20"/>
        </w:rPr>
        <w:t>14</w:t>
      </w:r>
      <w:r w:rsidRPr="00264122">
        <w:rPr>
          <w:rFonts w:ascii="Arial" w:hAnsi="Arial" w:cs="Arial"/>
          <w:sz w:val="20"/>
          <w:szCs w:val="20"/>
        </w:rPr>
        <w:tab/>
        <w:t>17</w:t>
      </w:r>
      <w:r w:rsidRPr="00264122">
        <w:rPr>
          <w:rFonts w:ascii="Arial" w:hAnsi="Arial" w:cs="Arial"/>
          <w:sz w:val="20"/>
          <w:szCs w:val="20"/>
          <w:vertAlign w:val="superscript"/>
        </w:rPr>
        <w:t>th</w:t>
      </w:r>
      <w:r w:rsidRPr="00264122">
        <w:rPr>
          <w:rFonts w:ascii="Arial" w:hAnsi="Arial" w:cs="Arial"/>
          <w:sz w:val="20"/>
          <w:szCs w:val="20"/>
        </w:rPr>
        <w:t xml:space="preserve"> – 21</w:t>
      </w:r>
      <w:r w:rsidR="004B681D" w:rsidRPr="00264122">
        <w:rPr>
          <w:rFonts w:ascii="Arial" w:hAnsi="Arial" w:cs="Arial"/>
          <w:sz w:val="20"/>
          <w:szCs w:val="20"/>
          <w:vertAlign w:val="superscript"/>
        </w:rPr>
        <w:t>st</w:t>
      </w:r>
      <w:r w:rsidRPr="00264122">
        <w:rPr>
          <w:rFonts w:ascii="Arial" w:hAnsi="Arial" w:cs="Arial"/>
          <w:sz w:val="20"/>
          <w:szCs w:val="20"/>
        </w:rPr>
        <w:t xml:space="preserve"> </w:t>
      </w:r>
      <w:r w:rsidR="004B681D" w:rsidRPr="00264122">
        <w:rPr>
          <w:rFonts w:ascii="Arial" w:hAnsi="Arial" w:cs="Arial"/>
          <w:sz w:val="20"/>
          <w:szCs w:val="20"/>
        </w:rPr>
        <w:t>February</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4B681D" w:rsidRPr="00264122">
        <w:rPr>
          <w:rFonts w:ascii="Arial" w:hAnsi="Arial" w:cs="Arial"/>
          <w:sz w:val="20"/>
          <w:szCs w:val="20"/>
        </w:rPr>
        <w:t>Athens</w:t>
      </w:r>
      <w:r w:rsidRPr="00264122">
        <w:rPr>
          <w:rFonts w:ascii="Arial" w:hAnsi="Arial" w:cs="Arial"/>
          <w:sz w:val="20"/>
          <w:szCs w:val="20"/>
        </w:rPr>
        <w:t xml:space="preserve">, </w:t>
      </w:r>
      <w:r w:rsidR="004B681D" w:rsidRPr="00264122">
        <w:rPr>
          <w:rFonts w:ascii="Arial" w:hAnsi="Arial" w:cs="Arial"/>
          <w:sz w:val="20"/>
          <w:szCs w:val="20"/>
        </w:rPr>
        <w:t>Greece</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B8A58" w14:textId="77777777" w:rsidR="00FF5E96" w:rsidRDefault="00FF5E96">
      <w:r>
        <w:separator/>
      </w:r>
    </w:p>
  </w:endnote>
  <w:endnote w:type="continuationSeparator" w:id="0">
    <w:p w14:paraId="4CA01ECF" w14:textId="77777777" w:rsidR="00FF5E96" w:rsidRDefault="00FF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45C23" w14:textId="77777777" w:rsidR="00FF5E96" w:rsidRDefault="00FF5E96">
      <w:r>
        <w:separator/>
      </w:r>
    </w:p>
  </w:footnote>
  <w:footnote w:type="continuationSeparator" w:id="0">
    <w:p w14:paraId="0BA2D154" w14:textId="77777777" w:rsidR="00FF5E96" w:rsidRDefault="00FF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258</Words>
  <Characters>1474</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5</cp:revision>
  <dcterms:created xsi:type="dcterms:W3CDTF">2024-10-30T16:51:00Z</dcterms:created>
  <dcterms:modified xsi:type="dcterms:W3CDTF">2024-11-04T11:44:00Z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