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B8995F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C4F58">
        <w:rPr>
          <w:b/>
          <w:noProof/>
          <w:sz w:val="24"/>
        </w:rPr>
        <w:t xml:space="preserve">RAN </w:t>
      </w:r>
      <w:fldSimple w:instr=" DOCPROPERTY  TSG/WGRef  \* MERGEFORMAT ">
        <w:r w:rsidR="003609EF">
          <w:rPr>
            <w:b/>
            <w:noProof/>
            <w:sz w:val="24"/>
          </w:rPr>
          <w:t>WG</w:t>
        </w:r>
      </w:fldSimple>
      <w:r w:rsidR="00CC4F58">
        <w:rPr>
          <w:b/>
          <w:noProof/>
          <w:sz w:val="24"/>
        </w:rPr>
        <w:t>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CC4F58">
          <w:rPr>
            <w:b/>
            <w:noProof/>
            <w:sz w:val="24"/>
          </w:rPr>
          <w:t>126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71130" w:rsidRPr="00E71130">
          <w:rPr>
            <w:b/>
            <w:i/>
            <w:noProof/>
            <w:sz w:val="28"/>
          </w:rPr>
          <w:t>R2-24</w:t>
        </w:r>
        <w:r w:rsidR="00D7404D">
          <w:rPr>
            <w:b/>
            <w:i/>
            <w:noProof/>
            <w:sz w:val="28"/>
          </w:rPr>
          <w:t>xxxxx</w:t>
        </w:r>
      </w:fldSimple>
    </w:p>
    <w:p w14:paraId="7CB45193" w14:textId="6EDEAD3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CC4F58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CC4F58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CC4F58">
          <w:rPr>
            <w:b/>
            <w:noProof/>
            <w:sz w:val="24"/>
          </w:rPr>
          <w:t>20 - 24 May</w:t>
        </w:r>
      </w:fldSimple>
      <w:r w:rsidR="00CC4F58">
        <w:rPr>
          <w:b/>
          <w:noProof/>
          <w:sz w:val="24"/>
        </w:rPr>
        <w:t xml:space="preserve"> </w:t>
      </w:r>
      <w:fldSimple w:instr=" DOCPROPERTY  EndDate  \* MERGEFORMAT ">
        <w:r w:rsidR="00CC4F58">
          <w:rPr>
            <w:b/>
            <w:noProof/>
            <w:sz w:val="24"/>
          </w:rPr>
          <w:t>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52B819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C4F58">
                <w:rPr>
                  <w:b/>
                  <w:noProof/>
                  <w:sz w:val="28"/>
                </w:rPr>
                <w:t>36.300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BB085B6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7404D">
                <w:rPr>
                  <w:b/>
                  <w:noProof/>
                  <w:sz w:val="28"/>
                </w:rPr>
                <w:t>XXXX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2CF7F4" w:rsidR="001E41F3" w:rsidRPr="00410371" w:rsidRDefault="00D740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12F67A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C4F58">
                <w:rPr>
                  <w:b/>
                  <w:noProof/>
                  <w:sz w:val="28"/>
                </w:rPr>
                <w:t>18.1.0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626678" w:rsidR="00F25D98" w:rsidRDefault="00CC4F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601C611" w:rsidR="00F25D98" w:rsidRDefault="00CC4F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859FC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fldSimple w:instr=" DOCPROPERTY  CrTitle  \* MERGEFORMAT ">
                <w:r w:rsidR="00CC4F58">
                  <w:t xml:space="preserve">IoT NTN </w:t>
                </w:r>
                <w:r w:rsidR="00F2569A">
                  <w:t xml:space="preserve">Kmac </w:t>
                </w:r>
                <w:r w:rsidR="00CC4F58">
                  <w:t xml:space="preserve">corrections </w:t>
                </w:r>
              </w:fldSimple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77968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C4F58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5BA5E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CC4F58">
                <w:rPr>
                  <w:noProof/>
                </w:rPr>
                <w:t>R2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FCD24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CC4F58" w:rsidRPr="00A83FDE">
              <w:t>IoT_NTN_enh</w:t>
            </w:r>
            <w:proofErr w:type="spellEnd"/>
            <w:r w:rsidR="00CC4F58">
              <w:t>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B5EFCD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C4F58">
                <w:rPr>
                  <w:noProof/>
                </w:rPr>
                <w:t>2024-05-</w:t>
              </w:r>
              <w:r w:rsidR="00D7404D">
                <w:rPr>
                  <w:noProof/>
                </w:rPr>
                <w:t>2</w:t>
              </w:r>
              <w:r w:rsidR="00CC4F58">
                <w:rPr>
                  <w:noProof/>
                </w:rPr>
                <w:t>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901106D" w:rsidR="001E41F3" w:rsidRDefault="00D740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318A2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CC4F58">
                <w:rPr>
                  <w:noProof/>
                </w:rPr>
                <w:t>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404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7404D" w:rsidRDefault="00D7404D" w:rsidP="00D740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0E8895" w14:textId="43E3B7DD" w:rsidR="00D7404D" w:rsidRDefault="00D7404D" w:rsidP="00D740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 RAN2#125bis it was agreed for NR NTN and IoT NTN to use konsistent terminology throughout the stage 2 specification:</w:t>
            </w:r>
            <w:r w:rsidR="00446B97">
              <w:rPr>
                <w:noProof/>
              </w:rPr>
              <w:t xml:space="preserve"> </w:t>
            </w:r>
          </w:p>
          <w:p w14:paraId="309A76F3" w14:textId="77777777" w:rsidR="00D7404D" w:rsidRDefault="00D7404D" w:rsidP="00D7404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use Kmac throughout the stage 2, and refer to the RRC parameter name </w:t>
            </w:r>
            <w:r>
              <w:rPr>
                <w:i/>
                <w:iCs/>
                <w:noProof/>
              </w:rPr>
              <w:t>k-Mac</w:t>
            </w:r>
            <w:r>
              <w:rPr>
                <w:noProof/>
              </w:rPr>
              <w:t xml:space="preserve"> when Kmac is introduced.</w:t>
            </w:r>
          </w:p>
          <w:p w14:paraId="30D2124F" w14:textId="77777777" w:rsidR="00D7404D" w:rsidRPr="006B3ADC" w:rsidRDefault="00D7404D" w:rsidP="00D7404D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rFonts w:eastAsia="Malgun Gothic"/>
                <w:lang w:eastAsia="de-DE"/>
              </w:rPr>
              <w:t>The same principle is applied to IoT NTN.</w:t>
            </w:r>
          </w:p>
          <w:p w14:paraId="061525DD" w14:textId="77777777" w:rsidR="00D7404D" w:rsidRDefault="00D7404D" w:rsidP="00D7404D">
            <w:pPr>
              <w:pStyle w:val="CRCoverPage"/>
              <w:spacing w:after="0"/>
              <w:ind w:left="100"/>
              <w:rPr>
                <w:rFonts w:eastAsia="Malgun Gothic"/>
                <w:lang w:eastAsia="de-DE"/>
              </w:rPr>
            </w:pPr>
          </w:p>
          <w:p w14:paraId="745A357F" w14:textId="77777777" w:rsidR="00D7404D" w:rsidRDefault="00D7404D" w:rsidP="00D7404D">
            <w:pPr>
              <w:pStyle w:val="CRCoverPage"/>
              <w:spacing w:after="0"/>
              <w:ind w:left="100"/>
              <w:rPr>
                <w:rFonts w:eastAsia="Malgun Gothic"/>
                <w:lang w:eastAsia="de-DE"/>
              </w:rPr>
            </w:pPr>
            <w:r>
              <w:rPr>
                <w:rFonts w:eastAsia="Malgun Gothic"/>
                <w:lang w:eastAsia="de-DE"/>
              </w:rPr>
              <w:t xml:space="preserve">This CR implements the </w:t>
            </w:r>
            <w:proofErr w:type="spellStart"/>
            <w:r>
              <w:rPr>
                <w:rFonts w:eastAsia="Malgun Gothic"/>
                <w:lang w:eastAsia="de-DE"/>
              </w:rPr>
              <w:t>Kmac</w:t>
            </w:r>
            <w:proofErr w:type="spellEnd"/>
            <w:r>
              <w:rPr>
                <w:rFonts w:eastAsia="Malgun Gothic"/>
                <w:lang w:eastAsia="de-DE"/>
              </w:rPr>
              <w:t xml:space="preserve"> changes for IoT NTN.</w:t>
            </w:r>
          </w:p>
          <w:p w14:paraId="708AA7DE" w14:textId="77777777" w:rsidR="00D7404D" w:rsidRDefault="00D7404D" w:rsidP="00D740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7404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7404D" w:rsidRDefault="00D7404D" w:rsidP="00D740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7404D" w:rsidRDefault="00D7404D" w:rsidP="00D740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404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7404D" w:rsidRDefault="00D7404D" w:rsidP="00D740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085A73" w14:textId="77777777" w:rsidR="00D7404D" w:rsidRPr="006818A3" w:rsidRDefault="00D7404D" w:rsidP="00D7404D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contextualSpacing w:val="0"/>
              <w:textAlignment w:val="auto"/>
              <w:rPr>
                <w:rFonts w:ascii="Arial" w:hAnsi="Arial" w:cs="Arial"/>
                <w:lang w:eastAsia="zh-CN"/>
              </w:rPr>
            </w:pPr>
            <w:r w:rsidRPr="006818A3">
              <w:rPr>
                <w:rFonts w:ascii="Arial" w:eastAsia="Malgun Gothic" w:hAnsi="Arial" w:cs="Arial"/>
                <w:lang w:eastAsia="de-DE"/>
              </w:rPr>
              <w:t>Add</w:t>
            </w:r>
            <w:r w:rsidRPr="006818A3">
              <w:rPr>
                <w:rFonts w:ascii="Arial" w:hAnsi="Arial" w:cs="Arial"/>
                <w:lang w:eastAsia="zh-CN"/>
              </w:rPr>
              <w:t xml:space="preserve"> “(RRC parameter </w:t>
            </w:r>
            <w:r w:rsidRPr="006818A3">
              <w:rPr>
                <w:rFonts w:ascii="Arial" w:hAnsi="Arial" w:cs="Arial"/>
                <w:i/>
                <w:iCs/>
                <w:lang w:eastAsia="zh-CN"/>
              </w:rPr>
              <w:t>k-Mac</w:t>
            </w:r>
            <w:r w:rsidRPr="006818A3">
              <w:rPr>
                <w:rFonts w:ascii="Arial" w:hAnsi="Arial" w:cs="Arial"/>
                <w:lang w:eastAsia="zh-CN"/>
              </w:rPr>
              <w:t xml:space="preserve">)” when </w:t>
            </w:r>
            <w:proofErr w:type="spellStart"/>
            <w:r w:rsidRPr="006818A3">
              <w:rPr>
                <w:rFonts w:ascii="Arial" w:hAnsi="Arial" w:cs="Arial"/>
                <w:lang w:eastAsia="zh-CN"/>
              </w:rPr>
              <w:t>Kmac</w:t>
            </w:r>
            <w:proofErr w:type="spellEnd"/>
            <w:r w:rsidRPr="006818A3">
              <w:rPr>
                <w:rFonts w:ascii="Arial" w:hAnsi="Arial" w:cs="Arial"/>
                <w:lang w:eastAsia="zh-CN"/>
              </w:rPr>
              <w:t xml:space="preserve"> is introduced, and change “</w:t>
            </w:r>
            <w:proofErr w:type="spellStart"/>
            <w:r w:rsidRPr="006818A3">
              <w:rPr>
                <w:rFonts w:ascii="Arial" w:hAnsi="Arial" w:cs="Arial"/>
                <w:lang w:eastAsia="zh-CN"/>
              </w:rPr>
              <w:t>k</w:t>
            </w:r>
            <w:r w:rsidRPr="006818A3">
              <w:rPr>
                <w:rFonts w:ascii="Arial" w:hAnsi="Arial" w:cs="Arial"/>
                <w:vertAlign w:val="subscript"/>
                <w:lang w:eastAsia="zh-CN"/>
              </w:rPr>
              <w:t>mac</w:t>
            </w:r>
            <w:proofErr w:type="spellEnd"/>
            <w:r w:rsidRPr="006818A3">
              <w:rPr>
                <w:rFonts w:ascii="Arial" w:hAnsi="Arial" w:cs="Arial"/>
                <w:lang w:eastAsia="zh-CN"/>
              </w:rPr>
              <w:t>” to “</w:t>
            </w:r>
            <w:proofErr w:type="spellStart"/>
            <w:r w:rsidRPr="006818A3">
              <w:rPr>
                <w:rFonts w:ascii="Arial" w:hAnsi="Arial" w:cs="Arial"/>
                <w:lang w:eastAsia="zh-CN"/>
              </w:rPr>
              <w:t>K</w:t>
            </w:r>
            <w:r w:rsidRPr="006818A3">
              <w:rPr>
                <w:rFonts w:ascii="Arial" w:hAnsi="Arial" w:cs="Arial"/>
                <w:vertAlign w:val="subscript"/>
                <w:lang w:eastAsia="zh-CN"/>
              </w:rPr>
              <w:t>mac</w:t>
            </w:r>
            <w:proofErr w:type="spellEnd"/>
            <w:r w:rsidRPr="006818A3">
              <w:rPr>
                <w:rFonts w:ascii="Arial" w:hAnsi="Arial" w:cs="Arial"/>
                <w:lang w:eastAsia="zh-CN"/>
              </w:rPr>
              <w:t>” in figure 23.21.2.1-1.</w:t>
            </w:r>
          </w:p>
          <w:p w14:paraId="31C656EC" w14:textId="77777777" w:rsidR="00D7404D" w:rsidRPr="006818A3" w:rsidRDefault="00D7404D" w:rsidP="00D7404D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</w:tc>
      </w:tr>
      <w:tr w:rsidR="00D7404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7404D" w:rsidRDefault="00D7404D" w:rsidP="00D740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7404D" w:rsidRDefault="00D7404D" w:rsidP="00D740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404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7404D" w:rsidRDefault="00D7404D" w:rsidP="00D740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7C9AFB" w:rsidR="00D7404D" w:rsidRDefault="00D7404D" w:rsidP="00D740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usage of Kmac is not consistent in stage 2 specification.</w:t>
            </w:r>
          </w:p>
        </w:tc>
      </w:tr>
      <w:tr w:rsidR="00D7404D" w14:paraId="034AF533" w14:textId="77777777" w:rsidTr="00547111">
        <w:tc>
          <w:tcPr>
            <w:tcW w:w="2694" w:type="dxa"/>
            <w:gridSpan w:val="2"/>
          </w:tcPr>
          <w:p w14:paraId="39D9EB5B" w14:textId="77777777" w:rsidR="00D7404D" w:rsidRDefault="00D7404D" w:rsidP="00D740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7404D" w:rsidRDefault="00D7404D" w:rsidP="00D740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404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7404D" w:rsidRDefault="00D7404D" w:rsidP="00D740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3BC65FA" w:rsidR="00D7404D" w:rsidRDefault="00D7404D" w:rsidP="00D740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23.21.2.1</w:t>
            </w:r>
          </w:p>
        </w:tc>
      </w:tr>
      <w:tr w:rsidR="00D7404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7404D" w:rsidRDefault="00D7404D" w:rsidP="00D740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7404D" w:rsidRDefault="00D7404D" w:rsidP="00D740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404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7404D" w:rsidRDefault="00D7404D" w:rsidP="00D740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7404D" w:rsidRDefault="00D7404D" w:rsidP="00D740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7404D" w:rsidRDefault="00D7404D" w:rsidP="00D740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7404D" w:rsidRDefault="00D7404D" w:rsidP="00D740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7404D" w:rsidRDefault="00D7404D" w:rsidP="00D740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7404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7404D" w:rsidRDefault="00D7404D" w:rsidP="00D740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7404D" w:rsidRDefault="00D7404D" w:rsidP="00D740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EF6F9A" w:rsidR="00D7404D" w:rsidRDefault="00D7404D" w:rsidP="00D740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7404D" w:rsidRDefault="00D7404D" w:rsidP="00D740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7404D" w:rsidRDefault="00D7404D" w:rsidP="00D740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404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7404D" w:rsidRDefault="00D7404D" w:rsidP="00D740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7404D" w:rsidRDefault="00D7404D" w:rsidP="00D740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992A01" w:rsidR="00D7404D" w:rsidRDefault="00D7404D" w:rsidP="00D740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7404D" w:rsidRDefault="00D7404D" w:rsidP="00D740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7404D" w:rsidRDefault="00D7404D" w:rsidP="00D740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404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7404D" w:rsidRDefault="00D7404D" w:rsidP="00D740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7404D" w:rsidRDefault="00D7404D" w:rsidP="00D740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AED5802" w:rsidR="00D7404D" w:rsidRDefault="00D7404D" w:rsidP="00D740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7404D" w:rsidRDefault="00D7404D" w:rsidP="00D740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7404D" w:rsidRDefault="00D7404D" w:rsidP="00D740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404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7404D" w:rsidRDefault="00D7404D" w:rsidP="00D740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7404D" w:rsidRDefault="00D7404D" w:rsidP="00D7404D">
            <w:pPr>
              <w:pStyle w:val="CRCoverPage"/>
              <w:spacing w:after="0"/>
              <w:rPr>
                <w:noProof/>
              </w:rPr>
            </w:pPr>
          </w:p>
        </w:tc>
      </w:tr>
      <w:tr w:rsidR="00D7404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7404D" w:rsidRDefault="00D7404D" w:rsidP="00D740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7404D" w:rsidRDefault="00D7404D" w:rsidP="00D740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7404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7404D" w:rsidRPr="008863B9" w:rsidRDefault="00D7404D" w:rsidP="00D740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7404D" w:rsidRPr="008863B9" w:rsidRDefault="00D7404D" w:rsidP="00D7404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7404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7404D" w:rsidRDefault="00D7404D" w:rsidP="00D740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6285906" w:rsidR="00D7404D" w:rsidRDefault="00D7404D" w:rsidP="00D740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A998E0" w14:textId="77777777" w:rsidR="00CC4F58" w:rsidRDefault="00CC4F58" w:rsidP="00CC4F58">
      <w:pPr>
        <w:spacing w:after="0"/>
        <w:rPr>
          <w:rFonts w:eastAsia="MS Mincho"/>
        </w:rPr>
      </w:pPr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CC4F58" w:rsidRPr="00EF5762" w14:paraId="55A4E423" w14:textId="77777777" w:rsidTr="00156D39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p w14:paraId="485A9221" w14:textId="77777777" w:rsidR="00CC4F58" w:rsidRPr="00EF5762" w:rsidRDefault="00CC4F58" w:rsidP="00156D39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bookmarkStart w:id="1" w:name="_Toc156248914"/>
            <w:bookmarkStart w:id="2" w:name="_Hlk158627671"/>
            <w:r>
              <w:rPr>
                <w:color w:val="FF0000"/>
                <w:sz w:val="28"/>
                <w:szCs w:val="28"/>
                <w:lang w:eastAsia="zh-CN"/>
              </w:rPr>
              <w:t>START OF CHANGE</w:t>
            </w:r>
          </w:p>
        </w:tc>
      </w:tr>
    </w:tbl>
    <w:p w14:paraId="31D0FEFD" w14:textId="77777777" w:rsidR="00CC4F58" w:rsidRPr="0027492C" w:rsidRDefault="00CC4F58" w:rsidP="00CC4F58">
      <w:pPr>
        <w:pStyle w:val="Heading4"/>
      </w:pPr>
      <w:bookmarkStart w:id="3" w:name="_Toc162964586"/>
      <w:bookmarkEnd w:id="1"/>
      <w:r w:rsidRPr="0027492C">
        <w:t>23.21.2.1</w:t>
      </w:r>
      <w:r w:rsidRPr="0027492C">
        <w:tab/>
        <w:t>Scheduling timing</w:t>
      </w:r>
      <w:bookmarkEnd w:id="3"/>
    </w:p>
    <w:p w14:paraId="39D2F572" w14:textId="77777777" w:rsidR="00CC4F58" w:rsidRPr="0027492C" w:rsidRDefault="00CC4F58" w:rsidP="00CC4F58">
      <w:r w:rsidRPr="0027492C">
        <w:t xml:space="preserve">DL and UL are frame aligned at the uplink time synchronization reference point (RP) with an offset given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TA,offset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27492C">
        <w:t>(see clause 8 of TS 36.211 [4]).</w:t>
      </w:r>
    </w:p>
    <w:p w14:paraId="6D1EDF77" w14:textId="77777777" w:rsidR="00CC4F58" w:rsidRPr="0027492C" w:rsidRDefault="00CC4F58" w:rsidP="00CC4F58">
      <w:r w:rsidRPr="0027492C">
        <w:t xml:space="preserve">To accommodate the long propagation delays in NTN, several timing relationships are enhanced by a Common Timing Advance (Common TA) and two offsets: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27492C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27492C">
        <w:t>:</w:t>
      </w:r>
    </w:p>
    <w:p w14:paraId="546FDC41" w14:textId="77777777" w:rsidR="00CC4F58" w:rsidRPr="0027492C" w:rsidRDefault="00CC4F58" w:rsidP="00CC4F58">
      <w:pPr>
        <w:pStyle w:val="B1"/>
      </w:pPr>
      <w:r w:rsidRPr="0027492C">
        <w:t>-</w:t>
      </w:r>
      <w:r w:rsidRPr="0027492C">
        <w:tab/>
      </w:r>
      <m:oMath>
        <m:r>
          <w:rPr>
            <w:rFonts w:ascii="Cambria Math" w:hAnsi="Cambria Math"/>
          </w:rPr>
          <m:t>Common TA</m:t>
        </m:r>
      </m:oMath>
      <w:r w:rsidRPr="0027492C">
        <w:t xml:space="preserve"> is a configured timing offset that is equal to the RTT between the RP and the NTN payload.</w:t>
      </w:r>
    </w:p>
    <w:p w14:paraId="6261858C" w14:textId="77777777" w:rsidR="00CC4F58" w:rsidRPr="0027492C" w:rsidRDefault="00CC4F58" w:rsidP="00CC4F58">
      <w:pPr>
        <w:pStyle w:val="B1"/>
      </w:pPr>
      <w:r w:rsidRPr="0027492C">
        <w:t>-</w:t>
      </w:r>
      <w:r w:rsidRPr="0027492C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27492C">
        <w:t xml:space="preserve"> is a configured scheduling offset that needs to be larger or equal to the sum of the service link RTT and the Common TA.</w:t>
      </w:r>
    </w:p>
    <w:p w14:paraId="524D4731" w14:textId="77777777" w:rsidR="00CC4F58" w:rsidRPr="0027492C" w:rsidRDefault="00CC4F58" w:rsidP="00CC4F58">
      <w:pPr>
        <w:pStyle w:val="B1"/>
      </w:pPr>
      <w:r w:rsidRPr="0027492C">
        <w:t>-</w:t>
      </w:r>
      <w:r w:rsidRPr="0027492C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27492C">
        <w:t xml:space="preserve"> is a configured</w:t>
      </w:r>
      <w:r>
        <w:t xml:space="preserve"> </w:t>
      </w:r>
      <w:r w:rsidRPr="0027492C">
        <w:t xml:space="preserve">offset </w:t>
      </w:r>
      <w:ins w:id="4" w:author="Robert S Karlsson" w:date="2024-04-23T13:23:00Z">
        <w:r>
          <w:t xml:space="preserve">(RRC </w:t>
        </w:r>
      </w:ins>
      <w:ins w:id="5" w:author="Robert S Karlsson" w:date="2024-04-23T13:24:00Z">
        <w:r>
          <w:t xml:space="preserve">parameter </w:t>
        </w:r>
        <w:r>
          <w:rPr>
            <w:i/>
            <w:iCs/>
          </w:rPr>
          <w:t>k</w:t>
        </w:r>
        <w:r w:rsidRPr="003475A6">
          <w:rPr>
            <w:i/>
            <w:iCs/>
          </w:rPr>
          <w:t>-Mac</w:t>
        </w:r>
        <w:r>
          <w:t xml:space="preserve">) </w:t>
        </w:r>
      </w:ins>
      <w:r w:rsidRPr="003475A6">
        <w:t>that</w:t>
      </w:r>
      <w:r w:rsidRPr="0027492C">
        <w:t xml:space="preserve"> is approximately equal to the RTT between the RP and the eNB.</w:t>
      </w:r>
    </w:p>
    <w:p w14:paraId="79B0FBE3" w14:textId="77777777" w:rsidR="00CC4F58" w:rsidRPr="0027492C" w:rsidRDefault="00CC4F58" w:rsidP="00CC4F58">
      <w:bookmarkStart w:id="6" w:name="_Hlk104322797"/>
      <w:r w:rsidRPr="0027492C">
        <w:t xml:space="preserve">The scheduling offset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27492C">
        <w:t xml:space="preserve"> is used to allow the UE sufficient processing time between a downlink reception and an uplink transmission, see TS 36.213 [6].</w:t>
      </w:r>
    </w:p>
    <w:p w14:paraId="15BC328C" w14:textId="77777777" w:rsidR="00CC4F58" w:rsidRPr="0027492C" w:rsidRDefault="00CC4F58" w:rsidP="00CC4F58">
      <w:bookmarkStart w:id="7" w:name="_Hlk104329753"/>
      <w:r w:rsidRPr="0027492C">
        <w:t xml:space="preserve">The offset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27492C">
        <w:t xml:space="preserve"> is used to delay the application of a downlink configuration indicated by a MAC CE received on NPDSCH/PDSCH, see TS 36.213 [6], and to determine the UE-eNB RTT, see TS 36.321 [13]. </w:t>
      </w:r>
      <w:bookmarkStart w:id="8" w:name="_Hlk133482924"/>
      <w:r w:rsidRPr="0027492C">
        <w:t xml:space="preserve">It may be provided by the network when downlink and uplink frame timing are not aligned at eNB. </w:t>
      </w:r>
      <w:bookmarkStart w:id="9" w:name="_Hlk133482489"/>
      <w:bookmarkEnd w:id="8"/>
      <w:r w:rsidRPr="0027492C">
        <w:t xml:space="preserve">The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27492C">
        <w:t xml:space="preserve"> is also used in the </w:t>
      </w:r>
      <w:proofErr w:type="gramStart"/>
      <w:r w:rsidRPr="0027492C">
        <w:t>random access</w:t>
      </w:r>
      <w:proofErr w:type="gramEnd"/>
      <w:r w:rsidRPr="0027492C">
        <w:t xml:space="preserve"> procedure, to determine the start time of random access response window after a random access preamble transmission (see TS 36.213 [6]).</w:t>
      </w:r>
      <w:bookmarkEnd w:id="9"/>
    </w:p>
    <w:p w14:paraId="6FEBDABB" w14:textId="77777777" w:rsidR="00CC4F58" w:rsidRPr="0027492C" w:rsidRDefault="00CC4F58" w:rsidP="00CC4F58">
      <w:r w:rsidRPr="0027492C">
        <w:t xml:space="preserve">The Service link RTT, Feeder link RTT, the RP, the Common TA,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27492C">
        <w:t xml:space="preserve"> and T</w:t>
      </w:r>
      <w:r w:rsidRPr="0027492C">
        <w:rPr>
          <w:vertAlign w:val="subscript"/>
        </w:rPr>
        <w:t>TA</w:t>
      </w:r>
      <w:r w:rsidRPr="0027492C">
        <w:t xml:space="preserve"> (see clause 23.21.2.2) are illustrated in Figure 23.21.2.1-1.</w:t>
      </w:r>
    </w:p>
    <w:p w14:paraId="463328C7" w14:textId="77777777" w:rsidR="00CC4F58" w:rsidRPr="0027492C" w:rsidRDefault="00CC4F58" w:rsidP="00CC4F58">
      <w:pPr>
        <w:pStyle w:val="TH"/>
      </w:pPr>
      <w:ins w:id="10" w:author="Robert S Karlsson" w:date="2024-04-23T13:30:00Z">
        <w:r w:rsidRPr="0027492C">
          <w:object w:dxaOrig="8881" w:dyaOrig="6204" w14:anchorId="5F983A5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1.45pt;height:330.75pt" o:ole="" o:preferrelative="f">
              <v:imagedata r:id="rId16" o:title=""/>
              <o:lock v:ext="edit" aspectratio="f"/>
            </v:shape>
            <o:OLEObject Type="Embed" ProgID="Visio.Drawing.15" ShapeID="_x0000_i1025" DrawAspect="Content" ObjectID="_1777856759" r:id="rId17"/>
          </w:object>
        </w:r>
      </w:ins>
      <w:del w:id="11" w:author="Robert S Karlsson" w:date="2024-04-23T13:30:00Z">
        <w:r w:rsidRPr="0027492C" w:rsidDel="003475A6">
          <w:object w:dxaOrig="10351" w:dyaOrig="7246" w14:anchorId="6E03B7A8">
            <v:shape id="_x0000_i1026" type="#_x0000_t75" style="width:472.1pt;height:331.4pt" o:ole="">
              <v:imagedata r:id="rId18" o:title=""/>
            </v:shape>
            <o:OLEObject Type="Embed" ProgID="Visio.Drawing.15" ShapeID="_x0000_i1026" DrawAspect="Content" ObjectID="_1777856760" r:id="rId19"/>
          </w:object>
        </w:r>
      </w:del>
    </w:p>
    <w:p w14:paraId="33B0230D" w14:textId="77777777" w:rsidR="00CC4F58" w:rsidRPr="0027492C" w:rsidRDefault="00CC4F58" w:rsidP="00CC4F58">
      <w:pPr>
        <w:pStyle w:val="TF"/>
      </w:pPr>
      <w:r w:rsidRPr="0027492C">
        <w:t>Figure 23.21.2.1-1: Illustration of timing relationship (for collocated eNB and NTN Gateway)</w:t>
      </w:r>
    </w:p>
    <w:p w14:paraId="073D6B83" w14:textId="77777777" w:rsidR="00CC4F58" w:rsidRPr="0027492C" w:rsidRDefault="00CC4F58" w:rsidP="00CC4F58">
      <w:r w:rsidRPr="0027492C">
        <w:t>The network may configure the HARQ operation as follows:</w:t>
      </w:r>
    </w:p>
    <w:p w14:paraId="5A52467F" w14:textId="77777777" w:rsidR="00CC4F58" w:rsidRPr="0027492C" w:rsidRDefault="00CC4F58" w:rsidP="00CC4F58">
      <w:pPr>
        <w:pStyle w:val="B1"/>
      </w:pPr>
      <w:r w:rsidRPr="0027492C">
        <w:lastRenderedPageBreak/>
        <w:t>-</w:t>
      </w:r>
      <w:r w:rsidRPr="0027492C">
        <w:tab/>
        <w:t xml:space="preserve">For downlink, HARQ feedback can be enabled or disabled per HARQ process (by dedicated RRC signalling and/or DCI based indication). Disabling HARQ feedback allows scheduling a HARQ process before one HARQ RTT has elapsed since last </w:t>
      </w:r>
      <w:proofErr w:type="gramStart"/>
      <w:r w:rsidRPr="0027492C">
        <w:t>scheduled;</w:t>
      </w:r>
      <w:proofErr w:type="gramEnd"/>
    </w:p>
    <w:p w14:paraId="21676209" w14:textId="77777777" w:rsidR="00CC4F58" w:rsidRPr="0027492C" w:rsidRDefault="00CC4F58" w:rsidP="00CC4F58">
      <w:pPr>
        <w:pStyle w:val="B1"/>
      </w:pPr>
      <w:r w:rsidRPr="0027492C">
        <w:t>-</w:t>
      </w:r>
      <w:r w:rsidRPr="0027492C">
        <w:tab/>
        <w:t>For uplink, HARQ mode (</w:t>
      </w:r>
      <w:proofErr w:type="gramStart"/>
      <w:r w:rsidRPr="0027492C">
        <w:t>i.e.</w:t>
      </w:r>
      <w:proofErr w:type="gramEnd"/>
      <w:r w:rsidRPr="0027492C">
        <w:t xml:space="preserve"> HARQ mode A or HARQ mode B) can be configured per HARQ process (as specified in clause 5.4.3.1 and clause 5.7 of TS 36.321 [13]). HARQ mode B allows scheduling a HARQ process before one HARQ RTT has elapsed since last scheduled. HARQ mode configuration is not applicable for PUR transmissions.</w:t>
      </w:r>
    </w:p>
    <w:p w14:paraId="1628BC54" w14:textId="77777777" w:rsidR="00CC4F58" w:rsidRPr="0027492C" w:rsidRDefault="00CC4F58" w:rsidP="00CC4F58">
      <w:pPr>
        <w:pStyle w:val="NO"/>
      </w:pPr>
      <w:r w:rsidRPr="0027492C">
        <w:t>NOTE:</w:t>
      </w:r>
      <w:r w:rsidRPr="0027492C">
        <w:tab/>
        <w:t>For the HARQ processes configured with HARQ feedback enabled/disabled, it is up to network implementation to ensure a proper configuration of HARQ feedback (e.g., either all enabled or all disabled) for HARQ processes used by a downlink SPS configuration. For the HARQ processes configured with HARQ mode, it is up to network implementation to ensure a proper configuration of HARQ mode (e.g., either all HARQ mode A or all HARQ mode B) for HARQ processes used by an uplink SPS configuration.</w:t>
      </w:r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CC4F58" w:rsidRPr="00EF5762" w14:paraId="01798465" w14:textId="77777777" w:rsidTr="00156D39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bookmarkEnd w:id="6"/>
          <w:bookmarkEnd w:id="7"/>
          <w:p w14:paraId="436B2BBB" w14:textId="77777777" w:rsidR="00CC4F58" w:rsidRPr="00EF5762" w:rsidRDefault="00CC4F58" w:rsidP="00156D39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END OF CHANGE</w:t>
            </w:r>
          </w:p>
        </w:tc>
      </w:tr>
      <w:bookmarkEnd w:id="2"/>
    </w:tbl>
    <w:p w14:paraId="68C9CD36" w14:textId="77777777" w:rsidR="001E41F3" w:rsidRDefault="001E41F3">
      <w:pPr>
        <w:rPr>
          <w:noProof/>
        </w:rPr>
      </w:pPr>
    </w:p>
    <w:sectPr w:rsidR="001E41F3" w:rsidSect="002C5D28">
      <w:headerReference w:type="default" r:id="rId20"/>
      <w:footerReference w:type="default" r:id="rId21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8310" w14:textId="77777777" w:rsidR="00AF78B3" w:rsidRDefault="00AF78B3">
      <w:r>
        <w:separator/>
      </w:r>
    </w:p>
  </w:endnote>
  <w:endnote w:type="continuationSeparator" w:id="0">
    <w:p w14:paraId="47CAD88E" w14:textId="77777777" w:rsidR="00AF78B3" w:rsidRDefault="00A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16C2" w14:textId="77777777" w:rsidR="00797AAE" w:rsidRPr="007B4B4C" w:rsidRDefault="00F2569A">
    <w:pPr>
      <w:pStyle w:val="Footer"/>
    </w:pPr>
    <w:r w:rsidRPr="007B4B4C"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D472" w14:textId="77777777" w:rsidR="00AF78B3" w:rsidRDefault="00AF78B3">
      <w:r>
        <w:separator/>
      </w:r>
    </w:p>
  </w:footnote>
  <w:footnote w:type="continuationSeparator" w:id="0">
    <w:p w14:paraId="65BA56CD" w14:textId="77777777" w:rsidR="00AF78B3" w:rsidRDefault="00AF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4A22" w14:textId="77777777" w:rsidR="00797AAE" w:rsidRPr="007B4B4C" w:rsidRDefault="00797AA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0524F02E" w14:textId="77777777" w:rsidR="00797AAE" w:rsidRPr="007B4B4C" w:rsidRDefault="00F2569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 w:rsidRPr="007B4B4C">
      <w:rPr>
        <w:rFonts w:ascii="Arial" w:hAnsi="Arial" w:cs="Arial"/>
        <w:b/>
        <w:sz w:val="18"/>
        <w:szCs w:val="18"/>
      </w:rPr>
      <w:fldChar w:fldCharType="begin"/>
    </w:r>
    <w:r w:rsidRPr="007B4B4C">
      <w:rPr>
        <w:rFonts w:ascii="Arial" w:hAnsi="Arial" w:cs="Arial"/>
        <w:b/>
        <w:sz w:val="18"/>
        <w:szCs w:val="18"/>
      </w:rPr>
      <w:instrText xml:space="preserve"> PAGE </w:instrText>
    </w:r>
    <w:r w:rsidRPr="007B4B4C">
      <w:rPr>
        <w:rFonts w:ascii="Arial" w:hAnsi="Arial" w:cs="Arial"/>
        <w:b/>
        <w:sz w:val="18"/>
        <w:szCs w:val="18"/>
      </w:rPr>
      <w:fldChar w:fldCharType="separate"/>
    </w:r>
    <w:r w:rsidRPr="007B4B4C">
      <w:rPr>
        <w:rFonts w:ascii="Arial" w:hAnsi="Arial" w:cs="Arial"/>
        <w:b/>
        <w:noProof/>
        <w:sz w:val="18"/>
        <w:szCs w:val="18"/>
      </w:rPr>
      <w:t>492</w:t>
    </w:r>
    <w:r w:rsidRPr="007B4B4C">
      <w:rPr>
        <w:rFonts w:ascii="Arial" w:hAnsi="Arial" w:cs="Arial"/>
        <w:b/>
        <w:sz w:val="18"/>
        <w:szCs w:val="18"/>
      </w:rPr>
      <w:fldChar w:fldCharType="end"/>
    </w:r>
  </w:p>
  <w:p w14:paraId="751ECD47" w14:textId="77777777" w:rsidR="00797AAE" w:rsidRPr="007B4B4C" w:rsidRDefault="00797AA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9B62251" w14:textId="77777777" w:rsidR="00797AAE" w:rsidRPr="007B4B4C" w:rsidRDefault="00797AAE">
    <w:pPr>
      <w:pStyle w:val="Header"/>
    </w:pPr>
  </w:p>
  <w:p w14:paraId="1B4F4B47" w14:textId="77777777" w:rsidR="00797AAE" w:rsidRPr="007B4B4C" w:rsidRDefault="00797A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6765"/>
    <w:multiLevelType w:val="hybridMultilevel"/>
    <w:tmpl w:val="452C24FE"/>
    <w:lvl w:ilvl="0" w:tplc="1868A868">
      <w:start w:val="1"/>
      <w:numFmt w:val="decimal"/>
      <w:lvlText w:val="%1)"/>
      <w:lvlJc w:val="left"/>
      <w:pPr>
        <w:ind w:left="360" w:hanging="360"/>
      </w:pPr>
      <w:rPr>
        <w:rFonts w:eastAsia="Malgun Gothic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326ABB"/>
    <w:multiLevelType w:val="hybridMultilevel"/>
    <w:tmpl w:val="CBB8D702"/>
    <w:lvl w:ilvl="0" w:tplc="1904164C">
      <w:start w:val="23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996956435">
    <w:abstractNumId w:val="1"/>
  </w:num>
  <w:num w:numId="2" w16cid:durableId="675420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 Karlsson">
    <w15:presenceInfo w15:providerId="None" w15:userId="Robert S Kar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700B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46B97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818A3"/>
    <w:rsid w:val="00695808"/>
    <w:rsid w:val="006B46FB"/>
    <w:rsid w:val="006E21FB"/>
    <w:rsid w:val="00753418"/>
    <w:rsid w:val="00792342"/>
    <w:rsid w:val="007977A8"/>
    <w:rsid w:val="00797AAE"/>
    <w:rsid w:val="007B512A"/>
    <w:rsid w:val="007C2097"/>
    <w:rsid w:val="007D6A07"/>
    <w:rsid w:val="007F7259"/>
    <w:rsid w:val="008040A8"/>
    <w:rsid w:val="008279FA"/>
    <w:rsid w:val="008626E7"/>
    <w:rsid w:val="00870EE7"/>
    <w:rsid w:val="00881ADA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F78B3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4F58"/>
    <w:rsid w:val="00CC5026"/>
    <w:rsid w:val="00CC68D0"/>
    <w:rsid w:val="00D03F9A"/>
    <w:rsid w:val="00D06D51"/>
    <w:rsid w:val="00D24991"/>
    <w:rsid w:val="00D50255"/>
    <w:rsid w:val="00D66520"/>
    <w:rsid w:val="00D7404D"/>
    <w:rsid w:val="00D84AE9"/>
    <w:rsid w:val="00D9124E"/>
    <w:rsid w:val="00DE34CF"/>
    <w:rsid w:val="00DE391E"/>
    <w:rsid w:val="00E04E35"/>
    <w:rsid w:val="00E13F3D"/>
    <w:rsid w:val="00E34898"/>
    <w:rsid w:val="00E71130"/>
    <w:rsid w:val="00EB09B7"/>
    <w:rsid w:val="00EE7D7C"/>
    <w:rsid w:val="00F2569A"/>
    <w:rsid w:val="00F25D98"/>
    <w:rsid w:val="00F300FB"/>
    <w:rsid w:val="00FB6386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CC4F58"/>
    <w:rPr>
      <w:rFonts w:ascii="Arial" w:hAnsi="Arial"/>
      <w:lang w:val="en-GB" w:eastAsia="en-US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CC4F5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CC4F58"/>
    <w:rPr>
      <w:rFonts w:ascii="Times New Roman" w:hAnsi="Times New Roman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CC4F58"/>
    <w:rPr>
      <w:rFonts w:ascii="Arial" w:hAnsi="Arial"/>
      <w:sz w:val="24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CC4F58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C4F58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CC4F5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C4F5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C4F5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CC4F5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CC4F5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718A38B8-8D01-4AC2-B79A-010C1CDCB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99ADE-A842-46EF-B6E0-5E5EFABF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66681C-0411-4A27-9841-498A301743B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S Karlsson</cp:lastModifiedBy>
  <cp:revision>12</cp:revision>
  <cp:lastPrinted>1899-12-31T23:00:00Z</cp:lastPrinted>
  <dcterms:created xsi:type="dcterms:W3CDTF">2024-05-07T15:14:00Z</dcterms:created>
  <dcterms:modified xsi:type="dcterms:W3CDTF">2024-05-22T02:19:00Z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