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[AT126][502][R18MobE]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[AT126][502][R18MobE]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77777777" w:rsidR="00163A7D" w:rsidRPr="00665BCC" w:rsidRDefault="00163A7D" w:rsidP="008E3796">
            <w:pPr>
              <w:pStyle w:val="BodyText"/>
              <w:rPr>
                <w:rFonts w:eastAsia="DengXian"/>
                <w:lang w:eastAsia="zh-CN"/>
              </w:rPr>
            </w:pPr>
          </w:p>
        </w:tc>
        <w:tc>
          <w:tcPr>
            <w:tcW w:w="2520" w:type="dxa"/>
            <w:tcBorders>
              <w:top w:val="single" w:sz="4" w:space="0" w:color="auto"/>
              <w:left w:val="single" w:sz="4" w:space="0" w:color="auto"/>
              <w:bottom w:val="single" w:sz="4" w:space="0" w:color="auto"/>
              <w:right w:val="single" w:sz="4" w:space="0" w:color="auto"/>
            </w:tcBorders>
          </w:tcPr>
          <w:p w14:paraId="3322DEF1" w14:textId="77777777" w:rsidR="00163A7D" w:rsidRPr="00665BCC" w:rsidRDefault="00163A7D" w:rsidP="008E3796">
            <w:pPr>
              <w:pStyle w:val="BodyText"/>
              <w:rPr>
                <w:rFonts w:eastAsia="DengXian"/>
                <w:lang w:eastAsia="zh-CN"/>
              </w:rPr>
            </w:pPr>
          </w:p>
        </w:tc>
        <w:tc>
          <w:tcPr>
            <w:tcW w:w="5044" w:type="dxa"/>
            <w:tcBorders>
              <w:top w:val="single" w:sz="4" w:space="0" w:color="auto"/>
              <w:left w:val="single" w:sz="4" w:space="0" w:color="auto"/>
              <w:bottom w:val="single" w:sz="4" w:space="0" w:color="auto"/>
              <w:right w:val="single" w:sz="4" w:space="0" w:color="auto"/>
            </w:tcBorders>
          </w:tcPr>
          <w:p w14:paraId="5BCF954C" w14:textId="77777777" w:rsidR="00163A7D" w:rsidRPr="00665BCC" w:rsidRDefault="00163A7D" w:rsidP="008E3796">
            <w:pPr>
              <w:pStyle w:val="BodyText"/>
              <w:rPr>
                <w:rFonts w:eastAsia="DengXian"/>
                <w:lang w:eastAsia="zh-CN"/>
              </w:rPr>
            </w:pP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596B98A7"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7EECFEE9"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64FC2E26" w14:textId="77777777" w:rsidR="00163A7D" w:rsidRDefault="00163A7D" w:rsidP="008E3796">
            <w:pPr>
              <w:pStyle w:val="BodyText"/>
            </w:pP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BodyText"/>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interruption length (Y ms)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are in agreement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16" w:hangingChars="656" w:hanging="1416"/>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77777777" w:rsidR="00163A7D" w:rsidRPr="00F302E8" w:rsidRDefault="00163A7D" w:rsidP="008E3796">
            <w:pPr>
              <w:rPr>
                <w:rFonts w:eastAsiaTheme="minorEastAsia"/>
                <w:lang w:eastAsia="ja-JP"/>
              </w:rPr>
            </w:pPr>
          </w:p>
        </w:tc>
        <w:tc>
          <w:tcPr>
            <w:tcW w:w="1843" w:type="dxa"/>
          </w:tcPr>
          <w:p w14:paraId="234AE31E" w14:textId="77777777" w:rsidR="00163A7D" w:rsidRPr="00F302E8" w:rsidRDefault="00163A7D" w:rsidP="008E3796">
            <w:pPr>
              <w:rPr>
                <w:rFonts w:eastAsiaTheme="minorEastAsia"/>
                <w:lang w:eastAsia="ja-JP"/>
              </w:rPr>
            </w:pPr>
          </w:p>
        </w:tc>
        <w:tc>
          <w:tcPr>
            <w:tcW w:w="5806" w:type="dxa"/>
          </w:tcPr>
          <w:p w14:paraId="0AF7C819" w14:textId="77777777" w:rsidR="00163A7D" w:rsidRPr="00F302E8" w:rsidRDefault="00163A7D" w:rsidP="008E3796">
            <w:pPr>
              <w:rPr>
                <w:rFonts w:eastAsiaTheme="minorEastAsia"/>
                <w:lang w:eastAsia="ja-JP"/>
              </w:rPr>
            </w:pPr>
          </w:p>
        </w:tc>
      </w:tr>
      <w:tr w:rsidR="00163A7D" w:rsidRPr="00F302E8" w14:paraId="580D6A98" w14:textId="77777777" w:rsidTr="008E3796">
        <w:tc>
          <w:tcPr>
            <w:tcW w:w="1980" w:type="dxa"/>
          </w:tcPr>
          <w:p w14:paraId="25BA006C" w14:textId="77777777" w:rsidR="00163A7D" w:rsidRPr="00F302E8" w:rsidRDefault="00163A7D" w:rsidP="008E3796">
            <w:pPr>
              <w:rPr>
                <w:rFonts w:eastAsiaTheme="minorEastAsia"/>
                <w:lang w:eastAsia="ja-JP"/>
              </w:rPr>
            </w:pPr>
          </w:p>
        </w:tc>
        <w:tc>
          <w:tcPr>
            <w:tcW w:w="1843" w:type="dxa"/>
          </w:tcPr>
          <w:p w14:paraId="6BAEFD9B" w14:textId="77777777" w:rsidR="00163A7D" w:rsidRPr="00F302E8" w:rsidRDefault="00163A7D" w:rsidP="008E3796">
            <w:pPr>
              <w:rPr>
                <w:rFonts w:eastAsiaTheme="minorEastAsia"/>
                <w:lang w:eastAsia="ja-JP"/>
              </w:rPr>
            </w:pPr>
          </w:p>
        </w:tc>
        <w:tc>
          <w:tcPr>
            <w:tcW w:w="5806" w:type="dxa"/>
          </w:tcPr>
          <w:p w14:paraId="3344235D" w14:textId="77777777" w:rsidR="00163A7D" w:rsidRPr="00F302E8" w:rsidRDefault="00163A7D" w:rsidP="008E3796">
            <w:pPr>
              <w:rPr>
                <w:rFonts w:eastAsiaTheme="minorEastAsia"/>
                <w:lang w:eastAsia="ja-JP"/>
              </w:rPr>
            </w:pPr>
          </w:p>
        </w:tc>
      </w:tr>
      <w:tr w:rsidR="00163A7D" w:rsidRPr="00F302E8" w14:paraId="39635AD7" w14:textId="77777777" w:rsidTr="008E3796">
        <w:tc>
          <w:tcPr>
            <w:tcW w:w="1980" w:type="dxa"/>
          </w:tcPr>
          <w:p w14:paraId="15BF31D2" w14:textId="77777777" w:rsidR="00163A7D" w:rsidRPr="00F302E8" w:rsidRDefault="00163A7D" w:rsidP="008E3796">
            <w:pPr>
              <w:rPr>
                <w:rFonts w:eastAsiaTheme="minorEastAsia"/>
                <w:lang w:eastAsia="ja-JP"/>
              </w:rPr>
            </w:pPr>
          </w:p>
        </w:tc>
        <w:tc>
          <w:tcPr>
            <w:tcW w:w="1843" w:type="dxa"/>
          </w:tcPr>
          <w:p w14:paraId="62E70EA4" w14:textId="77777777" w:rsidR="00163A7D" w:rsidRPr="00F302E8" w:rsidRDefault="00163A7D" w:rsidP="008E3796">
            <w:pPr>
              <w:rPr>
                <w:rFonts w:eastAsiaTheme="minorEastAsia"/>
                <w:lang w:eastAsia="ja-JP"/>
              </w:rPr>
            </w:pPr>
          </w:p>
        </w:tc>
        <w:tc>
          <w:tcPr>
            <w:tcW w:w="5806" w:type="dxa"/>
          </w:tcPr>
          <w:p w14:paraId="5529A31C" w14:textId="77777777" w:rsidR="00163A7D" w:rsidRPr="00F302E8" w:rsidRDefault="00163A7D" w:rsidP="008E3796">
            <w:pPr>
              <w:rPr>
                <w:rFonts w:eastAsiaTheme="minorEastAsia"/>
                <w:lang w:eastAsia="ja-JP"/>
              </w:rPr>
            </w:pPr>
          </w:p>
        </w:tc>
      </w:tr>
      <w:tr w:rsidR="00163A7D" w:rsidRPr="00F302E8" w14:paraId="4FFFC07D" w14:textId="77777777" w:rsidTr="008E3796">
        <w:tc>
          <w:tcPr>
            <w:tcW w:w="1980" w:type="dxa"/>
          </w:tcPr>
          <w:p w14:paraId="33A0B2A3" w14:textId="77777777" w:rsidR="00163A7D" w:rsidRPr="00F302E8" w:rsidRDefault="00163A7D" w:rsidP="008E3796">
            <w:pPr>
              <w:rPr>
                <w:rFonts w:eastAsiaTheme="minorEastAsia"/>
                <w:lang w:eastAsia="ja-JP"/>
              </w:rPr>
            </w:pPr>
          </w:p>
        </w:tc>
        <w:tc>
          <w:tcPr>
            <w:tcW w:w="1843" w:type="dxa"/>
          </w:tcPr>
          <w:p w14:paraId="36F1EA76" w14:textId="77777777" w:rsidR="00163A7D" w:rsidRPr="00F302E8" w:rsidRDefault="00163A7D" w:rsidP="008E3796">
            <w:pPr>
              <w:rPr>
                <w:rFonts w:eastAsiaTheme="minorEastAsia"/>
                <w:lang w:eastAsia="ja-JP"/>
              </w:rPr>
            </w:pPr>
          </w:p>
        </w:tc>
        <w:tc>
          <w:tcPr>
            <w:tcW w:w="5806" w:type="dxa"/>
          </w:tcPr>
          <w:p w14:paraId="79BC8323" w14:textId="77777777" w:rsidR="00163A7D" w:rsidRPr="00F302E8" w:rsidRDefault="00163A7D" w:rsidP="008E3796">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lastRenderedPageBreak/>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r w:rsidR="006476E1" w:rsidRPr="006476E1">
        <w:rPr>
          <w:rFonts w:ascii="Arial" w:eastAsiaTheme="minorEastAsia" w:hAnsi="Arial" w:cs="Arial"/>
          <w:bCs/>
          <w:i/>
          <w:iCs/>
          <w:sz w:val="28"/>
          <w:szCs w:val="28"/>
          <w:lang w:eastAsia="ja-JP"/>
        </w:rPr>
        <w:t>UECapabilityInformation</w:t>
      </w:r>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r w:rsidRPr="002D03D7">
        <w:rPr>
          <w:rFonts w:ascii="Times New Roman" w:eastAsiaTheme="minorEastAsia" w:hAnsi="Times New Roman"/>
          <w:bCs/>
          <w:i/>
          <w:iCs/>
          <w:lang w:eastAsia="ja-JP"/>
        </w:rPr>
        <w:t>BandCombination</w:t>
      </w:r>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r w:rsidR="006476E1" w:rsidRPr="002D03D7">
        <w:rPr>
          <w:rFonts w:ascii="Times New Roman" w:eastAsiaTheme="minorEastAsia" w:hAnsi="Times New Roman"/>
          <w:bCs/>
          <w:i/>
          <w:iCs/>
          <w:lang w:eastAsia="ja-JP"/>
        </w:rPr>
        <w:t>supportedBandListNR</w:t>
      </w:r>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signalling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r w:rsidRPr="00644884">
        <w:rPr>
          <w:rFonts w:ascii="Times New Roman" w:hAnsi="Times New Roman"/>
          <w:i/>
          <w:iCs/>
        </w:rPr>
        <w:t>UECapabilityEnquiry</w:t>
      </w:r>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r w:rsidRPr="002D03D7">
        <w:rPr>
          <w:rFonts w:ascii="Times New Roman" w:hAnsi="Times New Roman"/>
          <w:i/>
          <w:iCs/>
        </w:rPr>
        <w:t>FreqBandList</w:t>
      </w:r>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r w:rsidRPr="008836DD">
        <w:rPr>
          <w:rFonts w:ascii="Times New Roman" w:eastAsiaTheme="minorEastAsia" w:hAnsi="Times New Roman"/>
          <w:bCs/>
          <w:i/>
          <w:iCs/>
          <w:lang w:eastAsia="ja-JP"/>
        </w:rPr>
        <w:t>RRCReconfiguration</w:t>
      </w:r>
      <w:r w:rsidRPr="00D16211">
        <w:rPr>
          <w:rFonts w:ascii="Times New Roman" w:eastAsiaTheme="minorEastAsia" w:hAnsi="Times New Roman"/>
          <w:bCs/>
          <w:lang w:eastAsia="ja-JP"/>
        </w:rPr>
        <w:t>/</w:t>
      </w:r>
      <w:r w:rsidRPr="008836DD">
        <w:rPr>
          <w:rFonts w:ascii="Times New Roman" w:eastAsiaTheme="minorEastAsia" w:hAnsi="Times New Roman"/>
          <w:bCs/>
          <w:i/>
          <w:iCs/>
          <w:lang w:eastAsia="ja-JP"/>
        </w:rPr>
        <w:t>RRCResume</w:t>
      </w:r>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r w:rsidRPr="008836DD">
        <w:rPr>
          <w:rFonts w:ascii="Times New Roman" w:eastAsiaTheme="minorEastAsia" w:hAnsi="Times New Roman"/>
          <w:bCs/>
          <w:i/>
          <w:iCs/>
          <w:lang w:eastAsia="ja-JP"/>
        </w:rPr>
        <w:t>RRCReconfigurationComplete</w:t>
      </w:r>
      <w:r w:rsidRPr="00D16211">
        <w:rPr>
          <w:rFonts w:ascii="Times New Roman" w:eastAsiaTheme="minorEastAsia" w:hAnsi="Times New Roman"/>
          <w:bCs/>
          <w:lang w:eastAsia="ja-JP"/>
        </w:rPr>
        <w:t>/</w:t>
      </w:r>
      <w:r w:rsidRPr="008836DD">
        <w:rPr>
          <w:rFonts w:ascii="Times New Roman" w:eastAsiaTheme="minorEastAsia" w:hAnsi="Times New Roman"/>
          <w:bCs/>
          <w:i/>
          <w:iCs/>
          <w:lang w:eastAsia="ja-JP"/>
        </w:rPr>
        <w:t>RRCResumeComplete</w:t>
      </w:r>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8836DD">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8836DD">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a band in supportedBandListNR</w:t>
            </w:r>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 xml:space="preserve">Discussion point </w:t>
            </w:r>
            <w:r>
              <w:rPr>
                <w:rFonts w:eastAsiaTheme="minorEastAsia"/>
                <w:lang w:eastAsia="ja-JP"/>
              </w:rPr>
              <w:t>2</w:t>
            </w:r>
            <w:r>
              <w:rPr>
                <w:rFonts w:eastAsiaTheme="minorEastAsia"/>
                <w:lang w:eastAsia="ja-JP"/>
              </w:rPr>
              <w:t>:</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signaling size since the index size would be </w:t>
            </w:r>
            <w:r w:rsidR="004B1B60">
              <w:rPr>
                <w:rFonts w:eastAsiaTheme="minorEastAsia"/>
                <w:lang w:eastAsia="ja-JP"/>
              </w:rPr>
              <w:lastRenderedPageBreak/>
              <w:t>“hidden” in the FeatureSetID, while also the expectation should be that the same/few FeatureSetIDs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Per band per BC (in BandCombination)</w:t>
            </w:r>
            <w:r>
              <w:rPr>
                <w:rFonts w:eastAsiaTheme="minorEastAsia"/>
                <w:lang w:eastAsia="ja-JP"/>
              </w:rPr>
              <w:t xml:space="preserve"> then we should find indeed some signaling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r w:rsidR="00FB76CB" w:rsidRPr="00FB76CB">
              <w:rPr>
                <w:rFonts w:eastAsiaTheme="minorEastAsia"/>
                <w:lang w:eastAsia="ja-JP"/>
              </w:rPr>
              <w:t>FreqBandList</w:t>
            </w:r>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FreqBandList. All in all, we could say that FreqBandList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RRCReconfigurationComplete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w:t>
            </w:r>
            <w:r w:rsidR="001A303B">
              <w:rPr>
                <w:rFonts w:eastAsiaTheme="minorEastAsia"/>
                <w:lang w:eastAsia="ja-JP"/>
              </w:rPr>
              <w:t>in RRCReconfigurationComplete once it applies that candidate LTM configuration</w:t>
            </w:r>
            <w:r w:rsidR="001A303B">
              <w:rPr>
                <w:rFonts w:eastAsiaTheme="minorEastAsia"/>
                <w:lang w:eastAsia="ja-JP"/>
              </w:rPr>
              <w:t>.</w:t>
            </w:r>
          </w:p>
          <w:p w14:paraId="1A869150" w14:textId="4F0814A3" w:rsidR="00813B5C" w:rsidRDefault="00813B5C" w:rsidP="00813B5C">
            <w:pPr>
              <w:rPr>
                <w:rFonts w:eastAsiaTheme="minorEastAsia"/>
                <w:lang w:eastAsia="ja-JP"/>
              </w:rPr>
            </w:pPr>
            <w:r>
              <w:rPr>
                <w:rFonts w:eastAsiaTheme="minorEastAsia"/>
                <w:lang w:eastAsia="ja-JP"/>
              </w:rPr>
              <w:t>Discussion point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taken into account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8836DD" w:rsidRPr="00F302E8" w14:paraId="04C1F4E0" w14:textId="77777777" w:rsidTr="008836DD">
        <w:tc>
          <w:tcPr>
            <w:tcW w:w="1980" w:type="dxa"/>
          </w:tcPr>
          <w:p w14:paraId="09834BA7" w14:textId="77777777" w:rsidR="008836DD" w:rsidRPr="00F302E8" w:rsidRDefault="008836DD" w:rsidP="008E3796">
            <w:pPr>
              <w:rPr>
                <w:rFonts w:eastAsiaTheme="minorEastAsia"/>
                <w:lang w:eastAsia="ja-JP"/>
              </w:rPr>
            </w:pPr>
          </w:p>
        </w:tc>
        <w:tc>
          <w:tcPr>
            <w:tcW w:w="7654" w:type="dxa"/>
          </w:tcPr>
          <w:p w14:paraId="70082D62" w14:textId="77777777" w:rsidR="008836DD" w:rsidRPr="00F302E8" w:rsidRDefault="008836DD" w:rsidP="008E3796">
            <w:pPr>
              <w:rPr>
                <w:rFonts w:eastAsiaTheme="minorEastAsia"/>
                <w:lang w:eastAsia="ja-JP"/>
              </w:rPr>
            </w:pPr>
          </w:p>
        </w:tc>
      </w:tr>
      <w:tr w:rsidR="008836DD" w:rsidRPr="00F302E8" w14:paraId="0534E8EE" w14:textId="77777777" w:rsidTr="008836DD">
        <w:tc>
          <w:tcPr>
            <w:tcW w:w="1980" w:type="dxa"/>
          </w:tcPr>
          <w:p w14:paraId="1FDBFAFC" w14:textId="77777777" w:rsidR="008836DD" w:rsidRPr="00F302E8" w:rsidRDefault="008836DD" w:rsidP="008E3796">
            <w:pPr>
              <w:rPr>
                <w:rFonts w:eastAsiaTheme="minorEastAsia"/>
                <w:lang w:eastAsia="ja-JP"/>
              </w:rPr>
            </w:pPr>
          </w:p>
        </w:tc>
        <w:tc>
          <w:tcPr>
            <w:tcW w:w="7654" w:type="dxa"/>
          </w:tcPr>
          <w:p w14:paraId="6F9D6B93" w14:textId="77777777" w:rsidR="008836DD" w:rsidRPr="00F302E8" w:rsidRDefault="008836DD" w:rsidP="008E3796">
            <w:pPr>
              <w:rPr>
                <w:rFonts w:eastAsiaTheme="minorEastAsia"/>
                <w:lang w:eastAsia="ja-JP"/>
              </w:rPr>
            </w:pPr>
          </w:p>
        </w:tc>
      </w:tr>
      <w:tr w:rsidR="008836DD" w:rsidRPr="00F302E8" w14:paraId="263FA516" w14:textId="77777777" w:rsidTr="008836DD">
        <w:tc>
          <w:tcPr>
            <w:tcW w:w="1980" w:type="dxa"/>
          </w:tcPr>
          <w:p w14:paraId="59D8B61F" w14:textId="77777777" w:rsidR="008836DD" w:rsidRPr="00F302E8" w:rsidRDefault="008836DD" w:rsidP="008E3796">
            <w:pPr>
              <w:rPr>
                <w:rFonts w:eastAsiaTheme="minorEastAsia"/>
                <w:lang w:eastAsia="ja-JP"/>
              </w:rPr>
            </w:pPr>
          </w:p>
        </w:tc>
        <w:tc>
          <w:tcPr>
            <w:tcW w:w="7654" w:type="dxa"/>
          </w:tcPr>
          <w:p w14:paraId="5CEA5EB1" w14:textId="77777777" w:rsidR="008836DD" w:rsidRPr="00F302E8" w:rsidRDefault="008836DD" w:rsidP="008E3796">
            <w:pPr>
              <w:rPr>
                <w:rFonts w:eastAsiaTheme="minorEastAsia"/>
                <w:lang w:eastAsia="ja-JP"/>
              </w:rPr>
            </w:pPr>
          </w:p>
        </w:tc>
      </w:tr>
      <w:tr w:rsidR="008836DD" w:rsidRPr="00F302E8" w14:paraId="512A814D" w14:textId="77777777" w:rsidTr="008836DD">
        <w:tc>
          <w:tcPr>
            <w:tcW w:w="1980" w:type="dxa"/>
          </w:tcPr>
          <w:p w14:paraId="72AD0F56" w14:textId="77777777" w:rsidR="008836DD" w:rsidRPr="00F302E8" w:rsidRDefault="008836DD" w:rsidP="008E3796">
            <w:pPr>
              <w:rPr>
                <w:rFonts w:eastAsiaTheme="minorEastAsia"/>
                <w:lang w:eastAsia="ja-JP"/>
              </w:rPr>
            </w:pPr>
          </w:p>
        </w:tc>
        <w:tc>
          <w:tcPr>
            <w:tcW w:w="7654" w:type="dxa"/>
          </w:tcPr>
          <w:p w14:paraId="48005E32" w14:textId="77777777" w:rsidR="008836DD" w:rsidRPr="00F302E8" w:rsidRDefault="008836DD" w:rsidP="008E3796">
            <w:pPr>
              <w:rPr>
                <w:rFonts w:eastAsiaTheme="minorEastAsia"/>
                <w:lang w:eastAsia="ja-JP"/>
              </w:rPr>
            </w:pPr>
          </w:p>
        </w:tc>
      </w:tr>
    </w:tbl>
    <w:p w14:paraId="3149F0DC" w14:textId="77777777" w:rsidR="008836DD" w:rsidRPr="008836DD" w:rsidRDefault="008836DD" w:rsidP="008836DD">
      <w:pPr>
        <w:spacing w:line="257" w:lineRule="auto"/>
        <w:rPr>
          <w:rFonts w:eastAsiaTheme="minorEastAsia"/>
          <w:bCs/>
          <w:sz w:val="22"/>
          <w:szCs w:val="22"/>
          <w:lang w:eastAsia="ja-JP"/>
        </w:rPr>
      </w:pPr>
    </w:p>
    <w:p w14:paraId="044081AF" w14:textId="22F4FF20" w:rsidR="00AD5D33" w:rsidRDefault="008836DD" w:rsidP="004421CB">
      <w:pPr>
        <w:pStyle w:val="Heading1"/>
        <w:numPr>
          <w:ilvl w:val="0"/>
          <w:numId w:val="9"/>
        </w:numPr>
        <w:rPr>
          <w:rFonts w:eastAsia="SimSun"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lastRenderedPageBreak/>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51D6" w14:textId="77777777" w:rsidR="004F5DE8" w:rsidRDefault="004F5DE8">
      <w:r>
        <w:separator/>
      </w:r>
    </w:p>
  </w:endnote>
  <w:endnote w:type="continuationSeparator" w:id="0">
    <w:p w14:paraId="637B5EFB" w14:textId="77777777" w:rsidR="004F5DE8" w:rsidRDefault="004F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Osaka">
    <w:altName w:val="MS Mincho"/>
    <w:charset w:val="80"/>
    <w:family w:val="auto"/>
    <w:pitch w:val="default"/>
    <w:sig w:usb0="00000000" w:usb1="0000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184B" w14:textId="77777777" w:rsidR="004F5DE8" w:rsidRDefault="004F5DE8">
      <w:r>
        <w:separator/>
      </w:r>
    </w:p>
  </w:footnote>
  <w:footnote w:type="continuationSeparator" w:id="0">
    <w:p w14:paraId="60B0EB28" w14:textId="77777777" w:rsidR="004F5DE8" w:rsidRDefault="004F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12022051">
    <w:abstractNumId w:val="0"/>
  </w:num>
  <w:num w:numId="2" w16cid:durableId="679307955">
    <w:abstractNumId w:val="17"/>
  </w:num>
  <w:num w:numId="3" w16cid:durableId="1593857717">
    <w:abstractNumId w:val="24"/>
  </w:num>
  <w:num w:numId="4" w16cid:durableId="18065108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939252">
    <w:abstractNumId w:val="5"/>
  </w:num>
  <w:num w:numId="6" w16cid:durableId="779371436">
    <w:abstractNumId w:val="4"/>
  </w:num>
  <w:num w:numId="7" w16cid:durableId="1058818091">
    <w:abstractNumId w:val="3"/>
  </w:num>
  <w:num w:numId="8" w16cid:durableId="224727962">
    <w:abstractNumId w:val="2"/>
  </w:num>
  <w:num w:numId="9" w16cid:durableId="1665469937">
    <w:abstractNumId w:val="23"/>
  </w:num>
  <w:num w:numId="10" w16cid:durableId="1899854263">
    <w:abstractNumId w:val="30"/>
  </w:num>
  <w:num w:numId="11" w16cid:durableId="224225374">
    <w:abstractNumId w:val="13"/>
  </w:num>
  <w:num w:numId="12" w16cid:durableId="938023409">
    <w:abstractNumId w:val="28"/>
  </w:num>
  <w:num w:numId="13" w16cid:durableId="1847744037">
    <w:abstractNumId w:val="7"/>
  </w:num>
  <w:num w:numId="14" w16cid:durableId="28146905">
    <w:abstractNumId w:val="20"/>
  </w:num>
  <w:num w:numId="15" w16cid:durableId="1781488690">
    <w:abstractNumId w:val="15"/>
  </w:num>
  <w:num w:numId="16" w16cid:durableId="866602830">
    <w:abstractNumId w:val="27"/>
  </w:num>
  <w:num w:numId="17" w16cid:durableId="532497189">
    <w:abstractNumId w:val="29"/>
  </w:num>
  <w:num w:numId="18" w16cid:durableId="350768395">
    <w:abstractNumId w:val="16"/>
  </w:num>
  <w:num w:numId="19" w16cid:durableId="1775173675">
    <w:abstractNumId w:val="14"/>
  </w:num>
  <w:num w:numId="20" w16cid:durableId="272053052">
    <w:abstractNumId w:val="8"/>
  </w:num>
  <w:num w:numId="21" w16cid:durableId="555360417">
    <w:abstractNumId w:val="1"/>
  </w:num>
  <w:num w:numId="22" w16cid:durableId="180821539">
    <w:abstractNumId w:val="26"/>
  </w:num>
  <w:num w:numId="23" w16cid:durableId="1462922338">
    <w:abstractNumId w:val="9"/>
  </w:num>
  <w:num w:numId="24" w16cid:durableId="1768503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4578090">
    <w:abstractNumId w:val="22"/>
  </w:num>
  <w:num w:numId="26" w16cid:durableId="1001857035">
    <w:abstractNumId w:val="10"/>
  </w:num>
  <w:num w:numId="27" w16cid:durableId="1412921873">
    <w:abstractNumId w:val="12"/>
  </w:num>
  <w:num w:numId="28" w16cid:durableId="328755042">
    <w:abstractNumId w:val="19"/>
  </w:num>
  <w:num w:numId="29" w16cid:durableId="1154101120">
    <w:abstractNumId w:val="25"/>
  </w:num>
  <w:num w:numId="30" w16cid:durableId="1329987925">
    <w:abstractNumId w:val="18"/>
  </w:num>
  <w:num w:numId="31" w16cid:durableId="145917899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MS Mincho"/>
      <w:lang w:eastAsia="ja-JP"/>
    </w:rPr>
  </w:style>
  <w:style w:type="character" w:customStyle="1" w:styleId="B1Char1">
    <w:name w:val="B1 Char1"/>
    <w:link w:val="B10"/>
    <w:qFormat/>
    <w:rsid w:val="00956F3A"/>
    <w:rPr>
      <w:rFonts w:eastAsia="MS Mincho"/>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MS Mincho"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MS Mincho"/>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MS Mincho"/>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MS Mincho"/>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a6">
    <w:name w:val="修订"/>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7">
    <w:name w:val="吹き出し"/>
    <w:basedOn w:val="Normal"/>
    <w:semiHidden/>
    <w:qFormat/>
    <w:rsid w:val="00FD02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2">
    <w:name w:val="吹き出し1"/>
    <w:basedOn w:val="Normal"/>
    <w:uiPriority w:val="99"/>
    <w:semiHidden/>
    <w:qFormat/>
    <w:rsid w:val="00FD02AF"/>
    <w:rPr>
      <w:rFonts w:ascii="Tahoma" w:eastAsia="MS Mincho" w:hAnsi="Tahoma" w:cs="Tahoma"/>
      <w:sz w:val="16"/>
      <w:szCs w:val="16"/>
      <w:lang w:eastAsia="ko-KR"/>
    </w:rPr>
  </w:style>
  <w:style w:type="paragraph" w:customStyle="1" w:styleId="21">
    <w:name w:val="吹き出し2"/>
    <w:basedOn w:val="Normal"/>
    <w:uiPriority w:val="99"/>
    <w:semiHidden/>
    <w:qFormat/>
    <w:rsid w:val="00FD02AF"/>
    <w:rPr>
      <w:rFonts w:ascii="Tahoma" w:eastAsia="MS Mincho"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3">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8">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8"/>
    <w:qFormat/>
    <w:rsid w:val="00FD02AF"/>
    <w:rPr>
      <w:rFonts w:ascii="Arial" w:eastAsia="Arial" w:hAnsi="Arial"/>
      <w:b/>
      <w:bCs/>
      <w:noProof/>
      <w:sz w:val="22"/>
      <w:lang w:val="en-GB" w:eastAsia="en-US"/>
    </w:rPr>
  </w:style>
  <w:style w:type="paragraph" w:customStyle="1" w:styleId="14">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MS Mincho" w:hAnsi="Tahoma" w:cs="Tahoma"/>
      <w:sz w:val="16"/>
      <w:szCs w:val="16"/>
    </w:rPr>
  </w:style>
  <w:style w:type="paragraph" w:customStyle="1" w:styleId="5">
    <w:name w:val="吹き出し5"/>
    <w:basedOn w:val="Normal"/>
    <w:uiPriority w:val="99"/>
    <w:semiHidden/>
    <w:qFormat/>
    <w:rsid w:val="00FD02AF"/>
    <w:rPr>
      <w:rFonts w:ascii="Tahoma" w:eastAsia="MS Mincho"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D02AF"/>
    <w:rPr>
      <w:rFonts w:eastAsia="Yu Mincho"/>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MS Mincho"/>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D02AF"/>
    <w:pPr>
      <w:tabs>
        <w:tab w:val="left" w:pos="1134"/>
      </w:tabs>
      <w:spacing w:after="0"/>
    </w:pPr>
    <w:rPr>
      <w:rFonts w:eastAsia="MS Mincho"/>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5">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Yu Mincho" w:hAnsi="Times New Roman"/>
      <w:lang w:val="en-GB" w:eastAsia="en-US"/>
    </w:rPr>
  </w:style>
  <w:style w:type="paragraph" w:customStyle="1" w:styleId="42">
    <w:name w:val="吹き出し4"/>
    <w:basedOn w:val="Normal"/>
    <w:uiPriority w:val="99"/>
    <w:semiHidden/>
    <w:qFormat/>
    <w:rsid w:val="00FD02AF"/>
    <w:rPr>
      <w:rFonts w:ascii="Tahoma" w:eastAsia="MS Mincho"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MS Mincho"/>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MS Mincho"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9">
    <w:name w:val="수정"/>
    <w:hidden/>
    <w:semiHidden/>
    <w:qFormat/>
    <w:rsid w:val="00FD02AF"/>
    <w:rPr>
      <w:rFonts w:eastAsia="Batang"/>
      <w:lang w:val="en-GB" w:eastAsia="en-US"/>
    </w:rPr>
  </w:style>
  <w:style w:type="paragraph" w:customStyle="1" w:styleId="aa">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b"/>
    <w:qFormat/>
    <w:locked/>
    <w:rsid w:val="00FD02AF"/>
    <w:rPr>
      <w:rFonts w:ascii="Calibri" w:eastAsia="SimSun" w:hAnsi="Calibri"/>
      <w:kern w:val="2"/>
      <w:sz w:val="21"/>
    </w:rPr>
  </w:style>
  <w:style w:type="paragraph" w:customStyle="1" w:styleId="ab">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c">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d">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MS Mincho"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e">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MS Mincho"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MS Mincho" w:hAnsi="Arial"/>
      <w:kern w:val="2"/>
      <w:szCs w:val="24"/>
      <w:lang w:val="en-US" w:eastAsia="en-GB"/>
    </w:rPr>
  </w:style>
  <w:style w:type="character" w:customStyle="1" w:styleId="af">
    <w:name w:val="文稿抬头"/>
    <w:qFormat/>
    <w:rsid w:val="00FD02AF"/>
    <w:rPr>
      <w:rFonts w:ascii="MS Mincho" w:eastAsia="MS Mincho" w:hAnsi="MS Mincho"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MS PGothic"/>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EA49-063D-4E03-9203-2635497FA89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Ericsson</cp:lastModifiedBy>
  <cp:revision>5</cp:revision>
  <cp:lastPrinted>2009-04-22T00:01:00Z</cp:lastPrinted>
  <dcterms:created xsi:type="dcterms:W3CDTF">2024-05-22T02:52:00Z</dcterms:created>
  <dcterms:modified xsi:type="dcterms:W3CDTF">2024-05-22T02:56:00Z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