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04861" w14:textId="58977A8F" w:rsidR="00F110CD" w:rsidRPr="008A290F" w:rsidRDefault="00F110CD" w:rsidP="005D664D">
      <w:pPr>
        <w:pStyle w:val="a5"/>
        <w:tabs>
          <w:tab w:val="right" w:pos="9639"/>
        </w:tabs>
        <w:jc w:val="both"/>
        <w:rPr>
          <w:bCs/>
          <w:noProof w:val="0"/>
          <w:sz w:val="24"/>
          <w:szCs w:val="24"/>
          <w:lang w:val="en-GB"/>
        </w:rPr>
      </w:pPr>
      <w:bookmarkStart w:id="0" w:name="_Hlk142299101"/>
      <w:bookmarkStart w:id="1" w:name="_Hlk37418177"/>
      <w:bookmarkEnd w:id="0"/>
      <w:r w:rsidRPr="008A290F">
        <w:rPr>
          <w:bCs/>
          <w:noProof w:val="0"/>
          <w:sz w:val="24"/>
          <w:szCs w:val="24"/>
          <w:lang w:val="en-GB"/>
        </w:rPr>
        <w:t>3GPP TSG RA</w:t>
      </w:r>
      <w:r w:rsidR="00BA1872" w:rsidRPr="008A290F">
        <w:rPr>
          <w:bCs/>
          <w:noProof w:val="0"/>
          <w:sz w:val="24"/>
          <w:szCs w:val="24"/>
          <w:lang w:val="en-GB"/>
        </w:rPr>
        <w:t>N WG1</w:t>
      </w:r>
      <w:r w:rsidR="00DE1B83" w:rsidRPr="008A290F">
        <w:rPr>
          <w:bCs/>
          <w:noProof w:val="0"/>
          <w:sz w:val="24"/>
          <w:szCs w:val="24"/>
          <w:lang w:val="en-GB"/>
        </w:rPr>
        <w:t xml:space="preserve"> Meeting</w:t>
      </w:r>
      <w:r w:rsidR="00BA1872" w:rsidRPr="008A290F">
        <w:rPr>
          <w:bCs/>
          <w:noProof w:val="0"/>
          <w:sz w:val="24"/>
          <w:szCs w:val="24"/>
          <w:lang w:val="en-GB"/>
        </w:rPr>
        <w:t xml:space="preserve"> </w:t>
      </w:r>
      <w:r w:rsidR="00B65452" w:rsidRPr="008A290F">
        <w:rPr>
          <w:bCs/>
          <w:noProof w:val="0"/>
          <w:sz w:val="24"/>
          <w:szCs w:val="24"/>
          <w:lang w:val="en-GB"/>
        </w:rPr>
        <w:t>#</w:t>
      </w:r>
      <w:r w:rsidR="00191E79" w:rsidRPr="008A290F">
        <w:rPr>
          <w:bCs/>
          <w:noProof w:val="0"/>
          <w:sz w:val="24"/>
          <w:szCs w:val="24"/>
          <w:lang w:val="en-GB"/>
        </w:rPr>
        <w:t>1</w:t>
      </w:r>
      <w:r w:rsidR="00F07F6F" w:rsidRPr="008A290F">
        <w:rPr>
          <w:bCs/>
          <w:noProof w:val="0"/>
          <w:sz w:val="24"/>
          <w:szCs w:val="24"/>
          <w:lang w:val="en-GB"/>
        </w:rPr>
        <w:t>1</w:t>
      </w:r>
      <w:r w:rsidR="005C18E4">
        <w:rPr>
          <w:bCs/>
          <w:noProof w:val="0"/>
          <w:sz w:val="24"/>
          <w:szCs w:val="24"/>
          <w:lang w:val="en-GB"/>
        </w:rPr>
        <w:t>8</w:t>
      </w:r>
      <w:r w:rsidR="00034C8A" w:rsidRPr="008A290F">
        <w:rPr>
          <w:lang w:val="en-GB"/>
        </w:rPr>
        <w:t xml:space="preserve">                                          </w:t>
      </w:r>
      <w:r w:rsidR="00801232">
        <w:rPr>
          <w:lang w:val="en-GB"/>
        </w:rPr>
        <w:t xml:space="preserve">                                      </w:t>
      </w:r>
      <w:r w:rsidR="00034C8A" w:rsidRPr="008A290F">
        <w:rPr>
          <w:lang w:val="en-GB"/>
        </w:rPr>
        <w:t xml:space="preserve">  </w:t>
      </w:r>
      <w:r w:rsidR="00801232">
        <w:rPr>
          <w:lang w:val="en-GB"/>
        </w:rPr>
        <w:t xml:space="preserve"> </w:t>
      </w:r>
      <w:r w:rsidR="00034C8A" w:rsidRPr="008A290F">
        <w:rPr>
          <w:lang w:val="en-GB"/>
        </w:rPr>
        <w:t xml:space="preserve"> </w:t>
      </w:r>
      <w:r w:rsidR="004F5319">
        <w:rPr>
          <w:lang w:val="en-GB"/>
        </w:rPr>
        <w:t xml:space="preserve">  </w:t>
      </w:r>
      <w:r w:rsidR="00DA1B7B" w:rsidRPr="008A290F">
        <w:rPr>
          <w:bCs/>
          <w:noProof w:val="0"/>
          <w:sz w:val="24"/>
          <w:szCs w:val="24"/>
          <w:lang w:val="en-GB"/>
        </w:rPr>
        <w:t>R1-</w:t>
      </w:r>
      <w:r w:rsidR="00034C8A" w:rsidRPr="008A290F">
        <w:rPr>
          <w:rFonts w:cs="Arial"/>
          <w:sz w:val="24"/>
          <w:szCs w:val="24"/>
          <w:lang w:val="en-GB"/>
        </w:rPr>
        <w:t>240</w:t>
      </w:r>
      <w:r w:rsidR="004F5319">
        <w:rPr>
          <w:rFonts w:cs="Arial"/>
          <w:sz w:val="24"/>
          <w:szCs w:val="24"/>
          <w:lang w:val="en-GB"/>
        </w:rPr>
        <w:t>5815</w:t>
      </w:r>
      <w:r w:rsidR="00801232">
        <w:rPr>
          <w:rFonts w:cs="Arial"/>
          <w:sz w:val="24"/>
          <w:szCs w:val="24"/>
          <w:lang w:val="en-GB"/>
        </w:rPr>
        <w:t xml:space="preserve"> </w:t>
      </w:r>
    </w:p>
    <w:bookmarkEnd w:id="1"/>
    <w:p w14:paraId="2CFE1919" w14:textId="27DE661F" w:rsidR="00850D96" w:rsidRPr="005C18E4" w:rsidRDefault="005C18E4" w:rsidP="005C18E4">
      <w:pPr>
        <w:tabs>
          <w:tab w:val="center" w:pos="4536"/>
          <w:tab w:val="right" w:pos="9072"/>
        </w:tabs>
        <w:rPr>
          <w:rFonts w:ascii="Arial" w:eastAsia="MS Mincho" w:hAnsi="Arial" w:cs="Arial"/>
          <w:b/>
          <w:bCs/>
          <w:sz w:val="28"/>
          <w:lang w:eastAsia="ja-JP"/>
        </w:rPr>
      </w:pPr>
      <w:r w:rsidRPr="00263E56">
        <w:rPr>
          <w:rFonts w:ascii="Arial" w:eastAsia="MS Mincho" w:hAnsi="Arial" w:cs="Arial"/>
          <w:b/>
          <w:bCs/>
          <w:sz w:val="28"/>
          <w:lang w:eastAsia="ja-JP"/>
        </w:rPr>
        <w:t>Maastricht</w:t>
      </w:r>
      <w:r w:rsidRPr="000C64B4">
        <w:rPr>
          <w:rFonts w:ascii="Arial" w:eastAsia="MS Mincho" w:hAnsi="Arial" w:cs="Arial"/>
          <w:b/>
          <w:bCs/>
          <w:sz w:val="28"/>
          <w:lang w:eastAsia="ja-JP"/>
        </w:rPr>
        <w:t xml:space="preserve">, </w:t>
      </w:r>
      <w:r>
        <w:rPr>
          <w:rFonts w:ascii="Arial" w:eastAsia="MS Mincho" w:hAnsi="Arial" w:cs="Arial"/>
          <w:b/>
          <w:bCs/>
          <w:sz w:val="28"/>
          <w:lang w:eastAsia="ja-JP"/>
        </w:rPr>
        <w:t>NL, August 19</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w:t>
      </w:r>
      <w:r w:rsidRPr="0032415B">
        <w:rPr>
          <w:rFonts w:ascii="Arial" w:hAnsi="Arial" w:cs="Arial"/>
          <w:b/>
          <w:bCs/>
          <w:sz w:val="28"/>
        </w:rPr>
        <w:t>–</w:t>
      </w:r>
      <w:r>
        <w:rPr>
          <w:rFonts w:ascii="Arial" w:hAnsi="Arial" w:cs="Arial"/>
          <w:b/>
          <w:bCs/>
          <w:sz w:val="28"/>
        </w:rPr>
        <w:t xml:space="preserve"> 23</w:t>
      </w:r>
      <w:r w:rsidRPr="00F30A58">
        <w:rPr>
          <w:rFonts w:ascii="Arial" w:hAnsi="Arial" w:cs="Arial"/>
          <w:b/>
          <w:bCs/>
          <w:sz w:val="28"/>
          <w:vertAlign w:val="superscript"/>
        </w:rPr>
        <w:t>rd</w:t>
      </w:r>
      <w:r>
        <w:rPr>
          <w:rFonts w:ascii="Arial" w:eastAsia="MS Mincho" w:hAnsi="Arial" w:cs="Arial"/>
          <w:b/>
          <w:bCs/>
          <w:sz w:val="28"/>
          <w:lang w:eastAsia="ja-JP"/>
        </w:rPr>
        <w:t>, 2024</w:t>
      </w:r>
    </w:p>
    <w:p w14:paraId="30E02941" w14:textId="28C28F02" w:rsidR="0034111C" w:rsidRPr="008A290F" w:rsidRDefault="0034111C" w:rsidP="007A345E">
      <w:pPr>
        <w:pStyle w:val="CRCoverPage"/>
        <w:spacing w:after="0"/>
        <w:contextualSpacing/>
        <w:jc w:val="both"/>
        <w:rPr>
          <w:rFonts w:cs="Arial"/>
          <w:b/>
          <w:bCs/>
          <w:sz w:val="24"/>
          <w:szCs w:val="24"/>
          <w:lang w:eastAsia="ja-JP"/>
        </w:rPr>
      </w:pPr>
      <w:r w:rsidRPr="008A290F">
        <w:rPr>
          <w:rFonts w:cs="Arial"/>
          <w:b/>
          <w:bCs/>
          <w:sz w:val="24"/>
          <w:szCs w:val="24"/>
        </w:rPr>
        <w:t>Agenda item:</w:t>
      </w:r>
      <w:r w:rsidRPr="008A290F">
        <w:rPr>
          <w:rFonts w:cs="Arial"/>
          <w:b/>
          <w:bCs/>
          <w:sz w:val="24"/>
        </w:rPr>
        <w:tab/>
      </w:r>
      <w:r w:rsidRPr="008A290F">
        <w:rPr>
          <w:rFonts w:cs="Arial"/>
          <w:b/>
          <w:bCs/>
          <w:sz w:val="24"/>
        </w:rPr>
        <w:tab/>
      </w:r>
      <w:r w:rsidR="00675EB7" w:rsidRPr="008A290F">
        <w:rPr>
          <w:rFonts w:cs="Arial"/>
          <w:b/>
          <w:bCs/>
          <w:sz w:val="24"/>
          <w:szCs w:val="24"/>
        </w:rPr>
        <w:t>9</w:t>
      </w:r>
      <w:r w:rsidR="00CC7843" w:rsidRPr="008A290F">
        <w:rPr>
          <w:rFonts w:cs="Arial"/>
          <w:b/>
          <w:bCs/>
          <w:sz w:val="24"/>
          <w:szCs w:val="24"/>
        </w:rPr>
        <w:t>.</w:t>
      </w:r>
      <w:r w:rsidR="00675EB7" w:rsidRPr="008A290F">
        <w:rPr>
          <w:rFonts w:cs="Arial"/>
          <w:b/>
          <w:bCs/>
          <w:sz w:val="24"/>
          <w:szCs w:val="24"/>
        </w:rPr>
        <w:t>3</w:t>
      </w:r>
      <w:r w:rsidR="00CC7843" w:rsidRPr="008A290F">
        <w:rPr>
          <w:rFonts w:cs="Arial"/>
          <w:b/>
          <w:bCs/>
          <w:sz w:val="24"/>
          <w:szCs w:val="24"/>
        </w:rPr>
        <w:t>.</w:t>
      </w:r>
      <w:r w:rsidR="00F622F2" w:rsidRPr="008A290F">
        <w:rPr>
          <w:rFonts w:cs="Arial"/>
          <w:b/>
          <w:bCs/>
          <w:sz w:val="24"/>
          <w:szCs w:val="24"/>
        </w:rPr>
        <w:t>1</w:t>
      </w:r>
    </w:p>
    <w:p w14:paraId="30E02942" w14:textId="4B6830AB" w:rsidR="00E128F2" w:rsidRPr="008A290F" w:rsidRDefault="0034111C" w:rsidP="007A345E">
      <w:pPr>
        <w:tabs>
          <w:tab w:val="left" w:pos="1985"/>
        </w:tabs>
        <w:spacing w:after="0"/>
        <w:ind w:left="1985" w:hanging="1985"/>
        <w:contextualSpacing/>
        <w:jc w:val="both"/>
        <w:rPr>
          <w:rFonts w:ascii="Arial" w:hAnsi="Arial" w:cs="Arial"/>
          <w:b/>
          <w:bCs/>
          <w:sz w:val="24"/>
          <w:szCs w:val="24"/>
        </w:rPr>
      </w:pPr>
      <w:r w:rsidRPr="008A290F">
        <w:rPr>
          <w:rFonts w:ascii="Arial" w:hAnsi="Arial" w:cs="Arial"/>
          <w:b/>
          <w:bCs/>
          <w:sz w:val="24"/>
          <w:szCs w:val="24"/>
        </w:rPr>
        <w:t>Source:</w:t>
      </w:r>
      <w:r w:rsidRPr="008A290F">
        <w:rPr>
          <w:rFonts w:ascii="Arial" w:hAnsi="Arial" w:cs="Arial"/>
          <w:b/>
          <w:bCs/>
          <w:sz w:val="24"/>
        </w:rPr>
        <w:tab/>
      </w:r>
      <w:r w:rsidR="00F07F6F" w:rsidRPr="008A290F">
        <w:rPr>
          <w:rFonts w:ascii="Arial" w:hAnsi="Arial" w:cs="Arial"/>
          <w:b/>
          <w:bCs/>
          <w:sz w:val="24"/>
          <w:szCs w:val="24"/>
        </w:rPr>
        <w:t>MediaTek Inc.</w:t>
      </w:r>
    </w:p>
    <w:p w14:paraId="30E02943" w14:textId="774D77FC" w:rsidR="0034111C" w:rsidRPr="008A290F" w:rsidRDefault="0034111C" w:rsidP="00884C56">
      <w:pPr>
        <w:spacing w:after="0"/>
        <w:ind w:left="1985" w:hanging="1985"/>
        <w:contextualSpacing/>
        <w:jc w:val="both"/>
        <w:rPr>
          <w:rFonts w:ascii="Arial" w:hAnsi="Arial" w:cs="Arial"/>
          <w:b/>
          <w:bCs/>
          <w:sz w:val="24"/>
          <w:szCs w:val="24"/>
        </w:rPr>
      </w:pPr>
      <w:r w:rsidRPr="008A290F">
        <w:rPr>
          <w:rFonts w:ascii="Arial" w:hAnsi="Arial" w:cs="Arial"/>
          <w:b/>
          <w:bCs/>
          <w:sz w:val="24"/>
          <w:szCs w:val="24"/>
        </w:rPr>
        <w:t>Title:</w:t>
      </w:r>
      <w:r w:rsidRPr="008A290F">
        <w:rPr>
          <w:rFonts w:ascii="Arial" w:hAnsi="Arial" w:cs="Arial"/>
          <w:b/>
          <w:bCs/>
          <w:sz w:val="24"/>
        </w:rPr>
        <w:tab/>
      </w:r>
      <w:r w:rsidR="00884C56" w:rsidRPr="008A290F">
        <w:rPr>
          <w:rFonts w:ascii="Arial" w:hAnsi="Arial" w:cs="Arial"/>
          <w:b/>
          <w:bCs/>
          <w:sz w:val="24"/>
        </w:rPr>
        <w:t>Discussion</w:t>
      </w:r>
      <w:r w:rsidR="00F622F2" w:rsidRPr="008A290F">
        <w:rPr>
          <w:rFonts w:ascii="Arial" w:hAnsi="Arial" w:cs="Arial"/>
          <w:b/>
          <w:bCs/>
          <w:sz w:val="24"/>
        </w:rPr>
        <w:t xml:space="preserve"> </w:t>
      </w:r>
      <w:r w:rsidR="00F622F2" w:rsidRPr="008A290F">
        <w:rPr>
          <w:rFonts w:ascii="Arial" w:hAnsi="Arial" w:cs="Arial"/>
          <w:b/>
          <w:bCs/>
          <w:sz w:val="24"/>
          <w:szCs w:val="24"/>
        </w:rPr>
        <w:t>on SBFD TX/RX/measurement procedures</w:t>
      </w:r>
    </w:p>
    <w:p w14:paraId="30E02944" w14:textId="27D4B30B" w:rsidR="0034111C" w:rsidRPr="008A290F" w:rsidRDefault="0034111C" w:rsidP="007A345E">
      <w:pPr>
        <w:spacing w:after="0"/>
        <w:contextualSpacing/>
        <w:jc w:val="both"/>
        <w:rPr>
          <w:rFonts w:ascii="Arial" w:hAnsi="Arial" w:cs="Arial"/>
          <w:b/>
          <w:bCs/>
          <w:sz w:val="24"/>
          <w:szCs w:val="24"/>
        </w:rPr>
      </w:pPr>
      <w:r w:rsidRPr="008A290F">
        <w:rPr>
          <w:rFonts w:ascii="Arial" w:hAnsi="Arial" w:cs="Arial"/>
          <w:b/>
          <w:bCs/>
          <w:sz w:val="24"/>
          <w:szCs w:val="24"/>
        </w:rPr>
        <w:t xml:space="preserve">Document </w:t>
      </w:r>
      <w:r w:rsidR="3E61DC49" w:rsidRPr="008A290F">
        <w:rPr>
          <w:rFonts w:ascii="Arial" w:hAnsi="Arial" w:cs="Arial"/>
          <w:b/>
          <w:bCs/>
          <w:sz w:val="24"/>
          <w:szCs w:val="24"/>
        </w:rPr>
        <w:t>for:</w:t>
      </w:r>
      <w:r w:rsidRPr="008A290F">
        <w:tab/>
      </w:r>
      <w:r w:rsidR="00220615" w:rsidRPr="008A290F">
        <w:tab/>
      </w:r>
      <w:r w:rsidRPr="008A290F">
        <w:rPr>
          <w:rFonts w:ascii="Arial" w:hAnsi="Arial" w:cs="Arial"/>
          <w:b/>
          <w:bCs/>
          <w:sz w:val="24"/>
          <w:szCs w:val="24"/>
        </w:rPr>
        <w:t>Discussion and Decision</w:t>
      </w:r>
    </w:p>
    <w:p w14:paraId="7CF7938E" w14:textId="633C7172" w:rsidR="00ED1327" w:rsidRPr="008A290F" w:rsidRDefault="00EE7FA7" w:rsidP="005D664D">
      <w:pPr>
        <w:pStyle w:val="1"/>
        <w:jc w:val="both"/>
      </w:pPr>
      <w:r w:rsidRPr="008A290F">
        <w:t>Introduction</w:t>
      </w:r>
    </w:p>
    <w:p w14:paraId="2D0F4ED8" w14:textId="7E7868F6" w:rsidR="00884C56" w:rsidRPr="008A290F" w:rsidRDefault="00884C56" w:rsidP="00884C56">
      <w:pPr>
        <w:pStyle w:val="a5"/>
        <w:tabs>
          <w:tab w:val="center" w:pos="4536"/>
          <w:tab w:val="right" w:pos="8280"/>
          <w:tab w:val="left" w:pos="9498"/>
          <w:tab w:val="right" w:pos="9781"/>
        </w:tabs>
        <w:spacing w:after="240"/>
        <w:ind w:right="-57"/>
        <w:jc w:val="both"/>
        <w:rPr>
          <w:rFonts w:ascii="Times New Roman" w:hAnsi="Times New Roman"/>
          <w:b w:val="0"/>
          <w:bCs/>
          <w:sz w:val="20"/>
          <w:lang w:val="en-GB" w:eastAsia="zh-TW"/>
        </w:rPr>
      </w:pPr>
      <w:r w:rsidRPr="008A290F">
        <w:rPr>
          <w:rFonts w:ascii="Times New Roman" w:hAnsi="Times New Roman"/>
          <w:b w:val="0"/>
          <w:bCs/>
          <w:sz w:val="20"/>
          <w:lang w:val="en-GB" w:eastAsia="zh-TW"/>
        </w:rPr>
        <w:t>The following is agreed as part of the scope of the Rel-19 WI on Evolution of NR Duplex Operation</w:t>
      </w:r>
      <w:r w:rsidR="00C53417">
        <w:rPr>
          <w:rFonts w:ascii="Times New Roman" w:hAnsi="Times New Roman"/>
          <w:b w:val="0"/>
          <w:bCs/>
          <w:sz w:val="20"/>
          <w:lang w:val="en-GB" w:eastAsia="zh-TW"/>
        </w:rPr>
        <w:t xml:space="preserve"> [1]</w:t>
      </w:r>
    </w:p>
    <w:tbl>
      <w:tblPr>
        <w:tblStyle w:val="afb"/>
        <w:tblW w:w="9781" w:type="dxa"/>
        <w:tblInd w:w="108" w:type="dxa"/>
        <w:tblLook w:val="04A0" w:firstRow="1" w:lastRow="0" w:firstColumn="1" w:lastColumn="0" w:noHBand="0" w:noVBand="1"/>
      </w:tblPr>
      <w:tblGrid>
        <w:gridCol w:w="9781"/>
      </w:tblGrid>
      <w:tr w:rsidR="00B64AA1" w:rsidRPr="008A290F" w14:paraId="3CBBBAA3" w14:textId="77777777" w:rsidTr="0023055C">
        <w:tc>
          <w:tcPr>
            <w:tcW w:w="9781" w:type="dxa"/>
          </w:tcPr>
          <w:p w14:paraId="605A8538" w14:textId="77777777" w:rsidR="00B64AA1" w:rsidRPr="008A290F" w:rsidRDefault="00B64AA1" w:rsidP="00FC0A9D">
            <w:pPr>
              <w:numPr>
                <w:ilvl w:val="0"/>
                <w:numId w:val="7"/>
              </w:numPr>
              <w:spacing w:after="0"/>
              <w:ind w:right="-99" w:hanging="357"/>
              <w:rPr>
                <w:rFonts w:eastAsia="Malgun Gothic"/>
                <w:lang w:eastAsia="ko-KR"/>
              </w:rPr>
            </w:pPr>
            <w:bookmarkStart w:id="2" w:name="_Hlk510705081"/>
            <w:r w:rsidRPr="008A290F">
              <w:rPr>
                <w:rFonts w:eastAsia="Malgun Gothic"/>
                <w:lang w:eastAsia="ko-KR"/>
              </w:rPr>
              <w:t>Specify semi-static indication of time location of SBFD subbands to UEs in RRC_CONNECTED mode [RAN1, RAN2]</w:t>
            </w:r>
          </w:p>
          <w:p w14:paraId="0BB597BA" w14:textId="77777777" w:rsidR="00B64AA1" w:rsidRPr="008A290F" w:rsidRDefault="00B64AA1" w:rsidP="00FC0A9D">
            <w:pPr>
              <w:numPr>
                <w:ilvl w:val="1"/>
                <w:numId w:val="7"/>
              </w:numPr>
              <w:overflowPunct/>
              <w:autoSpaceDE/>
              <w:autoSpaceDN/>
              <w:adjustRightInd/>
              <w:spacing w:after="0"/>
              <w:ind w:right="-99" w:hanging="357"/>
              <w:rPr>
                <w:rFonts w:eastAsia="Malgun Gothic"/>
                <w:lang w:eastAsia="ko-KR"/>
              </w:rPr>
            </w:pPr>
            <w:r w:rsidRPr="008A290F">
              <w:rPr>
                <w:rFonts w:eastAsia="Malgun Gothic"/>
                <w:lang w:eastAsia="ko-KR"/>
              </w:rPr>
              <w:t>Indication of time location of SBFD subbands in SIB is not precluded</w:t>
            </w:r>
          </w:p>
          <w:p w14:paraId="508A8101" w14:textId="77777777" w:rsidR="00B64AA1" w:rsidRPr="008A290F" w:rsidRDefault="00B64AA1" w:rsidP="00FC0A9D">
            <w:pPr>
              <w:numPr>
                <w:ilvl w:val="0"/>
                <w:numId w:val="7"/>
              </w:numPr>
              <w:overflowPunct/>
              <w:autoSpaceDE/>
              <w:autoSpaceDN/>
              <w:adjustRightInd/>
              <w:spacing w:after="0"/>
              <w:ind w:right="-99" w:hanging="357"/>
              <w:rPr>
                <w:rFonts w:eastAsia="Malgun Gothic"/>
                <w:lang w:eastAsia="ko-KR"/>
              </w:rPr>
            </w:pPr>
            <w:r w:rsidRPr="008A290F">
              <w:rPr>
                <w:rFonts w:eastAsia="Malgun Gothic"/>
                <w:lang w:eastAsia="ko-KR"/>
              </w:rPr>
              <w:t>Specify semi-static indication of frequency domain location of SBFD subbands to UEs in RRC_CONNECTED mode [RAN1, RAN2]</w:t>
            </w:r>
          </w:p>
          <w:p w14:paraId="6C83D34F" w14:textId="77777777" w:rsidR="00B64AA1" w:rsidRPr="008A290F" w:rsidRDefault="00B64AA1" w:rsidP="00FC0A9D">
            <w:pPr>
              <w:numPr>
                <w:ilvl w:val="1"/>
                <w:numId w:val="7"/>
              </w:numPr>
              <w:overflowPunct/>
              <w:autoSpaceDE/>
              <w:autoSpaceDN/>
              <w:adjustRightInd/>
              <w:spacing w:after="0"/>
              <w:ind w:right="-99" w:hanging="357"/>
              <w:rPr>
                <w:rFonts w:eastAsia="Malgun Gothic"/>
                <w:lang w:eastAsia="ko-KR"/>
              </w:rPr>
            </w:pPr>
            <w:r w:rsidRPr="008A290F">
              <w:rPr>
                <w:rFonts w:eastAsia="Malgun Gothic"/>
                <w:lang w:eastAsia="ko-KR"/>
              </w:rPr>
              <w:t>Indication of frequency domain location of SBFD subbands in SIB is not precluded</w:t>
            </w:r>
          </w:p>
          <w:p w14:paraId="184E76A3" w14:textId="77777777" w:rsidR="00B64AA1" w:rsidRPr="008A290F" w:rsidRDefault="00B64AA1" w:rsidP="00FC0A9D">
            <w:pPr>
              <w:numPr>
                <w:ilvl w:val="0"/>
                <w:numId w:val="7"/>
              </w:numPr>
              <w:overflowPunct/>
              <w:autoSpaceDE/>
              <w:autoSpaceDN/>
              <w:adjustRightInd/>
              <w:spacing w:after="0"/>
              <w:ind w:right="-99" w:hanging="357"/>
              <w:rPr>
                <w:rFonts w:eastAsia="Malgun Gothic"/>
                <w:lang w:eastAsia="ko-KR"/>
              </w:rPr>
            </w:pPr>
            <w:bookmarkStart w:id="3" w:name="_Hlk153407590"/>
            <w:r w:rsidRPr="008A290F">
              <w:rPr>
                <w:rFonts w:eastAsia="Malgun Gothic"/>
                <w:lang w:eastAsia="ko-KR"/>
              </w:rPr>
              <w:t xml:space="preserve">Specify UE transmission, reception and measurement </w:t>
            </w:r>
            <w:proofErr w:type="spellStart"/>
            <w:r w:rsidRPr="008A290F">
              <w:rPr>
                <w:rFonts w:eastAsia="Malgun Gothic"/>
                <w:lang w:eastAsia="ko-KR"/>
              </w:rPr>
              <w:t>behavior</w:t>
            </w:r>
            <w:proofErr w:type="spellEnd"/>
            <w:r w:rsidRPr="008A290F">
              <w:rPr>
                <w:rFonts w:eastAsia="Malgun Gothic"/>
                <w:lang w:eastAsia="ko-KR"/>
              </w:rPr>
              <w:t xml:space="preserve"> and procedures in SBFD symbols and/or non-SBFD symbols for SBFD aware UE [RAN1, RAN2]</w:t>
            </w:r>
          </w:p>
          <w:bookmarkEnd w:id="3"/>
          <w:p w14:paraId="152A054A" w14:textId="77777777" w:rsidR="00B64AA1" w:rsidRPr="008A290F" w:rsidRDefault="00B64AA1" w:rsidP="00FC0A9D">
            <w:pPr>
              <w:numPr>
                <w:ilvl w:val="1"/>
                <w:numId w:val="7"/>
              </w:numPr>
              <w:overflowPunct/>
              <w:autoSpaceDE/>
              <w:autoSpaceDN/>
              <w:adjustRightInd/>
              <w:spacing w:after="0"/>
              <w:ind w:right="-99" w:hanging="357"/>
              <w:rPr>
                <w:rFonts w:eastAsia="Malgun Gothic"/>
                <w:lang w:eastAsia="ko-KR"/>
              </w:rPr>
            </w:pPr>
            <w:r w:rsidRPr="008A290F">
              <w:rPr>
                <w:rFonts w:eastAsia="Malgun Gothic"/>
                <w:lang w:eastAsia="ko-KR"/>
              </w:rPr>
              <w:t xml:space="preserve">Transmission and reception behaviours on SBFD subbands configured in DL and/or flexible symbol indicated by </w:t>
            </w:r>
            <w:r w:rsidRPr="008A290F">
              <w:rPr>
                <w:rFonts w:eastAsia="Malgun Gothic"/>
                <w:i/>
                <w:iCs/>
                <w:lang w:eastAsia="ko-KR"/>
              </w:rPr>
              <w:t>TDD-UL-DL-ConfigCommon</w:t>
            </w:r>
          </w:p>
          <w:p w14:paraId="08199298" w14:textId="77777777" w:rsidR="00B64AA1" w:rsidRPr="008A290F" w:rsidRDefault="00B64AA1" w:rsidP="00FC0A9D">
            <w:pPr>
              <w:numPr>
                <w:ilvl w:val="1"/>
                <w:numId w:val="7"/>
              </w:numPr>
              <w:overflowPunct/>
              <w:autoSpaceDE/>
              <w:adjustRightInd/>
              <w:spacing w:after="0"/>
              <w:ind w:hanging="357"/>
              <w:rPr>
                <w:rFonts w:ascii="Times" w:hAnsi="Times" w:cs="Times"/>
                <w:iCs/>
                <w:lang w:eastAsia="ko-KR"/>
              </w:rPr>
            </w:pPr>
            <w:r w:rsidRPr="008A290F">
              <w:rPr>
                <w:rFonts w:eastAsia="Malgun Gothic"/>
                <w:lang w:eastAsia="ko-KR"/>
              </w:rPr>
              <w:t>Enhancement on resource allocation in frequency domain in SBFD symbols</w:t>
            </w:r>
          </w:p>
          <w:p w14:paraId="58199939" w14:textId="77777777" w:rsidR="00B64AA1" w:rsidRPr="008A290F" w:rsidRDefault="00B64AA1" w:rsidP="00FC0A9D">
            <w:pPr>
              <w:numPr>
                <w:ilvl w:val="1"/>
                <w:numId w:val="7"/>
              </w:numPr>
              <w:overflowPunct/>
              <w:autoSpaceDE/>
              <w:adjustRightInd/>
              <w:spacing w:after="0"/>
              <w:ind w:hanging="357"/>
              <w:rPr>
                <w:rFonts w:ascii="Times" w:hAnsi="Times" w:cs="Times"/>
                <w:iCs/>
                <w:lang w:eastAsia="ko-KR"/>
              </w:rPr>
            </w:pPr>
            <w:r w:rsidRPr="008A290F">
              <w:rPr>
                <w:rFonts w:eastAsia="Malgun Gothic"/>
                <w:lang w:eastAsia="ko-KR"/>
              </w:rPr>
              <w:t>Enhancements on physical channels/signals and procedure across SBFD symbols and non-SBFD symbols in different slots, where each transmission/reception within a slot has either all SBFD or all non-SBFD symbols</w:t>
            </w:r>
          </w:p>
          <w:p w14:paraId="69180EE6" w14:textId="77777777" w:rsidR="00B64AA1" w:rsidRPr="008A290F" w:rsidRDefault="00B64AA1" w:rsidP="00FC0A9D">
            <w:pPr>
              <w:numPr>
                <w:ilvl w:val="1"/>
                <w:numId w:val="7"/>
              </w:numPr>
              <w:overflowPunct/>
              <w:autoSpaceDE/>
              <w:autoSpaceDN/>
              <w:adjustRightInd/>
              <w:spacing w:after="0"/>
              <w:ind w:right="-99" w:hanging="357"/>
              <w:rPr>
                <w:rFonts w:eastAsia="Malgun Gothic"/>
                <w:lang w:eastAsia="ko-KR"/>
              </w:rPr>
            </w:pPr>
            <w:r w:rsidRPr="008A290F">
              <w:rPr>
                <w:rFonts w:eastAsia="Malgun Gothic"/>
                <w:lang w:eastAsia="ko-KR"/>
              </w:rPr>
              <w:t>Configurations for SRS, PUCCH and PUSCH on SBFD symbols and non-SBFD symbols, e.g., resources, frequency hopping parameters, UL power control parameters and/or beam/spatial relation</w:t>
            </w:r>
          </w:p>
          <w:p w14:paraId="5B007CAC" w14:textId="77777777" w:rsidR="00B64AA1" w:rsidRPr="008A290F" w:rsidRDefault="00B64AA1" w:rsidP="00FC0A9D">
            <w:pPr>
              <w:numPr>
                <w:ilvl w:val="1"/>
                <w:numId w:val="7"/>
              </w:numPr>
              <w:overflowPunct/>
              <w:autoSpaceDE/>
              <w:autoSpaceDN/>
              <w:adjustRightInd/>
              <w:spacing w:after="0"/>
              <w:ind w:right="-99" w:hanging="357"/>
              <w:rPr>
                <w:rFonts w:eastAsia="Malgun Gothic"/>
                <w:lang w:eastAsia="ko-KR"/>
              </w:rPr>
            </w:pPr>
            <w:r w:rsidRPr="008A290F">
              <w:rPr>
                <w:rFonts w:eastAsia="Malgun Gothic"/>
                <w:lang w:eastAsia="ko-KR"/>
              </w:rPr>
              <w:t>Collision handling between DL reception in DL subband(s) and UL transmission in UL subband in a SBFD symbol</w:t>
            </w:r>
          </w:p>
        </w:tc>
      </w:tr>
    </w:tbl>
    <w:bookmarkEnd w:id="2"/>
    <w:p w14:paraId="5FBC0092" w14:textId="75C2A9B9" w:rsidR="00B64AA1" w:rsidRPr="008A290F" w:rsidRDefault="00B64AA1" w:rsidP="008B44C8">
      <w:pPr>
        <w:pStyle w:val="a5"/>
        <w:tabs>
          <w:tab w:val="center" w:pos="4536"/>
          <w:tab w:val="right" w:pos="8280"/>
          <w:tab w:val="left" w:pos="9498"/>
          <w:tab w:val="right" w:pos="9781"/>
        </w:tabs>
        <w:spacing w:before="120"/>
        <w:ind w:right="-57"/>
        <w:jc w:val="both"/>
        <w:rPr>
          <w:rFonts w:ascii="Times New Roman" w:hAnsi="Times New Roman"/>
          <w:b w:val="0"/>
          <w:bCs/>
          <w:sz w:val="20"/>
          <w:lang w:val="en-GB" w:eastAsia="zh-TW"/>
        </w:rPr>
      </w:pPr>
      <w:r w:rsidRPr="008A290F">
        <w:rPr>
          <w:rFonts w:ascii="Times New Roman" w:hAnsi="Times New Roman"/>
          <w:b w:val="0"/>
          <w:bCs/>
          <w:sz w:val="20"/>
          <w:lang w:val="en-GB" w:eastAsia="zh-TW"/>
        </w:rPr>
        <w:t>In th</w:t>
      </w:r>
      <w:r w:rsidR="006F29BE">
        <w:rPr>
          <w:rFonts w:ascii="Times New Roman" w:hAnsi="Times New Roman"/>
          <w:b w:val="0"/>
          <w:bCs/>
          <w:sz w:val="20"/>
          <w:lang w:val="en-GB" w:eastAsia="zh-TW"/>
        </w:rPr>
        <w:t>is</w:t>
      </w:r>
      <w:r w:rsidRPr="008A290F">
        <w:rPr>
          <w:rFonts w:ascii="Times New Roman" w:hAnsi="Times New Roman"/>
          <w:b w:val="0"/>
          <w:bCs/>
          <w:sz w:val="20"/>
          <w:lang w:val="en-GB" w:eastAsia="zh-TW"/>
        </w:rPr>
        <w:t xml:space="preserve"> contribution, we discuss semi-static indication of time/freqeuncy location of SBFD subbands. In addition, we discuss transmission/reception behaviour of SBFD-aware UE in SBFD symbols, including enhancements to frequency domain resource allocation for various PHY channels/signals. </w:t>
      </w:r>
    </w:p>
    <w:p w14:paraId="10445A01" w14:textId="13CC1BA3" w:rsidR="00885580" w:rsidRPr="008A290F" w:rsidRDefault="002B609D" w:rsidP="005D664D">
      <w:pPr>
        <w:pStyle w:val="1"/>
        <w:ind w:left="431" w:hanging="431"/>
        <w:jc w:val="both"/>
      </w:pPr>
      <w:r w:rsidRPr="008A290F">
        <w:t>Discussion</w:t>
      </w:r>
    </w:p>
    <w:p w14:paraId="364BE618" w14:textId="6CBD2F6E" w:rsidR="0026791F" w:rsidRPr="008A290F" w:rsidRDefault="00533047" w:rsidP="0026791F">
      <w:pPr>
        <w:pStyle w:val="2"/>
        <w:jc w:val="both"/>
      </w:pPr>
      <w:r w:rsidRPr="008A290F">
        <w:t>Cell</w:t>
      </w:r>
      <w:r w:rsidR="0026791F" w:rsidRPr="008A290F">
        <w:t>-s</w:t>
      </w:r>
      <w:r w:rsidRPr="008A290F">
        <w:t xml:space="preserve">pecific </w:t>
      </w:r>
      <w:r w:rsidR="00460BD2" w:rsidRPr="008A290F">
        <w:t xml:space="preserve">Indication </w:t>
      </w:r>
      <w:r w:rsidRPr="008A290F">
        <w:t xml:space="preserve">of </w:t>
      </w:r>
      <w:r w:rsidR="00497BAB" w:rsidRPr="008A290F">
        <w:t xml:space="preserve">SBFD </w:t>
      </w:r>
      <w:r w:rsidRPr="008A290F">
        <w:t>Subbands</w:t>
      </w:r>
      <w:r w:rsidR="0026791F" w:rsidRPr="008A290F">
        <w:t xml:space="preserve"> </w:t>
      </w:r>
    </w:p>
    <w:p w14:paraId="03812DB6" w14:textId="5663649A" w:rsidR="0026791F" w:rsidRPr="008A290F" w:rsidRDefault="0026791F" w:rsidP="0026791F">
      <w:pPr>
        <w:jc w:val="both"/>
      </w:pPr>
      <w:r w:rsidRPr="008A290F">
        <w:rPr>
          <w:rStyle w:val="ui-provider"/>
        </w:rPr>
        <w:t>In this section</w:t>
      </w:r>
      <w:r w:rsidR="008101EA" w:rsidRPr="008A290F">
        <w:rPr>
          <w:rStyle w:val="ui-provider"/>
        </w:rPr>
        <w:t xml:space="preserve">, we provide our views on </w:t>
      </w:r>
      <w:r w:rsidR="00460BD2" w:rsidRPr="008A290F">
        <w:rPr>
          <w:rStyle w:val="ui-provider"/>
        </w:rPr>
        <w:t xml:space="preserve">cell-specific </w:t>
      </w:r>
      <w:r w:rsidRPr="008A290F">
        <w:rPr>
          <w:rStyle w:val="ui-provider"/>
        </w:rPr>
        <w:t>indication of time</w:t>
      </w:r>
      <w:r w:rsidR="008101EA" w:rsidRPr="008A290F">
        <w:rPr>
          <w:rStyle w:val="ui-provider"/>
        </w:rPr>
        <w:t xml:space="preserve"> and frequency</w:t>
      </w:r>
      <w:r w:rsidRPr="008A290F">
        <w:rPr>
          <w:rStyle w:val="ui-provider"/>
        </w:rPr>
        <w:t xml:space="preserve"> location o</w:t>
      </w:r>
      <w:r w:rsidR="008101EA" w:rsidRPr="008A290F">
        <w:rPr>
          <w:rStyle w:val="ui-provider"/>
        </w:rPr>
        <w:t>f</w:t>
      </w:r>
      <w:r w:rsidRPr="008A290F">
        <w:rPr>
          <w:rStyle w:val="ui-provider"/>
        </w:rPr>
        <w:t xml:space="preserve"> SBFD subbands in RRC_CONNECTED mode.</w:t>
      </w:r>
      <w:r w:rsidR="00460BD2" w:rsidRPr="008A290F">
        <w:rPr>
          <w:rStyle w:val="ui-provider"/>
        </w:rPr>
        <w:t xml:space="preserve"> </w:t>
      </w:r>
    </w:p>
    <w:p w14:paraId="7986AF91" w14:textId="4283A773" w:rsidR="00533047" w:rsidRPr="008A290F" w:rsidRDefault="00533047" w:rsidP="00533047">
      <w:pPr>
        <w:pStyle w:val="3"/>
        <w:jc w:val="both"/>
      </w:pPr>
      <w:r w:rsidRPr="008A290F">
        <w:t xml:space="preserve">Cell-specific </w:t>
      </w:r>
      <w:r w:rsidR="00497BAB" w:rsidRPr="008A290F">
        <w:t>Indication</w:t>
      </w:r>
      <w:r w:rsidRPr="008A290F">
        <w:t xml:space="preserve"> of Time Location of SBFD Subbands</w:t>
      </w:r>
    </w:p>
    <w:p w14:paraId="2DBFFB49" w14:textId="50151C86" w:rsidR="006B5047" w:rsidRPr="008A290F" w:rsidRDefault="006B5047" w:rsidP="006B5047">
      <w:pPr>
        <w:jc w:val="both"/>
      </w:pPr>
      <w:r w:rsidRPr="008A290F">
        <w:t xml:space="preserve">In legacy TDD operation, the network provides cell-specific TDD configuration to UEs using the higher layer parameter </w:t>
      </w:r>
      <w:r w:rsidRPr="008A290F">
        <w:rPr>
          <w:rFonts w:eastAsia="Malgun Gothic"/>
          <w:i/>
          <w:iCs/>
          <w:lang w:eastAsia="ko-KR"/>
        </w:rPr>
        <w:t xml:space="preserve">tdd-UL-DL-ConfigurationCommon, </w:t>
      </w:r>
      <w:r w:rsidRPr="008A290F">
        <w:rPr>
          <w:rFonts w:eastAsia="Malgun Gothic"/>
          <w:lang w:eastAsia="ko-KR"/>
        </w:rPr>
        <w:t>which</w:t>
      </w:r>
      <w:r w:rsidRPr="008A290F">
        <w:t xml:space="preserve"> indicates the time location of downlink</w:t>
      </w:r>
      <w:r w:rsidR="005F1EAA">
        <w:t xml:space="preserve"> (DL)</w:t>
      </w:r>
      <w:r w:rsidRPr="008A290F">
        <w:t>, flexible</w:t>
      </w:r>
      <w:r w:rsidR="005F1EAA">
        <w:t xml:space="preserve"> (F)</w:t>
      </w:r>
      <w:r w:rsidRPr="008A290F">
        <w:t xml:space="preserve"> and uplink</w:t>
      </w:r>
      <w:r w:rsidR="005F1EAA">
        <w:t xml:space="preserve"> (UL)</w:t>
      </w:r>
      <w:r w:rsidRPr="008A290F">
        <w:t xml:space="preserve"> slots</w:t>
      </w:r>
      <w:r w:rsidR="00610578">
        <w:t>/symbols</w:t>
      </w:r>
      <w:r w:rsidRPr="008A290F">
        <w:t xml:space="preserve">. This parameter is configured in </w:t>
      </w:r>
      <w:r w:rsidRPr="008A290F">
        <w:rPr>
          <w:i/>
          <w:iCs/>
        </w:rPr>
        <w:t xml:space="preserve">ServingCellConfigCommonSIB </w:t>
      </w:r>
      <w:r w:rsidRPr="008A290F">
        <w:t xml:space="preserve">for the UE’s primary serving cell and in </w:t>
      </w:r>
      <w:r w:rsidRPr="008A290F">
        <w:rPr>
          <w:i/>
          <w:iCs/>
        </w:rPr>
        <w:t xml:space="preserve">ServingCellConfigCommon </w:t>
      </w:r>
      <w:r w:rsidRPr="008A290F">
        <w:t>for the UE’s other serving cells. The same parameter can be used to indicate the time location</w:t>
      </w:r>
      <w:r w:rsidR="00A57587">
        <w:t xml:space="preserve"> of</w:t>
      </w:r>
      <w:r w:rsidRPr="008A290F">
        <w:t xml:space="preserve"> </w:t>
      </w:r>
      <w:r w:rsidR="00152184">
        <w:t>DL</w:t>
      </w:r>
      <w:r w:rsidRPr="008A290F">
        <w:t xml:space="preserve">, </w:t>
      </w:r>
      <w:r w:rsidR="00152184">
        <w:t>F</w:t>
      </w:r>
      <w:r w:rsidRPr="008A290F">
        <w:t xml:space="preserve"> and </w:t>
      </w:r>
      <w:r w:rsidR="00152184">
        <w:t>UL</w:t>
      </w:r>
      <w:r w:rsidRPr="008A290F">
        <w:t xml:space="preserve"> slots</w:t>
      </w:r>
      <w:r w:rsidR="00610578">
        <w:t>/symbols</w:t>
      </w:r>
      <w:r w:rsidRPr="008A290F">
        <w:t xml:space="preserve"> to a SBFD aware UE.</w:t>
      </w:r>
    </w:p>
    <w:p w14:paraId="18D14815" w14:textId="0629C005" w:rsidR="006B5047" w:rsidRPr="008A290F" w:rsidRDefault="006B5047" w:rsidP="006B5047">
      <w:pPr>
        <w:jc w:val="both"/>
      </w:pPr>
      <w:r w:rsidRPr="008A290F">
        <w:rPr>
          <w:rFonts w:eastAsia="Malgun Gothic"/>
          <w:lang w:eastAsia="ko-KR"/>
        </w:rPr>
        <w:t xml:space="preserve">However, an additional cell-specific parameter </w:t>
      </w:r>
      <w:r w:rsidRPr="008A290F">
        <w:t xml:space="preserve">(e.g., </w:t>
      </w:r>
      <w:r w:rsidRPr="008A290F">
        <w:rPr>
          <w:rFonts w:eastAsia="Malgun Gothic"/>
          <w:i/>
          <w:iCs/>
          <w:lang w:eastAsia="ko-KR"/>
        </w:rPr>
        <w:t>SBFD-ConfigurationCommon</w:t>
      </w:r>
      <w:r w:rsidRPr="008A290F">
        <w:t>)</w:t>
      </w:r>
      <w:r w:rsidRPr="008A290F">
        <w:rPr>
          <w:rFonts w:eastAsia="Malgun Gothic"/>
          <w:lang w:eastAsia="ko-KR"/>
        </w:rPr>
        <w:t xml:space="preserve"> is required to indicate the time location of SBFD subbands (i.e., the location of SBFD slots/symbols) to a SBFD-aware UE. The new </w:t>
      </w:r>
      <w:r w:rsidR="00FA00AF" w:rsidRPr="008A290F">
        <w:rPr>
          <w:rFonts w:eastAsia="Malgun Gothic"/>
          <w:lang w:eastAsia="ko-KR"/>
        </w:rPr>
        <w:t>cell-specific</w:t>
      </w:r>
      <w:r w:rsidRPr="008A290F">
        <w:rPr>
          <w:rFonts w:eastAsia="Malgun Gothic"/>
          <w:lang w:eastAsia="ko-KR"/>
        </w:rPr>
        <w:t xml:space="preserve"> parameter </w:t>
      </w:r>
      <w:r w:rsidR="00FA00AF" w:rsidRPr="008A290F">
        <w:rPr>
          <w:rFonts w:eastAsia="Malgun Gothic"/>
          <w:lang w:eastAsia="ko-KR"/>
        </w:rPr>
        <w:t>can</w:t>
      </w:r>
      <w:r w:rsidRPr="008A290F">
        <w:rPr>
          <w:rFonts w:eastAsia="Malgun Gothic"/>
          <w:lang w:eastAsia="ko-KR"/>
        </w:rPr>
        <w:t xml:space="preserve"> provide additional information on which slots – configured by </w:t>
      </w:r>
      <w:r w:rsidR="00FA00AF" w:rsidRPr="008A290F">
        <w:rPr>
          <w:rFonts w:eastAsia="Malgun Gothic"/>
          <w:i/>
          <w:iCs/>
          <w:lang w:eastAsia="ko-KR"/>
        </w:rPr>
        <w:t>tdd-UL-DL-ConfigurationCommon</w:t>
      </w:r>
      <w:r w:rsidR="00FA00AF" w:rsidRPr="008A290F">
        <w:rPr>
          <w:rFonts w:eastAsia="Malgun Gothic"/>
          <w:lang w:eastAsia="ko-KR"/>
        </w:rPr>
        <w:t xml:space="preserve"> </w:t>
      </w:r>
      <w:r w:rsidRPr="008A290F">
        <w:rPr>
          <w:rFonts w:eastAsia="Malgun Gothic"/>
          <w:lang w:eastAsia="ko-KR"/>
        </w:rPr>
        <w:t xml:space="preserve">– are SBFD slots and non-SBFD slots. Like the TDD case, the new parameter can be provided within </w:t>
      </w:r>
      <w:r w:rsidRPr="008A290F">
        <w:rPr>
          <w:i/>
          <w:iCs/>
        </w:rPr>
        <w:t xml:space="preserve">ServingCellConfigCommonSIB </w:t>
      </w:r>
      <w:r w:rsidRPr="008A290F">
        <w:t>and/or</w:t>
      </w:r>
      <w:r w:rsidRPr="008A290F">
        <w:rPr>
          <w:i/>
          <w:iCs/>
        </w:rPr>
        <w:t xml:space="preserve"> ServingCellConfigCommon</w:t>
      </w:r>
      <w:r w:rsidRPr="008A290F">
        <w:t xml:space="preserve">. </w:t>
      </w:r>
    </w:p>
    <w:p w14:paraId="34F8BB5E" w14:textId="0D9BED95" w:rsidR="001D04AA" w:rsidRPr="008A290F" w:rsidRDefault="00EC3C94" w:rsidP="002754F5">
      <w:pPr>
        <w:jc w:val="both"/>
        <w:rPr>
          <w:lang w:eastAsia="en-US"/>
        </w:rPr>
      </w:pPr>
      <w:r w:rsidRPr="008A290F">
        <w:rPr>
          <w:lang w:eastAsia="en-US"/>
        </w:rPr>
        <w:t>In RAN1#116 it was agreed that for semi-static indication of subband time location, SBFD symbols are configured in a consecutive manner within a TDD pattern period.</w:t>
      </w:r>
      <w:r w:rsidR="0069493B" w:rsidRPr="008A290F">
        <w:rPr>
          <w:lang w:eastAsia="en-US"/>
        </w:rPr>
        <w:t xml:space="preserve"> Following this agreement, the cell-specific parameter to indicate time </w:t>
      </w:r>
      <w:r w:rsidR="0069493B" w:rsidRPr="008A290F">
        <w:rPr>
          <w:lang w:eastAsia="en-US"/>
        </w:rPr>
        <w:lastRenderedPageBreak/>
        <w:t xml:space="preserve">location of subband can be configured </w:t>
      </w:r>
      <w:r w:rsidR="007B2366">
        <w:rPr>
          <w:lang w:eastAsia="en-US"/>
        </w:rPr>
        <w:t>using two pairs</w:t>
      </w:r>
      <w:r w:rsidR="0069493B" w:rsidRPr="008A290F">
        <w:rPr>
          <w:lang w:eastAsia="en-US"/>
        </w:rPr>
        <w:t xml:space="preserve"> of integer values. </w:t>
      </w:r>
      <w:r w:rsidR="007B2366">
        <w:rPr>
          <w:lang w:eastAsia="en-US"/>
        </w:rPr>
        <w:t>A first</w:t>
      </w:r>
      <w:r w:rsidR="0069493B" w:rsidRPr="008A290F">
        <w:rPr>
          <w:lang w:eastAsia="en-US"/>
        </w:rPr>
        <w:t xml:space="preserve"> pair of integer values </w:t>
      </w:r>
      <w:r w:rsidR="008532BD">
        <w:rPr>
          <w:lang w:eastAsia="en-US"/>
        </w:rPr>
        <w:t>is</w:t>
      </w:r>
      <w:r w:rsidR="0069493B" w:rsidRPr="008A290F">
        <w:rPr>
          <w:lang w:eastAsia="en-US"/>
        </w:rPr>
        <w:t xml:space="preserve"> used to indicate the time location of the first and last slots within a TDD pattern which contain SBFD symbols</w:t>
      </w:r>
      <w:r w:rsidR="001D04AA" w:rsidRPr="008A290F">
        <w:rPr>
          <w:lang w:eastAsia="en-US"/>
        </w:rPr>
        <w:t xml:space="preserve">. </w:t>
      </w:r>
      <w:r w:rsidR="0055492A" w:rsidRPr="008A290F">
        <w:rPr>
          <w:lang w:eastAsia="en-US"/>
        </w:rPr>
        <w:fldChar w:fldCharType="begin"/>
      </w:r>
      <w:r w:rsidR="0055492A" w:rsidRPr="008A290F">
        <w:rPr>
          <w:lang w:eastAsia="en-US"/>
        </w:rPr>
        <w:instrText xml:space="preserve"> REF _Ref163134086 \h </w:instrText>
      </w:r>
      <w:r w:rsidR="0055492A" w:rsidRPr="008A290F">
        <w:rPr>
          <w:lang w:eastAsia="en-US"/>
        </w:rPr>
      </w:r>
      <w:r w:rsidR="0055492A" w:rsidRPr="008A290F">
        <w:rPr>
          <w:lang w:eastAsia="en-US"/>
        </w:rPr>
        <w:fldChar w:fldCharType="separate"/>
      </w:r>
      <w:r w:rsidR="00D77008" w:rsidRPr="008A290F">
        <w:rPr>
          <w:bdr w:val="none" w:sz="0" w:space="0" w:color="auto" w:frame="1"/>
        </w:rPr>
        <w:t xml:space="preserve">Figure </w:t>
      </w:r>
      <w:r w:rsidR="00D77008">
        <w:rPr>
          <w:noProof/>
        </w:rPr>
        <w:t>1</w:t>
      </w:r>
      <w:r w:rsidR="0055492A" w:rsidRPr="008A290F">
        <w:rPr>
          <w:lang w:eastAsia="en-US"/>
        </w:rPr>
        <w:fldChar w:fldCharType="end"/>
      </w:r>
      <w:r w:rsidR="001D04AA" w:rsidRPr="008A290F">
        <w:rPr>
          <w:lang w:eastAsia="en-US"/>
        </w:rPr>
        <w:t xml:space="preserve"> shows an example in which </w:t>
      </w:r>
      <w:r w:rsidR="001D04AA" w:rsidRPr="0040388D">
        <w:rPr>
          <w:b/>
          <w:bCs/>
          <w:i/>
          <w:iCs/>
          <w:lang w:eastAsia="en-US"/>
        </w:rPr>
        <w:t>slot#1</w:t>
      </w:r>
      <w:r w:rsidR="001D04AA" w:rsidRPr="008A290F">
        <w:rPr>
          <w:lang w:eastAsia="en-US"/>
        </w:rPr>
        <w:t xml:space="preserve"> is indicated as the first slot with SBFD symbols (</w:t>
      </w:r>
      <w:r w:rsidR="0040388D">
        <w:rPr>
          <w:lang w:eastAsia="en-US"/>
        </w:rPr>
        <w:t xml:space="preserve">i.e., </w:t>
      </w:r>
      <w:r w:rsidR="001D04AA" w:rsidRPr="0040388D">
        <w:rPr>
          <w:b/>
          <w:bCs/>
          <w:i/>
          <w:iCs/>
          <w:lang w:eastAsia="en-US"/>
        </w:rPr>
        <w:t>startSlot</w:t>
      </w:r>
      <w:r w:rsidR="001D04AA" w:rsidRPr="008A290F">
        <w:rPr>
          <w:lang w:eastAsia="en-US"/>
        </w:rPr>
        <w:t>)</w:t>
      </w:r>
      <w:r w:rsidR="0069493B" w:rsidRPr="008A290F">
        <w:rPr>
          <w:lang w:eastAsia="en-US"/>
        </w:rPr>
        <w:t xml:space="preserve"> </w:t>
      </w:r>
      <w:r w:rsidR="001D04AA" w:rsidRPr="008A290F">
        <w:rPr>
          <w:lang w:eastAsia="en-US"/>
        </w:rPr>
        <w:t xml:space="preserve">and </w:t>
      </w:r>
      <w:r w:rsidR="001D04AA" w:rsidRPr="0040388D">
        <w:rPr>
          <w:b/>
          <w:bCs/>
          <w:i/>
          <w:iCs/>
          <w:lang w:eastAsia="en-US"/>
        </w:rPr>
        <w:t>slot#3</w:t>
      </w:r>
      <w:r w:rsidR="001D04AA" w:rsidRPr="008A290F">
        <w:rPr>
          <w:lang w:eastAsia="en-US"/>
        </w:rPr>
        <w:t xml:space="preserve"> is indicated as the last slot with SBFD symbols (</w:t>
      </w:r>
      <w:r w:rsidR="0040388D">
        <w:rPr>
          <w:lang w:eastAsia="en-US"/>
        </w:rPr>
        <w:t xml:space="preserve">i.e., </w:t>
      </w:r>
      <w:r w:rsidR="001D04AA" w:rsidRPr="0040388D">
        <w:rPr>
          <w:b/>
          <w:bCs/>
          <w:i/>
          <w:iCs/>
          <w:lang w:eastAsia="en-US"/>
        </w:rPr>
        <w:t>endSlot</w:t>
      </w:r>
      <w:r w:rsidR="001D04AA" w:rsidRPr="008A290F">
        <w:rPr>
          <w:lang w:eastAsia="en-US"/>
        </w:rPr>
        <w:t>)</w:t>
      </w:r>
      <w:r w:rsidR="0069493B" w:rsidRPr="008A290F">
        <w:rPr>
          <w:lang w:eastAsia="en-US"/>
        </w:rPr>
        <w:t>.</w:t>
      </w:r>
      <w:r w:rsidR="001D04AA" w:rsidRPr="008A290F">
        <w:rPr>
          <w:lang w:eastAsia="en-US"/>
        </w:rPr>
        <w:t xml:space="preserve"> A</w:t>
      </w:r>
      <w:r w:rsidR="007B2366">
        <w:rPr>
          <w:lang w:eastAsia="en-US"/>
        </w:rPr>
        <w:t xml:space="preserve"> second</w:t>
      </w:r>
      <w:r w:rsidR="001D04AA" w:rsidRPr="008A290F">
        <w:rPr>
          <w:lang w:eastAsia="en-US"/>
        </w:rPr>
        <w:t xml:space="preserve"> pair of integer values </w:t>
      </w:r>
      <w:r w:rsidR="008532BD">
        <w:rPr>
          <w:lang w:eastAsia="en-US"/>
        </w:rPr>
        <w:t>is</w:t>
      </w:r>
      <w:r w:rsidR="001D04AA" w:rsidRPr="008A290F">
        <w:rPr>
          <w:lang w:eastAsia="en-US"/>
        </w:rPr>
        <w:t xml:space="preserve"> used to indicate location of the first SBFD symbol </w:t>
      </w:r>
      <w:r w:rsidR="00E956F7" w:rsidRPr="008A290F">
        <w:rPr>
          <w:lang w:eastAsia="en-US"/>
        </w:rPr>
        <w:t>(</w:t>
      </w:r>
      <w:r w:rsidR="002C23FA">
        <w:rPr>
          <w:lang w:eastAsia="en-US"/>
        </w:rPr>
        <w:t xml:space="preserve">i.e., </w:t>
      </w:r>
      <w:r w:rsidR="00E956F7" w:rsidRPr="002C23FA">
        <w:rPr>
          <w:b/>
          <w:bCs/>
          <w:i/>
          <w:iCs/>
          <w:lang w:eastAsia="en-US"/>
        </w:rPr>
        <w:t>startSymbol</w:t>
      </w:r>
      <w:r w:rsidR="00E956F7" w:rsidRPr="008A290F">
        <w:rPr>
          <w:lang w:eastAsia="en-US"/>
        </w:rPr>
        <w:t xml:space="preserve">) </w:t>
      </w:r>
      <w:r w:rsidR="001D04AA" w:rsidRPr="008A290F">
        <w:rPr>
          <w:lang w:eastAsia="en-US"/>
        </w:rPr>
        <w:t xml:space="preserve">of the slot indicated as </w:t>
      </w:r>
      <w:r w:rsidR="001D04AA" w:rsidRPr="002C23FA">
        <w:rPr>
          <w:b/>
          <w:bCs/>
          <w:i/>
          <w:iCs/>
          <w:lang w:eastAsia="en-US"/>
        </w:rPr>
        <w:t>startSlot</w:t>
      </w:r>
      <w:r w:rsidR="001D04AA" w:rsidRPr="008A290F">
        <w:rPr>
          <w:i/>
          <w:iCs/>
          <w:lang w:eastAsia="en-US"/>
        </w:rPr>
        <w:t xml:space="preserve"> </w:t>
      </w:r>
      <w:r w:rsidR="001D04AA" w:rsidRPr="008A290F">
        <w:rPr>
          <w:lang w:eastAsia="en-US"/>
        </w:rPr>
        <w:t xml:space="preserve">and </w:t>
      </w:r>
      <w:r w:rsidR="00652F08" w:rsidRPr="008A290F">
        <w:rPr>
          <w:lang w:eastAsia="en-US"/>
        </w:rPr>
        <w:t xml:space="preserve">the last SBFD symbol </w:t>
      </w:r>
      <w:r w:rsidR="00E956F7" w:rsidRPr="008A290F">
        <w:rPr>
          <w:lang w:eastAsia="en-US"/>
        </w:rPr>
        <w:t>(</w:t>
      </w:r>
      <w:r w:rsidR="002C23FA">
        <w:rPr>
          <w:lang w:eastAsia="en-US"/>
        </w:rPr>
        <w:t xml:space="preserve">i.e., </w:t>
      </w:r>
      <w:r w:rsidR="00E956F7" w:rsidRPr="002C23FA">
        <w:rPr>
          <w:b/>
          <w:bCs/>
          <w:i/>
          <w:iCs/>
          <w:lang w:eastAsia="en-US"/>
        </w:rPr>
        <w:t>endSymbol</w:t>
      </w:r>
      <w:r w:rsidR="00E956F7" w:rsidRPr="008A290F">
        <w:rPr>
          <w:lang w:eastAsia="en-US"/>
        </w:rPr>
        <w:t xml:space="preserve">) </w:t>
      </w:r>
      <w:r w:rsidR="00652F08" w:rsidRPr="008A290F">
        <w:rPr>
          <w:lang w:eastAsia="en-US"/>
        </w:rPr>
        <w:t xml:space="preserve">of the slot indicated as </w:t>
      </w:r>
      <w:r w:rsidR="00652F08" w:rsidRPr="002C23FA">
        <w:rPr>
          <w:b/>
          <w:bCs/>
          <w:i/>
          <w:iCs/>
          <w:lang w:eastAsia="en-US"/>
        </w:rPr>
        <w:t>endSlot</w:t>
      </w:r>
      <w:r w:rsidR="00652F08" w:rsidRPr="008A290F">
        <w:rPr>
          <w:lang w:eastAsia="en-US"/>
        </w:rPr>
        <w:t xml:space="preserve">. </w:t>
      </w:r>
    </w:p>
    <w:p w14:paraId="5646D0DB" w14:textId="031C1652" w:rsidR="00186315" w:rsidRPr="008A290F" w:rsidRDefault="001D04AA" w:rsidP="002754F5">
      <w:pPr>
        <w:jc w:val="both"/>
        <w:rPr>
          <w:lang w:eastAsia="en-US"/>
        </w:rPr>
      </w:pPr>
      <w:r w:rsidRPr="008A290F">
        <w:rPr>
          <w:lang w:eastAsia="en-US"/>
        </w:rPr>
        <w:t xml:space="preserve">Since it </w:t>
      </w:r>
      <w:r w:rsidR="00E15A44">
        <w:rPr>
          <w:lang w:eastAsia="en-US"/>
        </w:rPr>
        <w:t xml:space="preserve">is </w:t>
      </w:r>
      <w:r w:rsidRPr="008A290F">
        <w:rPr>
          <w:lang w:eastAsia="en-US"/>
        </w:rPr>
        <w:t>agreed that SBFD symbols are consecutive within a TDD pattern, any s</w:t>
      </w:r>
      <w:r w:rsidR="00135317" w:rsidRPr="008A290F">
        <w:rPr>
          <w:lang w:eastAsia="en-US"/>
        </w:rPr>
        <w:t>ymbols</w:t>
      </w:r>
      <w:r w:rsidRPr="008A290F">
        <w:rPr>
          <w:lang w:eastAsia="en-US"/>
        </w:rPr>
        <w:t xml:space="preserve"> sandwiched between the </w:t>
      </w:r>
      <w:r w:rsidRPr="00247A73">
        <w:rPr>
          <w:b/>
          <w:bCs/>
          <w:i/>
          <w:iCs/>
          <w:lang w:eastAsia="en-US"/>
        </w:rPr>
        <w:t>startS</w:t>
      </w:r>
      <w:r w:rsidR="00135317" w:rsidRPr="00247A73">
        <w:rPr>
          <w:b/>
          <w:bCs/>
          <w:i/>
          <w:iCs/>
          <w:lang w:eastAsia="en-US"/>
        </w:rPr>
        <w:t>ymbol</w:t>
      </w:r>
      <w:r w:rsidRPr="008A290F">
        <w:rPr>
          <w:i/>
          <w:iCs/>
          <w:lang w:eastAsia="en-US"/>
        </w:rPr>
        <w:t xml:space="preserve"> </w:t>
      </w:r>
      <w:r w:rsidR="00135317" w:rsidRPr="008A290F">
        <w:rPr>
          <w:lang w:eastAsia="en-US"/>
        </w:rPr>
        <w:t xml:space="preserve">of the </w:t>
      </w:r>
      <w:proofErr w:type="spellStart"/>
      <w:r w:rsidR="00135317" w:rsidRPr="00247A73">
        <w:rPr>
          <w:b/>
          <w:bCs/>
          <w:i/>
          <w:iCs/>
          <w:lang w:eastAsia="en-US"/>
        </w:rPr>
        <w:t>startSlot</w:t>
      </w:r>
      <w:proofErr w:type="spellEnd"/>
      <w:r w:rsidR="00135317" w:rsidRPr="008A290F">
        <w:rPr>
          <w:lang w:eastAsia="en-US"/>
        </w:rPr>
        <w:t xml:space="preserve"> </w:t>
      </w:r>
      <w:r w:rsidR="00B9442B" w:rsidRPr="008A290F">
        <w:rPr>
          <w:lang w:eastAsia="en-US"/>
        </w:rPr>
        <w:t>(Symbol#6</w:t>
      </w:r>
      <w:r w:rsidR="00D9642B" w:rsidRPr="008A290F">
        <w:rPr>
          <w:lang w:eastAsia="en-US"/>
        </w:rPr>
        <w:t xml:space="preserve"> in </w:t>
      </w:r>
      <w:r w:rsidR="0055492A" w:rsidRPr="008A290F">
        <w:rPr>
          <w:lang w:eastAsia="en-US"/>
        </w:rPr>
        <w:fldChar w:fldCharType="begin"/>
      </w:r>
      <w:r w:rsidR="0055492A" w:rsidRPr="008A290F">
        <w:rPr>
          <w:lang w:eastAsia="en-US"/>
        </w:rPr>
        <w:instrText xml:space="preserve"> REF _Ref163134086 \h </w:instrText>
      </w:r>
      <w:r w:rsidR="0055492A" w:rsidRPr="008A290F">
        <w:rPr>
          <w:lang w:eastAsia="en-US"/>
        </w:rPr>
      </w:r>
      <w:r w:rsidR="0055492A" w:rsidRPr="008A290F">
        <w:rPr>
          <w:lang w:eastAsia="en-US"/>
        </w:rPr>
        <w:fldChar w:fldCharType="separate"/>
      </w:r>
      <w:r w:rsidR="00D77008" w:rsidRPr="008A290F">
        <w:rPr>
          <w:bdr w:val="none" w:sz="0" w:space="0" w:color="auto" w:frame="1"/>
        </w:rPr>
        <w:t xml:space="preserve">Figure </w:t>
      </w:r>
      <w:r w:rsidR="00D77008">
        <w:rPr>
          <w:noProof/>
        </w:rPr>
        <w:t>1</w:t>
      </w:r>
      <w:r w:rsidR="0055492A" w:rsidRPr="008A290F">
        <w:rPr>
          <w:lang w:eastAsia="en-US"/>
        </w:rPr>
        <w:fldChar w:fldCharType="end"/>
      </w:r>
      <w:r w:rsidR="00B9442B" w:rsidRPr="008A290F">
        <w:rPr>
          <w:lang w:eastAsia="en-US"/>
        </w:rPr>
        <w:t xml:space="preserve">) </w:t>
      </w:r>
      <w:r w:rsidRPr="008A290F">
        <w:rPr>
          <w:lang w:eastAsia="en-US"/>
        </w:rPr>
        <w:t>and</w:t>
      </w:r>
      <w:r w:rsidR="007B2366">
        <w:rPr>
          <w:lang w:eastAsia="en-US"/>
        </w:rPr>
        <w:t xml:space="preserve"> the</w:t>
      </w:r>
      <w:r w:rsidRPr="008A290F">
        <w:rPr>
          <w:lang w:eastAsia="en-US"/>
        </w:rPr>
        <w:t xml:space="preserve"> </w:t>
      </w:r>
      <w:proofErr w:type="spellStart"/>
      <w:r w:rsidR="00135317" w:rsidRPr="00247A73">
        <w:rPr>
          <w:b/>
          <w:bCs/>
          <w:i/>
          <w:iCs/>
          <w:lang w:eastAsia="en-US"/>
        </w:rPr>
        <w:t>endSymbol</w:t>
      </w:r>
      <w:proofErr w:type="spellEnd"/>
      <w:r w:rsidR="00135317" w:rsidRPr="008A290F">
        <w:rPr>
          <w:i/>
          <w:iCs/>
          <w:lang w:eastAsia="en-US"/>
        </w:rPr>
        <w:t xml:space="preserve"> </w:t>
      </w:r>
      <w:r w:rsidR="00135317" w:rsidRPr="008A290F">
        <w:rPr>
          <w:lang w:eastAsia="en-US"/>
        </w:rPr>
        <w:t xml:space="preserve">of the </w:t>
      </w:r>
      <w:proofErr w:type="spellStart"/>
      <w:r w:rsidRPr="00247A73">
        <w:rPr>
          <w:b/>
          <w:bCs/>
          <w:i/>
          <w:iCs/>
          <w:lang w:eastAsia="en-US"/>
        </w:rPr>
        <w:t>endSlot</w:t>
      </w:r>
      <w:proofErr w:type="spellEnd"/>
      <w:r w:rsidRPr="00247A73">
        <w:rPr>
          <w:b/>
          <w:bCs/>
          <w:lang w:eastAsia="en-US"/>
        </w:rPr>
        <w:t xml:space="preserve"> </w:t>
      </w:r>
      <w:r w:rsidR="00B9442B" w:rsidRPr="008A290F">
        <w:rPr>
          <w:lang w:eastAsia="en-US"/>
        </w:rPr>
        <w:t>(Symbol#11</w:t>
      </w:r>
      <w:r w:rsidR="00D9642B" w:rsidRPr="008A290F">
        <w:rPr>
          <w:lang w:eastAsia="en-US"/>
        </w:rPr>
        <w:t xml:space="preserve"> in </w:t>
      </w:r>
      <w:r w:rsidR="0055492A" w:rsidRPr="008A290F">
        <w:rPr>
          <w:lang w:eastAsia="en-US"/>
        </w:rPr>
        <w:fldChar w:fldCharType="begin"/>
      </w:r>
      <w:r w:rsidR="0055492A" w:rsidRPr="008A290F">
        <w:rPr>
          <w:lang w:eastAsia="en-US"/>
        </w:rPr>
        <w:instrText xml:space="preserve"> REF _Ref163134086 \h </w:instrText>
      </w:r>
      <w:r w:rsidR="0055492A" w:rsidRPr="008A290F">
        <w:rPr>
          <w:lang w:eastAsia="en-US"/>
        </w:rPr>
      </w:r>
      <w:r w:rsidR="0055492A" w:rsidRPr="008A290F">
        <w:rPr>
          <w:lang w:eastAsia="en-US"/>
        </w:rPr>
        <w:fldChar w:fldCharType="separate"/>
      </w:r>
      <w:r w:rsidR="00D77008" w:rsidRPr="008A290F">
        <w:rPr>
          <w:bdr w:val="none" w:sz="0" w:space="0" w:color="auto" w:frame="1"/>
        </w:rPr>
        <w:t xml:space="preserve">Figure </w:t>
      </w:r>
      <w:r w:rsidR="00D77008">
        <w:rPr>
          <w:noProof/>
        </w:rPr>
        <w:t>1</w:t>
      </w:r>
      <w:r w:rsidR="0055492A" w:rsidRPr="008A290F">
        <w:rPr>
          <w:lang w:eastAsia="en-US"/>
        </w:rPr>
        <w:fldChar w:fldCharType="end"/>
      </w:r>
      <w:r w:rsidR="00B9442B" w:rsidRPr="008A290F">
        <w:rPr>
          <w:lang w:eastAsia="en-US"/>
        </w:rPr>
        <w:t xml:space="preserve">) </w:t>
      </w:r>
      <w:r w:rsidRPr="008A290F">
        <w:rPr>
          <w:lang w:eastAsia="en-US"/>
        </w:rPr>
        <w:t xml:space="preserve">will </w:t>
      </w:r>
      <w:r w:rsidR="00135317" w:rsidRPr="008A290F">
        <w:rPr>
          <w:lang w:eastAsia="en-US"/>
        </w:rPr>
        <w:t>be</w:t>
      </w:r>
      <w:r w:rsidRPr="008A290F">
        <w:rPr>
          <w:lang w:eastAsia="en-US"/>
        </w:rPr>
        <w:t xml:space="preserve"> SBFD symbols</w:t>
      </w:r>
      <w:r w:rsidR="004C559E" w:rsidRPr="008A290F">
        <w:rPr>
          <w:lang w:eastAsia="en-US"/>
        </w:rPr>
        <w:t xml:space="preserve">. </w:t>
      </w:r>
      <w:r w:rsidR="00C16CF9" w:rsidRPr="008A290F">
        <w:rPr>
          <w:lang w:eastAsia="en-US"/>
        </w:rPr>
        <w:t>Therefore, e</w:t>
      </w:r>
      <w:r w:rsidRPr="008A290F">
        <w:rPr>
          <w:lang w:eastAsia="en-US"/>
        </w:rPr>
        <w:t xml:space="preserve">xplicit indication of these </w:t>
      </w:r>
      <w:r w:rsidR="00186315" w:rsidRPr="008A290F">
        <w:rPr>
          <w:lang w:eastAsia="en-US"/>
        </w:rPr>
        <w:t xml:space="preserve">SBFD </w:t>
      </w:r>
      <w:r w:rsidRPr="008A290F">
        <w:rPr>
          <w:lang w:eastAsia="en-US"/>
        </w:rPr>
        <w:t>s</w:t>
      </w:r>
      <w:r w:rsidR="00C16CF9" w:rsidRPr="008A290F">
        <w:rPr>
          <w:lang w:eastAsia="en-US"/>
        </w:rPr>
        <w:t xml:space="preserve">ymbols </w:t>
      </w:r>
      <w:r w:rsidR="00E15A44">
        <w:rPr>
          <w:lang w:eastAsia="en-US"/>
        </w:rPr>
        <w:t xml:space="preserve">is </w:t>
      </w:r>
      <w:r w:rsidRPr="008A290F">
        <w:rPr>
          <w:lang w:eastAsia="en-US"/>
        </w:rPr>
        <w:t>not</w:t>
      </w:r>
      <w:r w:rsidR="00C16CF9" w:rsidRPr="008A290F">
        <w:rPr>
          <w:lang w:eastAsia="en-US"/>
        </w:rPr>
        <w:t xml:space="preserve"> </w:t>
      </w:r>
      <w:r w:rsidRPr="008A290F">
        <w:rPr>
          <w:lang w:eastAsia="en-US"/>
        </w:rPr>
        <w:t xml:space="preserve">required since the UE can determine </w:t>
      </w:r>
      <w:r w:rsidR="00186315" w:rsidRPr="008A290F">
        <w:rPr>
          <w:lang w:eastAsia="en-US"/>
        </w:rPr>
        <w:t>this information</w:t>
      </w:r>
      <w:r w:rsidRPr="008A290F">
        <w:rPr>
          <w:lang w:eastAsia="en-US"/>
        </w:rPr>
        <w:t xml:space="preserve"> implicitly from </w:t>
      </w:r>
      <w:r w:rsidR="00186315" w:rsidRPr="008A290F">
        <w:rPr>
          <w:lang w:eastAsia="en-US"/>
        </w:rPr>
        <w:t>the combination of {</w:t>
      </w:r>
      <w:r w:rsidR="00186315" w:rsidRPr="002C7347">
        <w:rPr>
          <w:b/>
          <w:bCs/>
          <w:i/>
          <w:iCs/>
          <w:lang w:eastAsia="en-US"/>
        </w:rPr>
        <w:t xml:space="preserve">startSlot, </w:t>
      </w:r>
      <w:r w:rsidR="007B2366" w:rsidRPr="002C7347">
        <w:rPr>
          <w:b/>
          <w:bCs/>
          <w:i/>
          <w:iCs/>
          <w:lang w:eastAsia="en-US"/>
        </w:rPr>
        <w:t>endSlot</w:t>
      </w:r>
      <w:r w:rsidR="00186315" w:rsidRPr="008A290F">
        <w:rPr>
          <w:lang w:eastAsia="en-US"/>
        </w:rPr>
        <w:t>} and {</w:t>
      </w:r>
      <w:r w:rsidR="007B2366" w:rsidRPr="002C7347">
        <w:rPr>
          <w:b/>
          <w:bCs/>
          <w:i/>
          <w:iCs/>
          <w:lang w:eastAsia="en-US"/>
        </w:rPr>
        <w:t>startSymbol</w:t>
      </w:r>
      <w:r w:rsidR="00186315" w:rsidRPr="002C7347">
        <w:rPr>
          <w:b/>
          <w:bCs/>
          <w:lang w:eastAsia="en-US"/>
        </w:rPr>
        <w:t xml:space="preserve">, </w:t>
      </w:r>
      <w:r w:rsidR="00186315" w:rsidRPr="002C7347">
        <w:rPr>
          <w:b/>
          <w:bCs/>
          <w:i/>
          <w:iCs/>
          <w:lang w:eastAsia="en-US"/>
        </w:rPr>
        <w:t>endSymbol</w:t>
      </w:r>
      <w:r w:rsidR="00186315" w:rsidRPr="008A290F">
        <w:rPr>
          <w:lang w:eastAsia="en-US"/>
        </w:rPr>
        <w:t xml:space="preserve">}. </w:t>
      </w:r>
      <w:r w:rsidR="002754F5" w:rsidRPr="008A290F">
        <w:rPr>
          <w:lang w:eastAsia="en-US"/>
        </w:rPr>
        <w:t xml:space="preserve">This reduces </w:t>
      </w:r>
      <w:r w:rsidR="001907F1" w:rsidRPr="008A290F">
        <w:rPr>
          <w:lang w:eastAsia="en-US"/>
        </w:rPr>
        <w:t>signalling</w:t>
      </w:r>
      <w:r w:rsidR="002754F5" w:rsidRPr="008A290F">
        <w:rPr>
          <w:lang w:eastAsia="en-US"/>
        </w:rPr>
        <w:t xml:space="preserve"> overhead compared to explicitly indicating the time location of each SBFD symbol. </w:t>
      </w:r>
    </w:p>
    <w:p w14:paraId="12930493" w14:textId="3465E37A" w:rsidR="00263D77" w:rsidRPr="008A290F" w:rsidRDefault="00135317" w:rsidP="00471B2D">
      <w:pPr>
        <w:spacing w:after="0"/>
        <w:jc w:val="center"/>
        <w:rPr>
          <w:lang w:eastAsia="en-US"/>
        </w:rPr>
      </w:pPr>
      <w:r w:rsidRPr="008A290F">
        <w:rPr>
          <w:noProof/>
          <w:lang w:eastAsia="en-US"/>
        </w:rPr>
        <w:drawing>
          <wp:inline distT="0" distB="0" distL="0" distR="0" wp14:anchorId="69BCF880" wp14:editId="08B26C17">
            <wp:extent cx="2646153" cy="1901182"/>
            <wp:effectExtent l="0" t="0" r="1905"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a:extLst>
                        <a:ext uri="{28A0092B-C50C-407E-A947-70E740481C1C}">
                          <a14:useLocalDpi xmlns:a14="http://schemas.microsoft.com/office/drawing/2010/main" val="0"/>
                        </a:ext>
                      </a:extLst>
                    </a:blip>
                    <a:srcRect t="3303" b="3400"/>
                    <a:stretch/>
                  </pic:blipFill>
                  <pic:spPr bwMode="auto">
                    <a:xfrm>
                      <a:off x="0" y="0"/>
                      <a:ext cx="2662232" cy="1912734"/>
                    </a:xfrm>
                    <a:prstGeom prst="rect">
                      <a:avLst/>
                    </a:prstGeom>
                    <a:noFill/>
                    <a:ln>
                      <a:noFill/>
                    </a:ln>
                    <a:extLst>
                      <a:ext uri="{53640926-AAD7-44D8-BBD7-CCE9431645EC}">
                        <a14:shadowObscured xmlns:a14="http://schemas.microsoft.com/office/drawing/2010/main"/>
                      </a:ext>
                    </a:extLst>
                  </pic:spPr>
                </pic:pic>
              </a:graphicData>
            </a:graphic>
          </wp:inline>
        </w:drawing>
      </w:r>
    </w:p>
    <w:p w14:paraId="1252176B" w14:textId="253BA8A2" w:rsidR="00CD5653" w:rsidRPr="008A290F" w:rsidRDefault="00D61F6A" w:rsidP="001907F1">
      <w:pPr>
        <w:spacing w:after="120"/>
        <w:contextualSpacing/>
        <w:jc w:val="center"/>
        <w:rPr>
          <w:lang w:eastAsia="ko-KR"/>
        </w:rPr>
      </w:pPr>
      <w:bookmarkStart w:id="4" w:name="_Ref163134086"/>
      <w:r w:rsidRPr="008A290F">
        <w:rPr>
          <w:bdr w:val="none" w:sz="0" w:space="0" w:color="auto" w:frame="1"/>
        </w:rPr>
        <w:t xml:space="preserve">Figure </w:t>
      </w:r>
      <w:r w:rsidRPr="008A290F">
        <w:fldChar w:fldCharType="begin"/>
      </w:r>
      <w:r w:rsidRPr="008A290F">
        <w:instrText xml:space="preserve"> SEQ Figure \* ARABIC </w:instrText>
      </w:r>
      <w:r w:rsidRPr="008A290F">
        <w:fldChar w:fldCharType="separate"/>
      </w:r>
      <w:r w:rsidR="00D77008">
        <w:rPr>
          <w:noProof/>
        </w:rPr>
        <w:t>1</w:t>
      </w:r>
      <w:r w:rsidRPr="008A290F">
        <w:rPr>
          <w:noProof/>
        </w:rPr>
        <w:fldChar w:fldCharType="end"/>
      </w:r>
      <w:bookmarkEnd w:id="4"/>
      <w:r w:rsidRPr="008A290F">
        <w:rPr>
          <w:bdr w:val="none" w:sz="0" w:space="0" w:color="auto" w:frame="1"/>
        </w:rPr>
        <w:t xml:space="preserve">: </w:t>
      </w:r>
      <w:r w:rsidR="00E14301">
        <w:rPr>
          <w:bdr w:val="none" w:sz="0" w:space="0" w:color="auto" w:frame="1"/>
        </w:rPr>
        <w:t>Two pairs</w:t>
      </w:r>
      <w:r w:rsidRPr="008A290F">
        <w:rPr>
          <w:bdr w:val="none" w:sz="0" w:space="0" w:color="auto" w:frame="1"/>
        </w:rPr>
        <w:t xml:space="preserve"> of integers to indicate the time location of SBFD subbands</w:t>
      </w:r>
      <w:r w:rsidR="00471B2D" w:rsidRPr="008A290F">
        <w:rPr>
          <w:bdr w:val="none" w:sz="0" w:space="0" w:color="auto" w:frame="1"/>
        </w:rPr>
        <w:t>.</w:t>
      </w:r>
    </w:p>
    <w:p w14:paraId="4C1C2CCE" w14:textId="5938AF3C" w:rsidR="00567FA2" w:rsidRPr="008A290F" w:rsidRDefault="00567FA2" w:rsidP="00FC0A9D">
      <w:pPr>
        <w:pStyle w:val="af6"/>
        <w:numPr>
          <w:ilvl w:val="0"/>
          <w:numId w:val="10"/>
        </w:numPr>
        <w:rPr>
          <w:b/>
          <w:bCs/>
          <w:i/>
          <w:iCs/>
          <w:sz w:val="20"/>
          <w:szCs w:val="20"/>
          <w:lang w:val="en-GB" w:eastAsia="ko-KR"/>
        </w:rPr>
      </w:pPr>
      <w:r w:rsidRPr="008A290F">
        <w:rPr>
          <w:b/>
          <w:bCs/>
          <w:i/>
          <w:iCs/>
          <w:sz w:val="20"/>
          <w:szCs w:val="20"/>
          <w:lang w:val="en-GB" w:eastAsia="en-US"/>
        </w:rPr>
        <w:t xml:space="preserve">SBFD aware UE can implicitly determine the time location of SBFD symbols sandwiched between the first and last SBFD symbols within a TDD pattern from the combination of {startSlot, </w:t>
      </w:r>
      <w:r w:rsidR="00FE638C" w:rsidRPr="008A290F">
        <w:rPr>
          <w:b/>
          <w:bCs/>
          <w:i/>
          <w:iCs/>
          <w:sz w:val="20"/>
          <w:szCs w:val="20"/>
          <w:lang w:val="en-GB" w:eastAsia="en-US"/>
        </w:rPr>
        <w:t>endSlot</w:t>
      </w:r>
      <w:r w:rsidRPr="008A290F">
        <w:rPr>
          <w:b/>
          <w:bCs/>
          <w:i/>
          <w:iCs/>
          <w:sz w:val="20"/>
          <w:szCs w:val="20"/>
          <w:lang w:val="en-GB" w:eastAsia="en-US"/>
        </w:rPr>
        <w:t>} and {</w:t>
      </w:r>
      <w:r w:rsidR="00FE638C" w:rsidRPr="008A290F">
        <w:rPr>
          <w:b/>
          <w:bCs/>
          <w:i/>
          <w:iCs/>
          <w:sz w:val="20"/>
          <w:szCs w:val="20"/>
          <w:lang w:val="en-GB" w:eastAsia="en-US"/>
        </w:rPr>
        <w:t>startSymbol</w:t>
      </w:r>
      <w:r w:rsidRPr="008A290F">
        <w:rPr>
          <w:b/>
          <w:bCs/>
          <w:i/>
          <w:iCs/>
          <w:sz w:val="20"/>
          <w:szCs w:val="20"/>
          <w:lang w:val="en-GB" w:eastAsia="en-US"/>
        </w:rPr>
        <w:t>, endSymbol}.</w:t>
      </w:r>
    </w:p>
    <w:p w14:paraId="2E519E53" w14:textId="5910A361" w:rsidR="00CD5653" w:rsidRPr="008A290F" w:rsidRDefault="00CD5653" w:rsidP="00FC0A9D">
      <w:pPr>
        <w:pStyle w:val="af6"/>
        <w:numPr>
          <w:ilvl w:val="0"/>
          <w:numId w:val="9"/>
        </w:numPr>
        <w:jc w:val="both"/>
        <w:rPr>
          <w:b/>
          <w:bCs/>
          <w:i/>
          <w:iCs/>
          <w:sz w:val="20"/>
          <w:szCs w:val="20"/>
          <w:lang w:val="en-GB"/>
        </w:rPr>
      </w:pPr>
      <w:r w:rsidRPr="008A290F">
        <w:rPr>
          <w:b/>
          <w:bCs/>
          <w:i/>
          <w:iCs/>
          <w:sz w:val="20"/>
          <w:szCs w:val="20"/>
          <w:lang w:val="en-GB"/>
        </w:rPr>
        <w:t xml:space="preserve">Provide a new cell-specific parameter to indicate time location of SBFD subbands to SBFD-aware </w:t>
      </w:r>
      <w:r w:rsidR="00754E21" w:rsidRPr="008A290F">
        <w:rPr>
          <w:b/>
          <w:bCs/>
          <w:i/>
          <w:iCs/>
          <w:sz w:val="20"/>
          <w:szCs w:val="20"/>
          <w:lang w:val="en-GB"/>
        </w:rPr>
        <w:t>UE.</w:t>
      </w:r>
    </w:p>
    <w:p w14:paraId="0E79228E" w14:textId="2A4F4203" w:rsidR="00CD5653" w:rsidRPr="008A290F" w:rsidRDefault="00CD5653" w:rsidP="00FC0A9D">
      <w:pPr>
        <w:pStyle w:val="af6"/>
        <w:numPr>
          <w:ilvl w:val="0"/>
          <w:numId w:val="8"/>
        </w:numPr>
        <w:contextualSpacing w:val="0"/>
        <w:rPr>
          <w:b/>
          <w:bCs/>
          <w:i/>
          <w:iCs/>
          <w:sz w:val="20"/>
          <w:szCs w:val="20"/>
          <w:lang w:val="en-GB"/>
        </w:rPr>
      </w:pPr>
      <w:r w:rsidRPr="008A290F">
        <w:rPr>
          <w:b/>
          <w:bCs/>
          <w:i/>
          <w:iCs/>
          <w:sz w:val="20"/>
          <w:szCs w:val="20"/>
          <w:lang w:val="en-GB"/>
        </w:rPr>
        <w:t xml:space="preserve">The new parameter can be configured as </w:t>
      </w:r>
      <w:r w:rsidR="00511DD0">
        <w:rPr>
          <w:b/>
          <w:bCs/>
          <w:i/>
          <w:iCs/>
          <w:sz w:val="20"/>
          <w:szCs w:val="20"/>
          <w:lang w:val="en-GB"/>
        </w:rPr>
        <w:t xml:space="preserve">two pairs </w:t>
      </w:r>
      <w:r w:rsidRPr="008A290F">
        <w:rPr>
          <w:b/>
          <w:bCs/>
          <w:i/>
          <w:iCs/>
          <w:sz w:val="20"/>
          <w:szCs w:val="20"/>
          <w:lang w:val="en-GB"/>
        </w:rPr>
        <w:t xml:space="preserve">of integer values. </w:t>
      </w:r>
    </w:p>
    <w:p w14:paraId="469CA880" w14:textId="004519A7" w:rsidR="00CD5653" w:rsidRPr="008A290F" w:rsidRDefault="00CD5653" w:rsidP="00FC0A9D">
      <w:pPr>
        <w:pStyle w:val="af6"/>
        <w:numPr>
          <w:ilvl w:val="1"/>
          <w:numId w:val="8"/>
        </w:numPr>
        <w:contextualSpacing w:val="0"/>
        <w:rPr>
          <w:b/>
          <w:bCs/>
          <w:i/>
          <w:iCs/>
          <w:sz w:val="20"/>
          <w:szCs w:val="20"/>
          <w:lang w:val="en-GB"/>
        </w:rPr>
      </w:pPr>
      <w:r w:rsidRPr="008A290F">
        <w:rPr>
          <w:b/>
          <w:bCs/>
          <w:i/>
          <w:iCs/>
          <w:sz w:val="20"/>
          <w:szCs w:val="20"/>
          <w:lang w:val="en-GB"/>
        </w:rPr>
        <w:t>One pair of integer values indicate the first and last slots within a TDD pattern containing SBFD symbols</w:t>
      </w:r>
      <w:r w:rsidR="00471B2D" w:rsidRPr="008A290F">
        <w:rPr>
          <w:b/>
          <w:bCs/>
          <w:i/>
          <w:iCs/>
          <w:sz w:val="20"/>
          <w:szCs w:val="20"/>
          <w:lang w:val="en-GB"/>
        </w:rPr>
        <w:t>.</w:t>
      </w:r>
    </w:p>
    <w:p w14:paraId="08F911AE" w14:textId="75F5CB78" w:rsidR="0069493B" w:rsidRPr="008A290F" w:rsidRDefault="00CD5653" w:rsidP="00FC0A9D">
      <w:pPr>
        <w:pStyle w:val="af6"/>
        <w:numPr>
          <w:ilvl w:val="1"/>
          <w:numId w:val="8"/>
        </w:numPr>
        <w:contextualSpacing w:val="0"/>
        <w:rPr>
          <w:b/>
          <w:bCs/>
          <w:i/>
          <w:iCs/>
          <w:sz w:val="20"/>
          <w:szCs w:val="20"/>
          <w:lang w:val="en-GB"/>
        </w:rPr>
      </w:pPr>
      <w:r w:rsidRPr="008A290F">
        <w:rPr>
          <w:b/>
          <w:bCs/>
          <w:i/>
          <w:iCs/>
          <w:sz w:val="20"/>
          <w:szCs w:val="20"/>
          <w:lang w:val="en-GB"/>
        </w:rPr>
        <w:t>Another pair of integer values indicate the first and last SBFD symbols within a TDD pattern</w:t>
      </w:r>
      <w:r w:rsidR="00471B2D" w:rsidRPr="008A290F">
        <w:rPr>
          <w:b/>
          <w:bCs/>
          <w:i/>
          <w:iCs/>
          <w:sz w:val="20"/>
          <w:szCs w:val="20"/>
          <w:lang w:val="en-GB"/>
        </w:rPr>
        <w:t>.</w:t>
      </w:r>
    </w:p>
    <w:p w14:paraId="0DC3481B" w14:textId="425EAC2B" w:rsidR="0026791F" w:rsidRPr="008A290F" w:rsidRDefault="00533047" w:rsidP="0026791F">
      <w:pPr>
        <w:pStyle w:val="3"/>
        <w:jc w:val="both"/>
      </w:pPr>
      <w:r w:rsidRPr="008A290F">
        <w:t xml:space="preserve">Cell-specific </w:t>
      </w:r>
      <w:r w:rsidR="00497BAB" w:rsidRPr="008A290F">
        <w:t>Indication</w:t>
      </w:r>
      <w:r w:rsidRPr="008A290F">
        <w:t xml:space="preserve"> </w:t>
      </w:r>
      <w:r w:rsidR="0026791F" w:rsidRPr="008A290F">
        <w:t xml:space="preserve">of </w:t>
      </w:r>
      <w:r w:rsidRPr="008A290F">
        <w:t>Frequency Location</w:t>
      </w:r>
      <w:r w:rsidR="0026791F" w:rsidRPr="008A290F">
        <w:t xml:space="preserve"> of SBFD Subbands</w:t>
      </w:r>
    </w:p>
    <w:p w14:paraId="10790B6F" w14:textId="5157AA43" w:rsidR="006D4A29" w:rsidRDefault="00336902" w:rsidP="001F3FF7">
      <w:pPr>
        <w:spacing w:after="120"/>
        <w:jc w:val="both"/>
      </w:pPr>
      <w:r w:rsidRPr="008A290F">
        <w:t xml:space="preserve">For legacy TDD operation, the network provides the location and width of a TDD carrier to the UE using either the higher layer parameter </w:t>
      </w:r>
      <w:r w:rsidRPr="008A290F">
        <w:rPr>
          <w:i/>
          <w:iCs/>
        </w:rPr>
        <w:t>FrequencyInfoDL-SIB</w:t>
      </w:r>
      <w:r w:rsidRPr="008A290F">
        <w:t xml:space="preserve"> or </w:t>
      </w:r>
      <w:r w:rsidRPr="008A290F">
        <w:rPr>
          <w:i/>
          <w:iCs/>
        </w:rPr>
        <w:t>FrequencyInfoDL</w:t>
      </w:r>
      <w:r w:rsidR="0076124A" w:rsidRPr="008A290F">
        <w:rPr>
          <w:i/>
          <w:iCs/>
        </w:rPr>
        <w:t>.</w:t>
      </w:r>
      <w:r w:rsidR="00AE6016" w:rsidRPr="008A290F">
        <w:t xml:space="preserve"> Both </w:t>
      </w:r>
      <w:r w:rsidR="00AE6016" w:rsidRPr="008A290F">
        <w:rPr>
          <w:i/>
          <w:iCs/>
        </w:rPr>
        <w:t>FrequencyInfoDL-SIB</w:t>
      </w:r>
      <w:r w:rsidR="00AE6016" w:rsidRPr="008A290F">
        <w:t xml:space="preserve"> and </w:t>
      </w:r>
      <w:r w:rsidR="00AE6016" w:rsidRPr="008A290F">
        <w:rPr>
          <w:i/>
          <w:iCs/>
        </w:rPr>
        <w:t xml:space="preserve">FrequencyInfoDL </w:t>
      </w:r>
      <w:r w:rsidR="00AE6016" w:rsidRPr="008A290F">
        <w:t xml:space="preserve">contain the parameter </w:t>
      </w:r>
      <w:r w:rsidR="00AE6016" w:rsidRPr="008A290F">
        <w:rPr>
          <w:i/>
          <w:iCs/>
        </w:rPr>
        <w:t>scs-SpecificCarrierList</w:t>
      </w:r>
      <w:r w:rsidR="00041531" w:rsidRPr="008A290F">
        <w:rPr>
          <w:i/>
          <w:iCs/>
        </w:rPr>
        <w:t xml:space="preserve"> </w:t>
      </w:r>
      <w:r w:rsidR="00041531" w:rsidRPr="008A290F">
        <w:t>which provides a set of TDD</w:t>
      </w:r>
      <w:r w:rsidR="00041531" w:rsidRPr="008A290F">
        <w:rPr>
          <w:i/>
          <w:iCs/>
        </w:rPr>
        <w:t xml:space="preserve"> </w:t>
      </w:r>
      <w:r w:rsidR="00041531" w:rsidRPr="008A290F">
        <w:t>carriers for different subcarrier spacings.</w:t>
      </w:r>
      <w:r w:rsidR="000C5D82">
        <w:t xml:space="preserve"> </w:t>
      </w:r>
      <w:r w:rsidR="00A83567" w:rsidRPr="008A290F">
        <w:t>For SBFD operation each configured carrier</w:t>
      </w:r>
      <w:r w:rsidR="00802EF2">
        <w:rPr>
          <w:i/>
          <w:iCs/>
        </w:rPr>
        <w:t xml:space="preserve"> </w:t>
      </w:r>
      <w:r w:rsidR="00A83567" w:rsidRPr="008A290F">
        <w:t>is partitioned into subband(s) – during SBFD symbols.</w:t>
      </w:r>
      <w:r w:rsidR="00C47772" w:rsidRPr="008A290F">
        <w:t xml:space="preserve"> The</w:t>
      </w:r>
      <w:r w:rsidR="00A41D4A" w:rsidRPr="008A290F">
        <w:t xml:space="preserve"> knowledge of the frequency location of subbands must be provided to a SBFD-aware UE. One way to achieve this is to provide </w:t>
      </w:r>
      <w:r w:rsidR="006D4A29">
        <w:t xml:space="preserve">a </w:t>
      </w:r>
      <w:r w:rsidR="00A41D4A" w:rsidRPr="008A290F">
        <w:t>new cell-specific parameters</w:t>
      </w:r>
      <w:r w:rsidR="00C41F5D" w:rsidRPr="008A290F">
        <w:t xml:space="preserve"> </w:t>
      </w:r>
      <w:r w:rsidR="00A41D4A" w:rsidRPr="008A290F">
        <w:t xml:space="preserve">within </w:t>
      </w:r>
      <w:r w:rsidR="00A41D4A" w:rsidRPr="008A290F">
        <w:rPr>
          <w:i/>
          <w:iCs/>
        </w:rPr>
        <w:t xml:space="preserve">FrequencyInfoDL-SIB </w:t>
      </w:r>
      <w:r w:rsidR="00802EF2" w:rsidRPr="008A290F">
        <w:t xml:space="preserve">or </w:t>
      </w:r>
      <w:r w:rsidR="00802EF2" w:rsidRPr="008A290F">
        <w:rPr>
          <w:i/>
          <w:iCs/>
        </w:rPr>
        <w:t>FrequencyInfoDL</w:t>
      </w:r>
      <w:r w:rsidR="00802EF2" w:rsidRPr="008A290F">
        <w:t xml:space="preserve"> </w:t>
      </w:r>
      <w:r w:rsidR="00C41F5D" w:rsidRPr="008A290F">
        <w:t>which can</w:t>
      </w:r>
      <w:r w:rsidR="006D4A29">
        <w:t xml:space="preserve"> indicate the frequency location of SBFD subbands to the UE. </w:t>
      </w:r>
    </w:p>
    <w:p w14:paraId="6EEA08BE" w14:textId="77777777" w:rsidR="006D4A29" w:rsidRDefault="006D4A29" w:rsidP="001F3FF7">
      <w:pPr>
        <w:spacing w:after="120"/>
        <w:jc w:val="both"/>
      </w:pPr>
      <w:r>
        <w:t xml:space="preserve">In RAN1#117, RAN1 agreed that for </w:t>
      </w:r>
      <w:r>
        <w:rPr>
          <w:rFonts w:eastAsiaTheme="minorEastAsia" w:hint="eastAsia"/>
          <w:lang w:eastAsia="zh-CN"/>
        </w:rPr>
        <w:t>cell-specific</w:t>
      </w:r>
      <w:r>
        <w:rPr>
          <w:rFonts w:eastAsia="Malgun Gothic"/>
          <w:lang w:eastAsia="zh-CN"/>
        </w:rPr>
        <w:t xml:space="preserve"> indication of SBFD subband frequency location, the frequency locations of UL subband and DL subband(s) are explicitly configured (</w:t>
      </w:r>
      <w:r w:rsidRPr="006D4A29">
        <w:rPr>
          <w:rFonts w:eastAsia="Malgun Gothic"/>
          <w:lang w:eastAsia="zh-CN"/>
        </w:rPr>
        <w:t>Guardband(s) if any are implicitly derived as the RBs which are not within UL subband or DL subband(s)</w:t>
      </w:r>
      <w:r>
        <w:rPr>
          <w:rFonts w:eastAsia="Malgun Gothic"/>
          <w:lang w:eastAsia="zh-CN"/>
        </w:rPr>
        <w:t xml:space="preserve">). Therefore, the new </w:t>
      </w:r>
      <w:r w:rsidRPr="008A290F">
        <w:t>cell-specific parameters</w:t>
      </w:r>
      <w:r>
        <w:t xml:space="preserve"> provided</w:t>
      </w:r>
      <w:r w:rsidRPr="008A290F">
        <w:t xml:space="preserve"> within </w:t>
      </w:r>
      <w:r w:rsidRPr="008A290F">
        <w:rPr>
          <w:i/>
          <w:iCs/>
        </w:rPr>
        <w:t xml:space="preserve">FrequencyInfoDL-SIB </w:t>
      </w:r>
      <w:r w:rsidRPr="008A290F">
        <w:t xml:space="preserve">or </w:t>
      </w:r>
      <w:r w:rsidRPr="008A290F">
        <w:rPr>
          <w:i/>
          <w:iCs/>
        </w:rPr>
        <w:t>FrequencyInfoDL</w:t>
      </w:r>
      <w:r>
        <w:rPr>
          <w:i/>
          <w:iCs/>
        </w:rPr>
        <w:t xml:space="preserve"> </w:t>
      </w:r>
      <w:r>
        <w:t xml:space="preserve">can </w:t>
      </w:r>
      <w:r w:rsidR="00A41D4A" w:rsidRPr="008A290F">
        <w:t xml:space="preserve">explicitly indicate the frequency location of </w:t>
      </w:r>
      <w:r w:rsidR="00D12C39">
        <w:t>DL</w:t>
      </w:r>
      <w:r w:rsidR="00A41D4A" w:rsidRPr="008A290F">
        <w:t xml:space="preserve"> subband</w:t>
      </w:r>
      <w:r>
        <w:t xml:space="preserve"> and</w:t>
      </w:r>
      <w:r w:rsidR="00A41D4A" w:rsidRPr="008A290F">
        <w:t xml:space="preserve"> </w:t>
      </w:r>
      <w:r w:rsidR="00D12C39">
        <w:t>UL</w:t>
      </w:r>
      <w:r w:rsidR="00A41D4A" w:rsidRPr="008A290F">
        <w:t xml:space="preserve"> subband </w:t>
      </w:r>
      <w:r w:rsidR="005C0F74" w:rsidRPr="008A290F">
        <w:t xml:space="preserve">to SBFD aware UEs. </w:t>
      </w:r>
    </w:p>
    <w:p w14:paraId="7630C196" w14:textId="3DF158D7" w:rsidR="001F3FF7" w:rsidRPr="008A290F" w:rsidRDefault="005C0F74" w:rsidP="001F3FF7">
      <w:pPr>
        <w:spacing w:after="120"/>
        <w:jc w:val="both"/>
      </w:pPr>
      <w:r w:rsidRPr="008A290F">
        <w:t xml:space="preserve">For example, new cell-specific parameters </w:t>
      </w:r>
      <w:r w:rsidRPr="008A290F">
        <w:rPr>
          <w:i/>
          <w:iCs/>
        </w:rPr>
        <w:t>scs-SpecificDownlinkSubbandList</w:t>
      </w:r>
      <w:r w:rsidRPr="008A290F">
        <w:t xml:space="preserve"> and </w:t>
      </w:r>
      <w:r w:rsidRPr="008A290F">
        <w:rPr>
          <w:i/>
          <w:iCs/>
        </w:rPr>
        <w:t>scs-SpecificUplinkSubband</w:t>
      </w:r>
      <w:r w:rsidR="00B30C57" w:rsidRPr="008A290F">
        <w:rPr>
          <w:i/>
          <w:iCs/>
        </w:rPr>
        <w:t>List</w:t>
      </w:r>
      <w:r w:rsidRPr="008A290F">
        <w:t xml:space="preserve"> can be configured within </w:t>
      </w:r>
      <w:r w:rsidRPr="008A290F">
        <w:rPr>
          <w:i/>
          <w:iCs/>
        </w:rPr>
        <w:t xml:space="preserve">FrequencyInfoDL-SIB </w:t>
      </w:r>
      <w:r w:rsidRPr="008A290F">
        <w:t xml:space="preserve">or </w:t>
      </w:r>
      <w:r w:rsidRPr="008A290F">
        <w:rPr>
          <w:i/>
          <w:iCs/>
        </w:rPr>
        <w:t xml:space="preserve">FrequencyInfoDL </w:t>
      </w:r>
      <w:r w:rsidRPr="008A290F">
        <w:t xml:space="preserve">which can be used to provide a set of </w:t>
      </w:r>
      <w:r w:rsidR="00D12C39">
        <w:t>DL</w:t>
      </w:r>
      <w:r w:rsidRPr="008A290F">
        <w:t xml:space="preserve"> and </w:t>
      </w:r>
      <w:r w:rsidR="00D12C39">
        <w:t>UL</w:t>
      </w:r>
      <w:r w:rsidRPr="008A290F">
        <w:t xml:space="preserve"> subband configurations, respectively, for different subcarrier spacings.</w:t>
      </w:r>
      <w:r w:rsidR="001F3FF7" w:rsidRPr="008A290F">
        <w:t xml:space="preserve"> Each entry of </w:t>
      </w:r>
      <w:r w:rsidR="00A225AF" w:rsidRPr="008A290F">
        <w:t xml:space="preserve">the </w:t>
      </w:r>
      <w:r w:rsidR="001F3FF7" w:rsidRPr="008A290F">
        <w:t xml:space="preserve">new cell-specific parameters can be configured as a single integer value representing the location and bandwidth of the respective subband, similar to the SLIV approach used in existing configuration for bandwidth part (BWP) indication. </w:t>
      </w:r>
      <w:r w:rsidR="00C25054">
        <w:t xml:space="preserve"> </w:t>
      </w:r>
    </w:p>
    <w:p w14:paraId="7557B647" w14:textId="3AF4CA5A" w:rsidR="005647DA" w:rsidRPr="008A290F" w:rsidRDefault="00567FA2" w:rsidP="00FC0A9D">
      <w:pPr>
        <w:pStyle w:val="af6"/>
        <w:numPr>
          <w:ilvl w:val="0"/>
          <w:numId w:val="9"/>
        </w:numPr>
        <w:rPr>
          <w:lang w:val="en-GB" w:eastAsia="en-US"/>
        </w:rPr>
      </w:pPr>
      <w:r w:rsidRPr="008A290F">
        <w:rPr>
          <w:b/>
          <w:bCs/>
          <w:i/>
          <w:iCs/>
          <w:sz w:val="20"/>
          <w:szCs w:val="20"/>
          <w:lang w:val="en-GB"/>
        </w:rPr>
        <w:t xml:space="preserve">Provide new </w:t>
      </w:r>
      <w:r w:rsidR="00EF6075" w:rsidRPr="008A290F">
        <w:rPr>
          <w:b/>
          <w:bCs/>
          <w:i/>
          <w:iCs/>
          <w:sz w:val="20"/>
          <w:szCs w:val="20"/>
          <w:lang w:val="en-GB"/>
        </w:rPr>
        <w:t>cell-specific</w:t>
      </w:r>
      <w:r w:rsidRPr="008A290F">
        <w:rPr>
          <w:b/>
          <w:bCs/>
          <w:i/>
          <w:iCs/>
          <w:sz w:val="20"/>
          <w:szCs w:val="20"/>
          <w:lang w:val="en-GB"/>
        </w:rPr>
        <w:t xml:space="preserve"> parameter</w:t>
      </w:r>
      <w:r w:rsidR="00EF6075" w:rsidRPr="008A290F">
        <w:rPr>
          <w:b/>
          <w:bCs/>
          <w:i/>
          <w:iCs/>
          <w:sz w:val="20"/>
          <w:szCs w:val="20"/>
          <w:lang w:val="en-GB"/>
        </w:rPr>
        <w:t>s</w:t>
      </w:r>
      <w:r w:rsidRPr="008A290F">
        <w:rPr>
          <w:b/>
          <w:bCs/>
          <w:i/>
          <w:iCs/>
          <w:sz w:val="20"/>
          <w:szCs w:val="20"/>
          <w:lang w:val="en-GB"/>
        </w:rPr>
        <w:t xml:space="preserve"> within FrequencyInfoDL-SIB</w:t>
      </w:r>
      <w:r w:rsidR="00EF6075" w:rsidRPr="008A290F">
        <w:rPr>
          <w:b/>
          <w:bCs/>
          <w:i/>
          <w:iCs/>
          <w:sz w:val="20"/>
          <w:szCs w:val="20"/>
          <w:lang w:val="en-GB"/>
        </w:rPr>
        <w:t xml:space="preserve"> or FrequencyInfoDL</w:t>
      </w:r>
      <w:r w:rsidRPr="008A290F">
        <w:rPr>
          <w:b/>
          <w:bCs/>
          <w:i/>
          <w:iCs/>
          <w:sz w:val="20"/>
          <w:szCs w:val="20"/>
          <w:lang w:val="en-GB"/>
        </w:rPr>
        <w:t xml:space="preserve"> to indicate</w:t>
      </w:r>
      <w:r w:rsidR="00EF6075" w:rsidRPr="008A290F">
        <w:rPr>
          <w:b/>
          <w:bCs/>
          <w:i/>
          <w:iCs/>
          <w:sz w:val="20"/>
          <w:szCs w:val="20"/>
          <w:lang w:val="en-GB"/>
        </w:rPr>
        <w:t xml:space="preserve"> the</w:t>
      </w:r>
      <w:r w:rsidRPr="008A290F">
        <w:rPr>
          <w:b/>
          <w:bCs/>
          <w:i/>
          <w:iCs/>
          <w:sz w:val="20"/>
          <w:szCs w:val="20"/>
          <w:lang w:val="en-GB"/>
        </w:rPr>
        <w:t xml:space="preserve"> frequency location of </w:t>
      </w:r>
      <w:r w:rsidR="003A11B8">
        <w:rPr>
          <w:b/>
          <w:bCs/>
          <w:i/>
          <w:iCs/>
          <w:sz w:val="20"/>
          <w:szCs w:val="20"/>
          <w:lang w:val="en-GB"/>
        </w:rPr>
        <w:t>UL</w:t>
      </w:r>
      <w:r w:rsidR="00C3194D">
        <w:rPr>
          <w:b/>
          <w:bCs/>
          <w:i/>
          <w:iCs/>
          <w:sz w:val="20"/>
          <w:szCs w:val="20"/>
          <w:lang w:val="en-GB"/>
        </w:rPr>
        <w:t>-SB</w:t>
      </w:r>
      <w:r w:rsidR="003A11B8">
        <w:rPr>
          <w:b/>
          <w:bCs/>
          <w:i/>
          <w:iCs/>
          <w:sz w:val="20"/>
          <w:szCs w:val="20"/>
          <w:lang w:val="en-GB"/>
        </w:rPr>
        <w:t xml:space="preserve"> and DL-SB(s)</w:t>
      </w:r>
      <w:r w:rsidR="00EF6075" w:rsidRPr="008A290F">
        <w:rPr>
          <w:b/>
          <w:bCs/>
          <w:i/>
          <w:iCs/>
          <w:sz w:val="20"/>
          <w:szCs w:val="20"/>
          <w:lang w:val="en-GB"/>
        </w:rPr>
        <w:t xml:space="preserve"> for each configured cell-specific carrier</w:t>
      </w:r>
      <w:r w:rsidRPr="008A290F">
        <w:rPr>
          <w:b/>
          <w:bCs/>
          <w:i/>
          <w:iCs/>
          <w:lang w:val="en-GB"/>
        </w:rPr>
        <w:t xml:space="preserve">. </w:t>
      </w:r>
    </w:p>
    <w:p w14:paraId="7E07CAFA" w14:textId="02B5B473" w:rsidR="00460BD2" w:rsidRPr="008A290F" w:rsidRDefault="00460BD2" w:rsidP="00343C37">
      <w:pPr>
        <w:pStyle w:val="2"/>
        <w:spacing w:before="0" w:after="0"/>
      </w:pPr>
      <w:r w:rsidRPr="008A290F">
        <w:lastRenderedPageBreak/>
        <w:t xml:space="preserve">Interaction between SBFD operation and </w:t>
      </w:r>
      <w:r w:rsidR="000D0AFF" w:rsidRPr="008A290F">
        <w:t xml:space="preserve">UE-specific </w:t>
      </w:r>
      <w:r w:rsidRPr="008A290F">
        <w:t>TDD slot Indication</w:t>
      </w:r>
    </w:p>
    <w:p w14:paraId="26944548" w14:textId="4294E0BE" w:rsidR="0013268D" w:rsidRPr="008A290F" w:rsidRDefault="0052640F" w:rsidP="00343C37">
      <w:pPr>
        <w:spacing w:after="0"/>
        <w:jc w:val="both"/>
        <w:rPr>
          <w:rStyle w:val="ui-provider"/>
        </w:rPr>
      </w:pPr>
      <w:r w:rsidRPr="008A290F">
        <w:rPr>
          <w:rStyle w:val="ui-provider"/>
        </w:rPr>
        <w:t>In this section, we provide our views on</w:t>
      </w:r>
      <w:r w:rsidR="000D0AFF" w:rsidRPr="008A290F">
        <w:rPr>
          <w:rStyle w:val="ui-provider"/>
        </w:rPr>
        <w:t xml:space="preserve"> </w:t>
      </w:r>
      <w:r w:rsidRPr="008A290F">
        <w:rPr>
          <w:rStyle w:val="ui-provider"/>
        </w:rPr>
        <w:t>interaction between SBFD</w:t>
      </w:r>
      <w:r w:rsidR="004E5D28">
        <w:rPr>
          <w:rStyle w:val="ui-provider"/>
        </w:rPr>
        <w:t>-</w:t>
      </w:r>
      <w:r w:rsidRPr="008A290F">
        <w:rPr>
          <w:rStyle w:val="ui-provider"/>
        </w:rPr>
        <w:t xml:space="preserve">aware UE behaviour and legacy TDD slot configuration via </w:t>
      </w:r>
      <w:r w:rsidRPr="008A290F">
        <w:rPr>
          <w:rStyle w:val="ui-provider"/>
          <w:i/>
          <w:iCs/>
        </w:rPr>
        <w:t>TDD-UL-DL-</w:t>
      </w:r>
      <w:proofErr w:type="spellStart"/>
      <w:r w:rsidRPr="008A290F">
        <w:rPr>
          <w:rStyle w:val="ui-provider"/>
          <w:i/>
          <w:iCs/>
        </w:rPr>
        <w:t>ConfigDedicated</w:t>
      </w:r>
      <w:proofErr w:type="spellEnd"/>
      <w:r w:rsidRPr="008A290F">
        <w:rPr>
          <w:rStyle w:val="ui-provider"/>
        </w:rPr>
        <w:t>.</w:t>
      </w:r>
      <w:r w:rsidR="0013268D" w:rsidRPr="008A290F">
        <w:rPr>
          <w:rStyle w:val="ui-provider"/>
        </w:rPr>
        <w:t xml:space="preserve"> In particular</w:t>
      </w:r>
      <w:r w:rsidR="00FB2CE7" w:rsidRPr="008A290F">
        <w:rPr>
          <w:rStyle w:val="ui-provider"/>
        </w:rPr>
        <w:t>,</w:t>
      </w:r>
      <w:r w:rsidR="0013268D" w:rsidRPr="008A290F">
        <w:rPr>
          <w:rStyle w:val="ui-provider"/>
        </w:rPr>
        <w:t xml:space="preserve"> we discuss the use of existing UE-specific TDD slot indication for transmission direction indication in SBFD operation. </w:t>
      </w:r>
    </w:p>
    <w:tbl>
      <w:tblPr>
        <w:tblStyle w:val="afb"/>
        <w:tblW w:w="0" w:type="auto"/>
        <w:tblInd w:w="108" w:type="dxa"/>
        <w:tblLook w:val="04A0" w:firstRow="1" w:lastRow="0" w:firstColumn="1" w:lastColumn="0" w:noHBand="0" w:noVBand="1"/>
      </w:tblPr>
      <w:tblGrid>
        <w:gridCol w:w="9521"/>
      </w:tblGrid>
      <w:tr w:rsidR="0013268D" w:rsidRPr="008A290F" w14:paraId="165D4D41" w14:textId="77777777" w:rsidTr="00976CF0">
        <w:tc>
          <w:tcPr>
            <w:tcW w:w="9521" w:type="dxa"/>
          </w:tcPr>
          <w:p w14:paraId="63D72E7D" w14:textId="13D4C4DA" w:rsidR="0013268D" w:rsidRPr="008A290F" w:rsidRDefault="0013268D" w:rsidP="00867ECC">
            <w:pPr>
              <w:spacing w:after="0"/>
              <w:contextualSpacing/>
              <w:jc w:val="both"/>
              <w:rPr>
                <w:rFonts w:ascii="Times" w:eastAsia="Times New Roman" w:hAnsi="Times" w:cs="Times"/>
                <w:b/>
                <w:bCs/>
                <w:lang w:eastAsia="en-GB"/>
              </w:rPr>
            </w:pPr>
            <w:r w:rsidRPr="008A290F">
              <w:rPr>
                <w:rFonts w:ascii="Times" w:eastAsia="Times New Roman" w:hAnsi="Times" w:cs="Times"/>
                <w:b/>
                <w:bCs/>
                <w:lang w:eastAsia="en-GB"/>
              </w:rPr>
              <w:t>Agreement RAN1#11</w:t>
            </w:r>
            <w:r w:rsidR="00C70519" w:rsidRPr="008A290F">
              <w:rPr>
                <w:rFonts w:ascii="Times" w:eastAsia="Times New Roman" w:hAnsi="Times" w:cs="Times"/>
                <w:b/>
                <w:bCs/>
                <w:lang w:eastAsia="en-GB"/>
              </w:rPr>
              <w:t>6</w:t>
            </w:r>
          </w:p>
          <w:p w14:paraId="2CE9B672" w14:textId="4425917F" w:rsidR="00144996" w:rsidRPr="008A290F" w:rsidRDefault="00144996" w:rsidP="00867ECC">
            <w:pPr>
              <w:spacing w:after="0"/>
              <w:contextualSpacing/>
              <w:jc w:val="both"/>
              <w:rPr>
                <w:rFonts w:eastAsia="Malgun Gothic"/>
                <w:lang w:eastAsia="zh-CN"/>
              </w:rPr>
            </w:pPr>
            <w:r w:rsidRPr="008A290F">
              <w:rPr>
                <w:rFonts w:eastAsia="Malgun Gothic"/>
                <w:lang w:eastAsia="zh-CN"/>
              </w:rPr>
              <w:t xml:space="preserve">For SBFD-aware UE transmission and reception in an SBFD symbol, consider the following options to determine link direction, </w:t>
            </w:r>
            <w:r w:rsidR="00FB2CE7" w:rsidRPr="008A290F">
              <w:rPr>
                <w:rFonts w:eastAsia="Malgun Gothic"/>
                <w:lang w:eastAsia="zh-CN"/>
              </w:rPr>
              <w:t>i.e.,</w:t>
            </w:r>
            <w:r w:rsidRPr="008A290F">
              <w:rPr>
                <w:rFonts w:eastAsia="Malgun Gothic"/>
                <w:lang w:eastAsia="zh-CN"/>
              </w:rPr>
              <w:t xml:space="preserve"> whether to transmit or to receive in the SBFD symbol. </w:t>
            </w:r>
          </w:p>
          <w:p w14:paraId="1D09035D" w14:textId="77777777" w:rsidR="00144996" w:rsidRPr="008A290F" w:rsidRDefault="00144996" w:rsidP="00FC0A9D">
            <w:pPr>
              <w:pStyle w:val="af6"/>
              <w:numPr>
                <w:ilvl w:val="0"/>
                <w:numId w:val="8"/>
              </w:numPr>
              <w:jc w:val="both"/>
              <w:rPr>
                <w:rFonts w:eastAsia="Malgun Gothic"/>
                <w:sz w:val="20"/>
                <w:szCs w:val="20"/>
                <w:lang w:val="en-GB"/>
              </w:rPr>
            </w:pPr>
            <w:r w:rsidRPr="008A290F">
              <w:rPr>
                <w:rFonts w:eastAsia="Malgun Gothic"/>
                <w:sz w:val="20"/>
                <w:szCs w:val="20"/>
                <w:lang w:val="en-GB"/>
              </w:rPr>
              <w:t>Option 1: UE determines link direction based on configured/scheduled transmissions/receptions and collision handling (if any).</w:t>
            </w:r>
          </w:p>
          <w:p w14:paraId="166E0909" w14:textId="385C35C9" w:rsidR="0013268D" w:rsidRPr="008A290F" w:rsidRDefault="00144996" w:rsidP="00FC0A9D">
            <w:pPr>
              <w:pStyle w:val="af6"/>
              <w:numPr>
                <w:ilvl w:val="0"/>
                <w:numId w:val="8"/>
              </w:numPr>
              <w:jc w:val="both"/>
              <w:rPr>
                <w:rFonts w:eastAsia="Malgun Gothic"/>
                <w:lang w:val="en-GB"/>
              </w:rPr>
            </w:pPr>
            <w:r w:rsidRPr="008A290F">
              <w:rPr>
                <w:rFonts w:eastAsia="Malgun Gothic"/>
                <w:sz w:val="20"/>
                <w:szCs w:val="20"/>
                <w:lang w:val="en-GB"/>
              </w:rPr>
              <w:t>Option 2: link direction is indicated by gNB explicitly</w:t>
            </w:r>
          </w:p>
        </w:tc>
      </w:tr>
    </w:tbl>
    <w:p w14:paraId="5690F34B" w14:textId="2A73ED67" w:rsidR="0052640F" w:rsidRPr="008A290F" w:rsidRDefault="0052640F" w:rsidP="00867ECC">
      <w:pPr>
        <w:spacing w:after="0"/>
        <w:jc w:val="both"/>
      </w:pPr>
    </w:p>
    <w:p w14:paraId="1FB3DCB4" w14:textId="4B543386" w:rsidR="00D30BF8" w:rsidRPr="008A290F" w:rsidRDefault="000D0AFF" w:rsidP="00867ECC">
      <w:pPr>
        <w:pStyle w:val="3"/>
        <w:spacing w:before="0" w:after="0"/>
        <w:jc w:val="both"/>
      </w:pPr>
      <w:r w:rsidRPr="008A290F">
        <w:t>Transmission Direction Indication</w:t>
      </w:r>
      <w:r w:rsidR="00D30BF8" w:rsidRPr="008A290F">
        <w:t xml:space="preserve"> </w:t>
      </w:r>
      <w:r w:rsidR="00053550">
        <w:t>using</w:t>
      </w:r>
      <w:r w:rsidR="00D30BF8" w:rsidRPr="008A290F">
        <w:t xml:space="preserve"> </w:t>
      </w:r>
      <w:r w:rsidR="00497BAB" w:rsidRPr="008A290F">
        <w:t>T</w:t>
      </w:r>
      <w:r w:rsidR="00D30BF8" w:rsidRPr="008A290F">
        <w:t>DD-UL-DL-</w:t>
      </w:r>
      <w:proofErr w:type="spellStart"/>
      <w:r w:rsidR="00D30BF8" w:rsidRPr="008A290F">
        <w:t>ConfigDedicated</w:t>
      </w:r>
      <w:proofErr w:type="spellEnd"/>
      <w:r w:rsidR="00497BAB" w:rsidRPr="008A290F">
        <w:t xml:space="preserve"> </w:t>
      </w:r>
    </w:p>
    <w:p w14:paraId="7B4B2B4A" w14:textId="0132F4F9" w:rsidR="006116E9" w:rsidRPr="008A290F" w:rsidRDefault="0013268D" w:rsidP="0013268D">
      <w:pPr>
        <w:jc w:val="both"/>
        <w:rPr>
          <w:lang w:eastAsia="en-US"/>
        </w:rPr>
      </w:pPr>
      <w:r w:rsidRPr="008A290F">
        <w:rPr>
          <w:lang w:eastAsia="en-US"/>
        </w:rPr>
        <w:t>In SBFD operation UE remains a half-duplex node</w:t>
      </w:r>
      <w:r w:rsidR="008319A0">
        <w:rPr>
          <w:lang w:eastAsia="en-US"/>
        </w:rPr>
        <w:t xml:space="preserve">, which implies that </w:t>
      </w:r>
      <w:r w:rsidR="008319A0" w:rsidRPr="008A290F">
        <w:rPr>
          <w:lang w:eastAsia="en-US"/>
        </w:rPr>
        <w:t xml:space="preserve">in SBFD symbols, the UE can perform either </w:t>
      </w:r>
      <w:r w:rsidR="008319A0">
        <w:rPr>
          <w:lang w:eastAsia="en-US"/>
        </w:rPr>
        <w:t>DL</w:t>
      </w:r>
      <w:r w:rsidR="008319A0" w:rsidRPr="008A290F">
        <w:rPr>
          <w:lang w:eastAsia="en-US"/>
        </w:rPr>
        <w:t xml:space="preserve"> reception (on </w:t>
      </w:r>
      <w:r w:rsidR="008319A0">
        <w:rPr>
          <w:lang w:eastAsia="en-US"/>
        </w:rPr>
        <w:t>DL</w:t>
      </w:r>
      <w:r w:rsidR="008319A0" w:rsidRPr="008A290F">
        <w:rPr>
          <w:lang w:eastAsia="en-US"/>
        </w:rPr>
        <w:t xml:space="preserve"> subbands) or </w:t>
      </w:r>
      <w:r w:rsidR="008319A0">
        <w:rPr>
          <w:lang w:eastAsia="en-US"/>
        </w:rPr>
        <w:t>UL</w:t>
      </w:r>
      <w:r w:rsidR="008319A0" w:rsidRPr="008A290F">
        <w:rPr>
          <w:lang w:eastAsia="en-US"/>
        </w:rPr>
        <w:t xml:space="preserve"> transmission (on </w:t>
      </w:r>
      <w:r w:rsidR="008319A0">
        <w:rPr>
          <w:lang w:eastAsia="en-US"/>
        </w:rPr>
        <w:t>UL</w:t>
      </w:r>
      <w:r w:rsidR="008319A0" w:rsidRPr="008A290F">
        <w:rPr>
          <w:lang w:eastAsia="en-US"/>
        </w:rPr>
        <w:t xml:space="preserve"> subband), but not both</w:t>
      </w:r>
      <w:r w:rsidR="008319A0">
        <w:rPr>
          <w:lang w:eastAsia="en-US"/>
        </w:rPr>
        <w:t xml:space="preserve">. </w:t>
      </w:r>
      <w:r w:rsidRPr="008A290F">
        <w:rPr>
          <w:lang w:eastAsia="en-US"/>
        </w:rPr>
        <w:t xml:space="preserve">To avoid collisions between </w:t>
      </w:r>
      <w:r w:rsidR="00E82255">
        <w:rPr>
          <w:lang w:eastAsia="en-US"/>
        </w:rPr>
        <w:t>DL</w:t>
      </w:r>
      <w:r w:rsidRPr="008A290F">
        <w:rPr>
          <w:lang w:eastAsia="en-US"/>
        </w:rPr>
        <w:t xml:space="preserve"> receptions and </w:t>
      </w:r>
      <w:r w:rsidR="00E82255">
        <w:rPr>
          <w:lang w:eastAsia="en-US"/>
        </w:rPr>
        <w:t>UL</w:t>
      </w:r>
      <w:r w:rsidRPr="008A290F">
        <w:rPr>
          <w:lang w:eastAsia="en-US"/>
        </w:rPr>
        <w:t xml:space="preserve"> transmissions, the network must provide a way for UE to determine the link direction on SBFD symbols, i.e., whether UE transmit or receive in a SBFD symbol. </w:t>
      </w:r>
    </w:p>
    <w:p w14:paraId="6A69F070" w14:textId="66816752" w:rsidR="00D46F67" w:rsidRPr="008A290F" w:rsidRDefault="006116E9" w:rsidP="000C4436">
      <w:pPr>
        <w:spacing w:after="0"/>
        <w:jc w:val="both"/>
        <w:rPr>
          <w:lang w:eastAsia="en-US"/>
        </w:rPr>
      </w:pPr>
      <w:r w:rsidRPr="008A290F">
        <w:rPr>
          <w:lang w:eastAsia="en-US"/>
        </w:rPr>
        <w:t>In RAN1#116, RAN1 agreed t</w:t>
      </w:r>
      <w:r w:rsidR="0013268D" w:rsidRPr="008A290F">
        <w:rPr>
          <w:lang w:eastAsia="en-US"/>
        </w:rPr>
        <w:t>wo ma</w:t>
      </w:r>
      <w:r w:rsidRPr="008A290F">
        <w:rPr>
          <w:lang w:eastAsia="en-US"/>
        </w:rPr>
        <w:t>in options to determine link direction of SBFD symbols.</w:t>
      </w:r>
      <w:r w:rsidR="00BF3E8F" w:rsidRPr="008A290F">
        <w:rPr>
          <w:lang w:eastAsia="en-US"/>
        </w:rPr>
        <w:t xml:space="preserve"> Option 2 (explicit link direction indication by gNB) can avoid many potential collision cases by instructing UE to perform either </w:t>
      </w:r>
      <w:r w:rsidR="00132247">
        <w:rPr>
          <w:lang w:eastAsia="en-US"/>
        </w:rPr>
        <w:t>DL</w:t>
      </w:r>
      <w:r w:rsidR="00BF3E8F" w:rsidRPr="008A290F">
        <w:rPr>
          <w:lang w:eastAsia="en-US"/>
        </w:rPr>
        <w:t xml:space="preserve"> reception or </w:t>
      </w:r>
      <w:r w:rsidR="00132247">
        <w:rPr>
          <w:lang w:eastAsia="en-US"/>
        </w:rPr>
        <w:t>UL</w:t>
      </w:r>
      <w:r w:rsidR="00BF3E8F" w:rsidRPr="008A290F">
        <w:rPr>
          <w:lang w:eastAsia="en-US"/>
        </w:rPr>
        <w:t xml:space="preserve"> transmission on a given SBFD symbol.</w:t>
      </w:r>
      <w:r w:rsidR="00C82998" w:rsidRPr="008A290F">
        <w:rPr>
          <w:lang w:eastAsia="en-US"/>
        </w:rPr>
        <w:t xml:space="preserve"> This simplif</w:t>
      </w:r>
      <w:r w:rsidR="00132247">
        <w:rPr>
          <w:lang w:eastAsia="en-US"/>
        </w:rPr>
        <w:t>ies</w:t>
      </w:r>
      <w:r w:rsidR="00C82998" w:rsidRPr="008A290F">
        <w:rPr>
          <w:lang w:eastAsia="en-US"/>
        </w:rPr>
        <w:t xml:space="preserve"> the UE implementation </w:t>
      </w:r>
      <w:r w:rsidR="00CC760B" w:rsidRPr="008A290F">
        <w:rPr>
          <w:lang w:eastAsia="en-US"/>
        </w:rPr>
        <w:t xml:space="preserve">for operation </w:t>
      </w:r>
      <w:r w:rsidR="002154C2" w:rsidRPr="008A290F">
        <w:rPr>
          <w:lang w:eastAsia="en-US"/>
        </w:rPr>
        <w:t>by</w:t>
      </w:r>
    </w:p>
    <w:p w14:paraId="2F7C2923" w14:textId="785F24A0" w:rsidR="00D46F67" w:rsidRPr="008A290F" w:rsidRDefault="00D46F67" w:rsidP="00FC0A9D">
      <w:pPr>
        <w:pStyle w:val="af6"/>
        <w:numPr>
          <w:ilvl w:val="0"/>
          <w:numId w:val="13"/>
        </w:numPr>
        <w:jc w:val="both"/>
        <w:rPr>
          <w:sz w:val="20"/>
          <w:szCs w:val="20"/>
          <w:lang w:val="en-GB" w:eastAsia="en-US"/>
        </w:rPr>
      </w:pPr>
      <w:r w:rsidRPr="008A290F">
        <w:rPr>
          <w:sz w:val="20"/>
          <w:szCs w:val="20"/>
          <w:lang w:val="en-GB" w:eastAsia="en-US"/>
        </w:rPr>
        <w:t>Simplifying collision handling</w:t>
      </w:r>
      <w:r w:rsidR="00462CE9" w:rsidRPr="008A290F">
        <w:rPr>
          <w:sz w:val="20"/>
          <w:szCs w:val="20"/>
          <w:lang w:val="en-GB" w:eastAsia="en-US"/>
        </w:rPr>
        <w:t xml:space="preserve"> procedures</w:t>
      </w:r>
      <w:r w:rsidR="005D6212" w:rsidRPr="008A290F">
        <w:rPr>
          <w:sz w:val="20"/>
          <w:szCs w:val="20"/>
          <w:lang w:val="en-GB" w:eastAsia="en-US"/>
        </w:rPr>
        <w:t>.</w:t>
      </w:r>
    </w:p>
    <w:p w14:paraId="324D7FF1" w14:textId="0FAC6C8C" w:rsidR="007B6AB0" w:rsidRPr="008A290F" w:rsidRDefault="007B6AB0" w:rsidP="00FC0A9D">
      <w:pPr>
        <w:pStyle w:val="af6"/>
        <w:numPr>
          <w:ilvl w:val="0"/>
          <w:numId w:val="13"/>
        </w:numPr>
        <w:ind w:left="714" w:hanging="357"/>
        <w:jc w:val="both"/>
        <w:rPr>
          <w:sz w:val="20"/>
          <w:szCs w:val="20"/>
          <w:lang w:val="en-GB" w:eastAsia="en-US"/>
        </w:rPr>
      </w:pPr>
      <w:r w:rsidRPr="008A290F">
        <w:rPr>
          <w:sz w:val="20"/>
          <w:szCs w:val="20"/>
          <w:lang w:val="en-GB" w:eastAsia="en-US"/>
        </w:rPr>
        <w:t>Allow</w:t>
      </w:r>
      <w:r w:rsidR="00691D8E" w:rsidRPr="008A290F">
        <w:rPr>
          <w:sz w:val="20"/>
          <w:szCs w:val="20"/>
          <w:lang w:val="en-GB" w:eastAsia="en-US"/>
        </w:rPr>
        <w:t>ing</w:t>
      </w:r>
      <w:r w:rsidRPr="008A290F">
        <w:rPr>
          <w:sz w:val="20"/>
          <w:szCs w:val="20"/>
          <w:lang w:val="en-GB" w:eastAsia="en-US"/>
        </w:rPr>
        <w:t xml:space="preserve"> </w:t>
      </w:r>
      <w:r w:rsidR="00F831EB" w:rsidRPr="008A290F">
        <w:rPr>
          <w:sz w:val="20"/>
          <w:szCs w:val="20"/>
          <w:lang w:val="en-GB" w:eastAsia="en-US"/>
        </w:rPr>
        <w:t xml:space="preserve">UE to </w:t>
      </w:r>
      <w:r w:rsidRPr="008A290F">
        <w:rPr>
          <w:sz w:val="20"/>
          <w:szCs w:val="20"/>
          <w:lang w:val="en-GB" w:eastAsia="en-US"/>
        </w:rPr>
        <w:t xml:space="preserve">optimize hardware </w:t>
      </w:r>
      <w:r w:rsidR="00474A6D" w:rsidRPr="008A290F">
        <w:rPr>
          <w:sz w:val="20"/>
          <w:szCs w:val="20"/>
          <w:lang w:val="en-GB" w:eastAsia="en-US"/>
        </w:rPr>
        <w:t xml:space="preserve">configuration </w:t>
      </w:r>
      <w:r w:rsidR="00F831EB" w:rsidRPr="008A290F">
        <w:rPr>
          <w:sz w:val="20"/>
          <w:szCs w:val="20"/>
          <w:lang w:val="en-GB" w:eastAsia="en-US"/>
        </w:rPr>
        <w:t xml:space="preserve">on a specific slot/symbol </w:t>
      </w:r>
      <w:r w:rsidR="00474A6D" w:rsidRPr="008A290F">
        <w:rPr>
          <w:sz w:val="20"/>
          <w:szCs w:val="20"/>
          <w:lang w:val="en-GB" w:eastAsia="en-US"/>
        </w:rPr>
        <w:t xml:space="preserve">for only UL transmission (if the </w:t>
      </w:r>
      <w:r w:rsidR="002F2271" w:rsidRPr="008A290F">
        <w:rPr>
          <w:sz w:val="20"/>
          <w:szCs w:val="20"/>
          <w:lang w:val="en-GB" w:eastAsia="en-US"/>
        </w:rPr>
        <w:t>configured</w:t>
      </w:r>
      <w:r w:rsidR="00474A6D" w:rsidRPr="008A290F">
        <w:rPr>
          <w:sz w:val="20"/>
          <w:szCs w:val="20"/>
          <w:lang w:val="en-GB" w:eastAsia="en-US"/>
        </w:rPr>
        <w:t xml:space="preserve"> </w:t>
      </w:r>
      <w:r w:rsidR="002F2271" w:rsidRPr="008A290F">
        <w:rPr>
          <w:sz w:val="20"/>
          <w:szCs w:val="20"/>
          <w:lang w:val="en-GB" w:eastAsia="en-US"/>
        </w:rPr>
        <w:t>direction is UL)</w:t>
      </w:r>
      <w:r w:rsidR="002154C2" w:rsidRPr="008A290F">
        <w:rPr>
          <w:sz w:val="20"/>
          <w:szCs w:val="20"/>
          <w:lang w:val="en-GB" w:eastAsia="en-US"/>
        </w:rPr>
        <w:t>,</w:t>
      </w:r>
      <w:r w:rsidR="00474A6D" w:rsidRPr="008A290F">
        <w:rPr>
          <w:sz w:val="20"/>
          <w:szCs w:val="20"/>
          <w:lang w:val="en-GB" w:eastAsia="en-US"/>
        </w:rPr>
        <w:t xml:space="preserve"> or for only DL reception</w:t>
      </w:r>
      <w:r w:rsidR="00F831EB" w:rsidRPr="008A290F">
        <w:rPr>
          <w:sz w:val="20"/>
          <w:szCs w:val="20"/>
          <w:lang w:val="en-GB" w:eastAsia="en-US"/>
        </w:rPr>
        <w:t xml:space="preserve"> (if the configured direction is DL)</w:t>
      </w:r>
      <w:r w:rsidR="002154C2" w:rsidRPr="008A290F">
        <w:rPr>
          <w:sz w:val="20"/>
          <w:szCs w:val="20"/>
          <w:lang w:val="en-GB" w:eastAsia="en-US"/>
        </w:rPr>
        <w:t>.</w:t>
      </w:r>
    </w:p>
    <w:p w14:paraId="74D2C274" w14:textId="0F02442F" w:rsidR="002E0E7E" w:rsidRPr="008A290F" w:rsidRDefault="007F46C5" w:rsidP="002E0E7E">
      <w:pPr>
        <w:jc w:val="both"/>
        <w:rPr>
          <w:lang w:eastAsia="en-US"/>
        </w:rPr>
      </w:pPr>
      <w:r w:rsidRPr="008A290F">
        <w:rPr>
          <w:lang w:eastAsia="en-US"/>
        </w:rPr>
        <w:t>A more advanced UE can support Option 1, where both directions (UL and DL) are considered valid on a SBFD symbol, and certain collision and prioritization rules will determine whether an UL transmission or DL reception will occur at a given instant.</w:t>
      </w:r>
    </w:p>
    <w:p w14:paraId="5BA6AF2F" w14:textId="6EFB9F7D" w:rsidR="003C0E66" w:rsidRPr="008A290F" w:rsidRDefault="002E0E7E" w:rsidP="00FC0A9D">
      <w:pPr>
        <w:pStyle w:val="af6"/>
        <w:numPr>
          <w:ilvl w:val="0"/>
          <w:numId w:val="10"/>
        </w:numPr>
        <w:spacing w:after="120"/>
        <w:contextualSpacing w:val="0"/>
        <w:jc w:val="both"/>
        <w:rPr>
          <w:b/>
          <w:bCs/>
          <w:i/>
          <w:iCs/>
          <w:sz w:val="20"/>
          <w:szCs w:val="20"/>
          <w:lang w:val="en-GB" w:eastAsia="ko-KR"/>
        </w:rPr>
      </w:pPr>
      <w:r w:rsidRPr="008A290F">
        <w:rPr>
          <w:rFonts w:eastAsia="Malgun Gothic"/>
          <w:b/>
          <w:bCs/>
          <w:i/>
          <w:iCs/>
          <w:sz w:val="20"/>
          <w:szCs w:val="20"/>
          <w:lang w:val="en-GB" w:eastAsia="ko-KR"/>
        </w:rPr>
        <w:t xml:space="preserve">Option 2, which provides an explicit link direction indication, enables low-complexity UE implementation for operations on SBFD symbols. </w:t>
      </w:r>
    </w:p>
    <w:p w14:paraId="519F76B3" w14:textId="51015B9F" w:rsidR="005C5E24" w:rsidRPr="008A290F" w:rsidRDefault="00010E1B" w:rsidP="0013268D">
      <w:pPr>
        <w:jc w:val="both"/>
        <w:rPr>
          <w:rFonts w:eastAsia="Malgun Gothic"/>
          <w:lang w:eastAsia="ko-KR"/>
        </w:rPr>
      </w:pPr>
      <w:r w:rsidRPr="008A290F">
        <w:rPr>
          <w:lang w:eastAsia="en-US"/>
        </w:rPr>
        <w:t xml:space="preserve">Moreover, Option </w:t>
      </w:r>
      <w:r w:rsidR="00437E78" w:rsidRPr="008A290F">
        <w:rPr>
          <w:lang w:eastAsia="en-US"/>
        </w:rPr>
        <w:t xml:space="preserve">2 </w:t>
      </w:r>
      <w:r w:rsidRPr="008A290F">
        <w:rPr>
          <w:lang w:eastAsia="en-US"/>
        </w:rPr>
        <w:t xml:space="preserve">can be achieved </w:t>
      </w:r>
      <w:r w:rsidR="00C12CA9" w:rsidRPr="008A290F">
        <w:rPr>
          <w:lang w:eastAsia="en-US"/>
        </w:rPr>
        <w:t xml:space="preserve">by </w:t>
      </w:r>
      <w:r w:rsidRPr="008A290F">
        <w:rPr>
          <w:lang w:eastAsia="en-US"/>
        </w:rPr>
        <w:t>reusing</w:t>
      </w:r>
      <w:r w:rsidR="00011D4E">
        <w:rPr>
          <w:lang w:eastAsia="en-US"/>
        </w:rPr>
        <w:t xml:space="preserve"> </w:t>
      </w:r>
      <w:r w:rsidRPr="008A290F">
        <w:rPr>
          <w:lang w:eastAsia="en-US"/>
        </w:rPr>
        <w:t xml:space="preserve">existing UE-specific </w:t>
      </w:r>
      <w:r w:rsidR="006F6464" w:rsidRPr="008A290F">
        <w:rPr>
          <w:lang w:eastAsia="en-US"/>
        </w:rPr>
        <w:t>signalling</w:t>
      </w:r>
      <w:r w:rsidRPr="008A290F">
        <w:rPr>
          <w:lang w:eastAsia="en-US"/>
        </w:rPr>
        <w:t xml:space="preserve"> for </w:t>
      </w:r>
      <w:r w:rsidRPr="008A290F">
        <w:rPr>
          <w:rFonts w:eastAsia="Malgun Gothic"/>
          <w:i/>
          <w:iCs/>
          <w:lang w:eastAsia="ko-KR"/>
        </w:rPr>
        <w:t xml:space="preserve">tdd-UL-DL-ConfigurationDedicated. </w:t>
      </w:r>
      <w:r w:rsidRPr="008A290F">
        <w:rPr>
          <w:rFonts w:eastAsia="Malgun Gothic"/>
          <w:lang w:eastAsia="ko-KR"/>
        </w:rPr>
        <w:t xml:space="preserve">Currently </w:t>
      </w:r>
      <w:r w:rsidRPr="008A290F">
        <w:rPr>
          <w:rFonts w:eastAsia="Malgun Gothic"/>
          <w:i/>
          <w:iCs/>
          <w:lang w:eastAsia="ko-KR"/>
        </w:rPr>
        <w:t xml:space="preserve">tdd-UL-DL-ConfigurationDedicated </w:t>
      </w:r>
      <w:r w:rsidRPr="008A290F">
        <w:rPr>
          <w:rFonts w:eastAsia="Malgun Gothic"/>
          <w:lang w:eastAsia="ko-KR"/>
        </w:rPr>
        <w:t xml:space="preserve">only interacts with symbols defined as </w:t>
      </w:r>
      <w:r w:rsidR="001F42A3">
        <w:rPr>
          <w:rFonts w:eastAsia="Malgun Gothic"/>
          <w:lang w:eastAsia="ko-KR"/>
        </w:rPr>
        <w:t>F</w:t>
      </w:r>
      <w:r w:rsidRPr="008A290F">
        <w:rPr>
          <w:rFonts w:eastAsia="Malgun Gothic"/>
          <w:lang w:eastAsia="ko-KR"/>
        </w:rPr>
        <w:t xml:space="preserve"> by </w:t>
      </w:r>
      <w:r w:rsidRPr="008A290F">
        <w:rPr>
          <w:rFonts w:eastAsia="Malgun Gothic"/>
          <w:i/>
          <w:iCs/>
          <w:lang w:eastAsia="ko-KR"/>
        </w:rPr>
        <w:t>tdd-UL-DL-ConfigurationCommon</w:t>
      </w:r>
      <w:r w:rsidRPr="008A290F">
        <w:rPr>
          <w:rFonts w:eastAsia="Malgun Gothic"/>
          <w:lang w:eastAsia="ko-KR"/>
        </w:rPr>
        <w:t xml:space="preserve">. However, from a </w:t>
      </w:r>
      <w:r w:rsidR="0090173B" w:rsidRPr="008A290F">
        <w:rPr>
          <w:rFonts w:eastAsia="Malgun Gothic"/>
          <w:lang w:eastAsia="ko-KR"/>
        </w:rPr>
        <w:t>signalling</w:t>
      </w:r>
      <w:r w:rsidRPr="008A290F">
        <w:rPr>
          <w:rFonts w:eastAsia="Malgun Gothic"/>
          <w:lang w:eastAsia="ko-KR"/>
        </w:rPr>
        <w:t xml:space="preserve"> point of view </w:t>
      </w:r>
      <w:r w:rsidRPr="008A290F">
        <w:rPr>
          <w:rFonts w:eastAsia="Malgun Gothic"/>
          <w:i/>
          <w:iCs/>
          <w:lang w:eastAsia="ko-KR"/>
        </w:rPr>
        <w:t xml:space="preserve">tdd-UL-DL-ConfigurationDedicated </w:t>
      </w:r>
      <w:r w:rsidRPr="008A290F">
        <w:rPr>
          <w:rFonts w:eastAsia="Malgun Gothic"/>
          <w:lang w:eastAsia="ko-KR"/>
        </w:rPr>
        <w:t>can point to</w:t>
      </w:r>
      <w:r w:rsidR="00011D4E">
        <w:rPr>
          <w:rFonts w:eastAsia="Malgun Gothic"/>
          <w:lang w:eastAsia="ko-KR"/>
        </w:rPr>
        <w:t xml:space="preserve"> </w:t>
      </w:r>
      <w:r w:rsidRPr="008A290F">
        <w:rPr>
          <w:rFonts w:eastAsia="Malgun Gothic"/>
          <w:lang w:eastAsia="ko-KR"/>
        </w:rPr>
        <w:t xml:space="preserve">any </w:t>
      </w:r>
      <w:r w:rsidR="00092DDC" w:rsidRPr="008A290F">
        <w:rPr>
          <w:rFonts w:eastAsia="Malgun Gothic"/>
          <w:lang w:eastAsia="ko-KR"/>
        </w:rPr>
        <w:t>slot</w:t>
      </w:r>
      <w:r w:rsidRPr="008A290F">
        <w:rPr>
          <w:rFonts w:eastAsia="Malgun Gothic"/>
          <w:lang w:eastAsia="ko-KR"/>
        </w:rPr>
        <w:t xml:space="preserve"> index</w:t>
      </w:r>
      <w:r w:rsidR="00B70CF1" w:rsidRPr="008A290F">
        <w:rPr>
          <w:rFonts w:eastAsia="Malgun Gothic"/>
          <w:lang w:eastAsia="ko-KR"/>
        </w:rPr>
        <w:t xml:space="preserve"> (including </w:t>
      </w:r>
      <w:r w:rsidR="001F42A3">
        <w:rPr>
          <w:rFonts w:eastAsia="Malgun Gothic"/>
          <w:lang w:eastAsia="ko-KR"/>
        </w:rPr>
        <w:t>DL</w:t>
      </w:r>
      <w:r w:rsidR="00B70CF1" w:rsidRPr="008A290F">
        <w:rPr>
          <w:rFonts w:eastAsia="Malgun Gothic"/>
          <w:lang w:eastAsia="ko-KR"/>
        </w:rPr>
        <w:t xml:space="preserve"> s</w:t>
      </w:r>
      <w:r w:rsidR="001F42A3">
        <w:rPr>
          <w:rFonts w:eastAsia="Malgun Gothic"/>
          <w:lang w:eastAsia="ko-KR"/>
        </w:rPr>
        <w:t>lot</w:t>
      </w:r>
      <w:r w:rsidR="00B70CF1" w:rsidRPr="008A290F">
        <w:rPr>
          <w:rFonts w:eastAsia="Malgun Gothic"/>
          <w:lang w:eastAsia="ko-KR"/>
        </w:rPr>
        <w:t>s)</w:t>
      </w:r>
      <w:r w:rsidRPr="008A290F">
        <w:rPr>
          <w:rFonts w:eastAsia="Malgun Gothic"/>
          <w:lang w:eastAsia="ko-KR"/>
        </w:rPr>
        <w:t xml:space="preserve"> within a TDD pattern</w:t>
      </w:r>
      <w:r w:rsidR="00092DDC" w:rsidRPr="008A290F">
        <w:rPr>
          <w:rFonts w:eastAsia="Malgun Gothic"/>
          <w:lang w:eastAsia="ko-KR"/>
        </w:rPr>
        <w:t xml:space="preserve"> using the parameter </w:t>
      </w:r>
      <w:r w:rsidR="00092DDC" w:rsidRPr="008A290F">
        <w:rPr>
          <w:lang w:eastAsia="en-US"/>
        </w:rPr>
        <w:t>“</w:t>
      </w:r>
      <w:r w:rsidR="00092DDC" w:rsidRPr="008A290F">
        <w:rPr>
          <w:i/>
          <w:iCs/>
          <w:lang w:eastAsia="en-US"/>
        </w:rPr>
        <w:t>slotIndex”</w:t>
      </w:r>
      <w:r w:rsidRPr="008A290F">
        <w:rPr>
          <w:rFonts w:eastAsia="Malgun Gothic"/>
          <w:lang w:eastAsia="ko-KR"/>
        </w:rPr>
        <w:t>.</w:t>
      </w:r>
      <w:r w:rsidR="00437E78" w:rsidRPr="008A290F">
        <w:rPr>
          <w:rFonts w:eastAsia="Malgun Gothic"/>
          <w:lang w:eastAsia="ko-KR"/>
        </w:rPr>
        <w:t xml:space="preserve"> Therefore, if in addition to </w:t>
      </w:r>
      <w:r w:rsidR="001F42A3">
        <w:rPr>
          <w:rFonts w:eastAsia="Malgun Gothic"/>
          <w:lang w:eastAsia="ko-KR"/>
        </w:rPr>
        <w:t>F</w:t>
      </w:r>
      <w:r w:rsidR="00437E78" w:rsidRPr="008A290F">
        <w:rPr>
          <w:rFonts w:eastAsia="Malgun Gothic"/>
          <w:lang w:eastAsia="ko-KR"/>
        </w:rPr>
        <w:t xml:space="preserve"> symbols</w:t>
      </w:r>
      <w:r w:rsidR="004C3DE1">
        <w:rPr>
          <w:rFonts w:eastAsia="Malgun Gothic"/>
          <w:lang w:eastAsia="ko-KR"/>
        </w:rPr>
        <w:t>,</w:t>
      </w:r>
      <w:r w:rsidR="00437E78" w:rsidRPr="008A290F">
        <w:rPr>
          <w:rFonts w:eastAsia="Malgun Gothic"/>
          <w:lang w:eastAsia="ko-KR"/>
        </w:rPr>
        <w:t xml:space="preserve"> </w:t>
      </w:r>
      <w:r w:rsidR="00437E78" w:rsidRPr="008A290F">
        <w:rPr>
          <w:rFonts w:eastAsia="Malgun Gothic"/>
          <w:i/>
          <w:iCs/>
          <w:lang w:eastAsia="ko-KR"/>
        </w:rPr>
        <w:t xml:space="preserve">tdd-UL-DL-ConfigurationDedicated </w:t>
      </w:r>
      <w:r w:rsidR="00437E78" w:rsidRPr="008A290F">
        <w:rPr>
          <w:rFonts w:eastAsia="Malgun Gothic"/>
          <w:lang w:eastAsia="ko-KR"/>
        </w:rPr>
        <w:t xml:space="preserve">is allowed to interact with symbols defined as </w:t>
      </w:r>
      <w:r w:rsidR="001F42A3">
        <w:rPr>
          <w:rFonts w:eastAsia="Malgun Gothic"/>
          <w:lang w:eastAsia="ko-KR"/>
        </w:rPr>
        <w:t>DL</w:t>
      </w:r>
      <w:r w:rsidR="00437E78" w:rsidRPr="008A290F">
        <w:rPr>
          <w:rFonts w:eastAsia="Malgun Gothic"/>
          <w:lang w:eastAsia="ko-KR"/>
        </w:rPr>
        <w:t xml:space="preserve"> by </w:t>
      </w:r>
      <w:r w:rsidR="00437E78" w:rsidRPr="008A290F">
        <w:rPr>
          <w:rFonts w:eastAsia="Malgun Gothic"/>
          <w:i/>
          <w:iCs/>
          <w:lang w:eastAsia="ko-KR"/>
        </w:rPr>
        <w:t xml:space="preserve">tdd-UL-DL-ConfigurationCommon, </w:t>
      </w:r>
      <w:r w:rsidR="00437E78" w:rsidRPr="008A290F">
        <w:rPr>
          <w:rFonts w:eastAsia="Malgun Gothic"/>
          <w:lang w:eastAsia="ko-KR"/>
        </w:rPr>
        <w:t xml:space="preserve">the existing </w:t>
      </w:r>
      <w:r w:rsidR="0090173B" w:rsidRPr="008A290F">
        <w:rPr>
          <w:rFonts w:eastAsia="Malgun Gothic"/>
          <w:lang w:eastAsia="ko-KR"/>
        </w:rPr>
        <w:t>signalling</w:t>
      </w:r>
      <w:r w:rsidR="00437E78" w:rsidRPr="008A290F">
        <w:rPr>
          <w:rFonts w:eastAsia="Malgun Gothic"/>
          <w:lang w:eastAsia="ko-KR"/>
        </w:rPr>
        <w:t xml:space="preserve"> </w:t>
      </w:r>
      <w:r w:rsidR="00C66417" w:rsidRPr="008A290F">
        <w:rPr>
          <w:rFonts w:eastAsia="Malgun Gothic"/>
          <w:lang w:eastAsia="ko-KR"/>
        </w:rPr>
        <w:t>can</w:t>
      </w:r>
      <w:r w:rsidR="00437E78" w:rsidRPr="008A290F">
        <w:rPr>
          <w:rFonts w:eastAsia="Malgun Gothic"/>
          <w:lang w:eastAsia="ko-KR"/>
        </w:rPr>
        <w:t xml:space="preserve"> be directly reused for link direction indication in SBFD</w:t>
      </w:r>
      <w:r w:rsidR="00011D4E">
        <w:rPr>
          <w:rFonts w:eastAsia="Malgun Gothic"/>
          <w:lang w:eastAsia="ko-KR"/>
        </w:rPr>
        <w:t xml:space="preserve">. </w:t>
      </w:r>
    </w:p>
    <w:p w14:paraId="4591B374" w14:textId="561C58CA" w:rsidR="00BD0DFF" w:rsidRPr="008A290F" w:rsidRDefault="002E0E7E" w:rsidP="00FC0A9D">
      <w:pPr>
        <w:pStyle w:val="af6"/>
        <w:numPr>
          <w:ilvl w:val="0"/>
          <w:numId w:val="10"/>
        </w:numPr>
        <w:spacing w:after="120"/>
        <w:contextualSpacing w:val="0"/>
        <w:jc w:val="both"/>
        <w:rPr>
          <w:b/>
          <w:bCs/>
          <w:i/>
          <w:iCs/>
          <w:sz w:val="20"/>
          <w:szCs w:val="20"/>
          <w:lang w:val="en-GB" w:eastAsia="ko-KR"/>
        </w:rPr>
      </w:pPr>
      <w:r w:rsidRPr="008A290F">
        <w:rPr>
          <w:rFonts w:eastAsia="Malgun Gothic"/>
          <w:b/>
          <w:bCs/>
          <w:i/>
          <w:iCs/>
          <w:sz w:val="20"/>
          <w:szCs w:val="20"/>
          <w:lang w:val="en-GB" w:eastAsia="ko-KR"/>
        </w:rPr>
        <w:t>Explicit link direction indication (Option 2) can be achieved</w:t>
      </w:r>
      <w:r w:rsidR="001C730A" w:rsidRPr="008A290F">
        <w:rPr>
          <w:rFonts w:eastAsia="Malgun Gothic"/>
          <w:b/>
          <w:bCs/>
          <w:i/>
          <w:iCs/>
          <w:sz w:val="20"/>
          <w:szCs w:val="20"/>
          <w:lang w:val="en-GB" w:eastAsia="ko-KR"/>
        </w:rPr>
        <w:t xml:space="preserve"> by</w:t>
      </w:r>
      <w:r w:rsidRPr="008A290F">
        <w:rPr>
          <w:rFonts w:eastAsia="Malgun Gothic"/>
          <w:b/>
          <w:bCs/>
          <w:i/>
          <w:iCs/>
          <w:sz w:val="20"/>
          <w:szCs w:val="20"/>
          <w:lang w:val="en-GB" w:eastAsia="ko-KR"/>
        </w:rPr>
        <w:t xml:space="preserve"> reusing existing UE-specific </w:t>
      </w:r>
      <w:r w:rsidR="0090173B" w:rsidRPr="008A290F">
        <w:rPr>
          <w:rFonts w:eastAsia="Malgun Gothic"/>
          <w:b/>
          <w:bCs/>
          <w:i/>
          <w:iCs/>
          <w:sz w:val="20"/>
          <w:szCs w:val="20"/>
          <w:lang w:val="en-GB" w:eastAsia="ko-KR"/>
        </w:rPr>
        <w:t>signalling</w:t>
      </w:r>
      <w:r w:rsidRPr="008A290F">
        <w:rPr>
          <w:rFonts w:eastAsia="Malgun Gothic"/>
          <w:b/>
          <w:bCs/>
          <w:i/>
          <w:iCs/>
          <w:sz w:val="20"/>
          <w:szCs w:val="20"/>
          <w:lang w:val="en-GB" w:eastAsia="ko-KR"/>
        </w:rPr>
        <w:t xml:space="preserve"> for tdd-UL-DL-ConfigurationDedicated</w:t>
      </w:r>
      <w:r w:rsidRPr="008A290F">
        <w:rPr>
          <w:b/>
          <w:bCs/>
          <w:i/>
          <w:iCs/>
          <w:sz w:val="20"/>
          <w:szCs w:val="20"/>
          <w:lang w:val="en-GB" w:eastAsia="en-US"/>
        </w:rPr>
        <w:t>.</w:t>
      </w:r>
    </w:p>
    <w:p w14:paraId="2CA80972" w14:textId="5478C3CF" w:rsidR="00BD0DFF" w:rsidRPr="008A290F" w:rsidRDefault="00BD0DFF" w:rsidP="001907F1">
      <w:pPr>
        <w:spacing w:after="0"/>
        <w:jc w:val="center"/>
        <w:rPr>
          <w:lang w:eastAsia="en-US"/>
        </w:rPr>
      </w:pPr>
      <w:r w:rsidRPr="008A290F">
        <w:rPr>
          <w:noProof/>
          <w:lang w:eastAsia="en-US"/>
        </w:rPr>
        <w:drawing>
          <wp:inline distT="0" distB="0" distL="0" distR="0" wp14:anchorId="3C5ABAE8" wp14:editId="7ADAEB60">
            <wp:extent cx="3070747" cy="1022198"/>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05493" cy="1033764"/>
                    </a:xfrm>
                    <a:prstGeom prst="rect">
                      <a:avLst/>
                    </a:prstGeom>
                    <a:noFill/>
                  </pic:spPr>
                </pic:pic>
              </a:graphicData>
            </a:graphic>
          </wp:inline>
        </w:drawing>
      </w:r>
    </w:p>
    <w:p w14:paraId="37FCBC2F" w14:textId="6D044A7F" w:rsidR="00307210" w:rsidRPr="008A290F" w:rsidRDefault="00307210" w:rsidP="00BD0DFF">
      <w:pPr>
        <w:jc w:val="center"/>
        <w:rPr>
          <w:lang w:eastAsia="en-US"/>
        </w:rPr>
      </w:pPr>
      <w:r w:rsidRPr="008A290F">
        <w:rPr>
          <w:lang w:eastAsia="en-US"/>
        </w:rPr>
        <w:t>(a)</w:t>
      </w:r>
    </w:p>
    <w:p w14:paraId="522769C9" w14:textId="0EB68F1A" w:rsidR="00BD0DFF" w:rsidRPr="008A290F" w:rsidRDefault="00BD0DFF" w:rsidP="001907F1">
      <w:pPr>
        <w:spacing w:after="0"/>
        <w:jc w:val="center"/>
        <w:rPr>
          <w:noProof/>
          <w:lang w:eastAsia="en-US"/>
        </w:rPr>
      </w:pPr>
      <w:r w:rsidRPr="008A290F">
        <w:rPr>
          <w:noProof/>
          <w:lang w:eastAsia="en-US"/>
        </w:rPr>
        <w:drawing>
          <wp:inline distT="0" distB="0" distL="0" distR="0" wp14:anchorId="2F774D31" wp14:editId="7996415E">
            <wp:extent cx="3154032" cy="982638"/>
            <wp:effectExtent l="0" t="0" r="889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02225" cy="997652"/>
                    </a:xfrm>
                    <a:prstGeom prst="rect">
                      <a:avLst/>
                    </a:prstGeom>
                    <a:noFill/>
                  </pic:spPr>
                </pic:pic>
              </a:graphicData>
            </a:graphic>
          </wp:inline>
        </w:drawing>
      </w:r>
    </w:p>
    <w:p w14:paraId="72ED1D40" w14:textId="49FCD050" w:rsidR="00BD0DFF" w:rsidRPr="008A290F" w:rsidRDefault="00307210" w:rsidP="001907F1">
      <w:pPr>
        <w:spacing w:after="0"/>
        <w:jc w:val="center"/>
        <w:rPr>
          <w:noProof/>
          <w:lang w:eastAsia="en-US"/>
        </w:rPr>
      </w:pPr>
      <w:r w:rsidRPr="008A290F">
        <w:rPr>
          <w:noProof/>
          <w:lang w:eastAsia="en-US"/>
        </w:rPr>
        <w:t>(b)</w:t>
      </w:r>
    </w:p>
    <w:p w14:paraId="0D5934AA" w14:textId="65E329F6" w:rsidR="00307210" w:rsidRPr="008A290F" w:rsidRDefault="00307210" w:rsidP="00307210">
      <w:pPr>
        <w:jc w:val="center"/>
        <w:rPr>
          <w:lang w:eastAsia="en-US"/>
        </w:rPr>
      </w:pPr>
      <w:bookmarkStart w:id="5" w:name="_Ref163204801"/>
      <w:r w:rsidRPr="008A290F">
        <w:rPr>
          <w:bdr w:val="none" w:sz="0" w:space="0" w:color="auto" w:frame="1"/>
        </w:rPr>
        <w:t xml:space="preserve">Figure </w:t>
      </w:r>
      <w:r w:rsidRPr="008A290F">
        <w:fldChar w:fldCharType="begin"/>
      </w:r>
      <w:r w:rsidRPr="008A290F">
        <w:instrText xml:space="preserve"> SEQ Figure \* ARABIC </w:instrText>
      </w:r>
      <w:r w:rsidRPr="008A290F">
        <w:fldChar w:fldCharType="separate"/>
      </w:r>
      <w:r w:rsidR="00D77008">
        <w:rPr>
          <w:noProof/>
        </w:rPr>
        <w:t>2</w:t>
      </w:r>
      <w:r w:rsidRPr="008A290F">
        <w:rPr>
          <w:noProof/>
        </w:rPr>
        <w:fldChar w:fldCharType="end"/>
      </w:r>
      <w:bookmarkEnd w:id="5"/>
      <w:r w:rsidRPr="008A290F">
        <w:rPr>
          <w:bdr w:val="none" w:sz="0" w:space="0" w:color="auto" w:frame="1"/>
        </w:rPr>
        <w:t xml:space="preserve">: Transmission direction indication using </w:t>
      </w:r>
      <w:r w:rsidRPr="008A290F">
        <w:rPr>
          <w:rFonts w:eastAsia="Malgun Gothic"/>
          <w:i/>
          <w:iCs/>
          <w:lang w:eastAsia="ko-KR"/>
        </w:rPr>
        <w:t>tdd-UL-DL-ConfigurationDedicated</w:t>
      </w:r>
      <w:r w:rsidR="00C1571F" w:rsidRPr="008A290F">
        <w:rPr>
          <w:rFonts w:eastAsia="Malgun Gothic"/>
          <w:i/>
          <w:iCs/>
          <w:lang w:eastAsia="ko-KR"/>
        </w:rPr>
        <w:t>.</w:t>
      </w:r>
    </w:p>
    <w:p w14:paraId="1D9A7068" w14:textId="5013D3F6" w:rsidR="000950BC" w:rsidRPr="008A290F" w:rsidRDefault="0010759D" w:rsidP="00E72009">
      <w:pPr>
        <w:spacing w:after="0"/>
        <w:jc w:val="both"/>
        <w:rPr>
          <w:lang w:eastAsia="en-US"/>
        </w:rPr>
      </w:pPr>
      <w:r w:rsidRPr="008A290F">
        <w:rPr>
          <w:lang w:eastAsia="en-US"/>
        </w:rPr>
        <w:t>The two parameters, “</w:t>
      </w:r>
      <w:r w:rsidRPr="008A290F">
        <w:rPr>
          <w:i/>
          <w:iCs/>
          <w:lang w:eastAsia="en-US"/>
        </w:rPr>
        <w:t xml:space="preserve">slotIndex” </w:t>
      </w:r>
      <w:r w:rsidRPr="008A290F">
        <w:rPr>
          <w:lang w:eastAsia="en-US"/>
        </w:rPr>
        <w:t>and “</w:t>
      </w:r>
      <w:r w:rsidRPr="008A290F">
        <w:rPr>
          <w:i/>
          <w:iCs/>
          <w:lang w:eastAsia="en-US"/>
        </w:rPr>
        <w:t xml:space="preserve">symbols”, </w:t>
      </w:r>
      <w:r w:rsidRPr="008A290F">
        <w:rPr>
          <w:lang w:eastAsia="en-US"/>
        </w:rPr>
        <w:t xml:space="preserve">within </w:t>
      </w:r>
      <w:r w:rsidRPr="008A290F">
        <w:rPr>
          <w:rFonts w:eastAsia="Malgun Gothic"/>
          <w:i/>
          <w:iCs/>
          <w:lang w:eastAsia="ko-KR"/>
        </w:rPr>
        <w:t xml:space="preserve">tdd-UL-DL-ConfigurationDedicated </w:t>
      </w:r>
      <w:r w:rsidR="00092DDC" w:rsidRPr="008A290F">
        <w:rPr>
          <w:rFonts w:eastAsia="Malgun Gothic"/>
          <w:lang w:eastAsia="ko-KR"/>
        </w:rPr>
        <w:t xml:space="preserve">can be used to instruct a UE to perform either </w:t>
      </w:r>
      <w:r w:rsidR="009E27CC">
        <w:rPr>
          <w:rFonts w:eastAsia="Malgun Gothic"/>
          <w:lang w:eastAsia="ko-KR"/>
        </w:rPr>
        <w:t>DL</w:t>
      </w:r>
      <w:r w:rsidR="00092DDC" w:rsidRPr="008A290F">
        <w:rPr>
          <w:rFonts w:eastAsia="Malgun Gothic"/>
          <w:lang w:eastAsia="ko-KR"/>
        </w:rPr>
        <w:t xml:space="preserve"> reception or </w:t>
      </w:r>
      <w:r w:rsidR="009E27CC">
        <w:rPr>
          <w:rFonts w:eastAsia="Malgun Gothic"/>
          <w:lang w:eastAsia="ko-KR"/>
        </w:rPr>
        <w:t>UL</w:t>
      </w:r>
      <w:r w:rsidR="00092DDC" w:rsidRPr="008A290F">
        <w:rPr>
          <w:rFonts w:eastAsia="Malgun Gothic"/>
          <w:lang w:eastAsia="ko-KR"/>
        </w:rPr>
        <w:t xml:space="preserve"> transmission on SBFD symbols. </w:t>
      </w:r>
      <w:r w:rsidR="000950BC" w:rsidRPr="008A290F">
        <w:rPr>
          <w:rFonts w:eastAsia="Malgun Gothic"/>
          <w:lang w:eastAsia="ko-KR"/>
        </w:rPr>
        <w:t xml:space="preserve">The parameter </w:t>
      </w:r>
      <w:r w:rsidR="000950BC" w:rsidRPr="008A290F">
        <w:rPr>
          <w:lang w:eastAsia="en-US"/>
        </w:rPr>
        <w:t>“</w:t>
      </w:r>
      <w:r w:rsidR="000950BC" w:rsidRPr="008A290F">
        <w:rPr>
          <w:i/>
          <w:iCs/>
          <w:lang w:eastAsia="en-US"/>
        </w:rPr>
        <w:t xml:space="preserve">symbols” </w:t>
      </w:r>
      <w:r w:rsidR="000950BC" w:rsidRPr="008A290F">
        <w:rPr>
          <w:lang w:eastAsia="en-US"/>
        </w:rPr>
        <w:t xml:space="preserve">can be configured </w:t>
      </w:r>
      <w:r w:rsidR="000950BC" w:rsidRPr="008A290F">
        <w:rPr>
          <w:lang w:eastAsia="en-US"/>
        </w:rPr>
        <w:lastRenderedPageBreak/>
        <w:t>as “</w:t>
      </w:r>
      <w:r w:rsidR="000950BC" w:rsidRPr="008A290F">
        <w:rPr>
          <w:i/>
          <w:iCs/>
          <w:lang w:eastAsia="en-US"/>
        </w:rPr>
        <w:t>allDownlink</w:t>
      </w:r>
      <w:r w:rsidR="000950BC" w:rsidRPr="008A290F">
        <w:rPr>
          <w:lang w:eastAsia="en-US"/>
        </w:rPr>
        <w:t>”, “</w:t>
      </w:r>
      <w:r w:rsidR="000950BC" w:rsidRPr="008A290F">
        <w:rPr>
          <w:i/>
          <w:iCs/>
          <w:lang w:eastAsia="en-US"/>
        </w:rPr>
        <w:t>allUplink</w:t>
      </w:r>
      <w:r w:rsidR="000950BC" w:rsidRPr="008A290F">
        <w:rPr>
          <w:lang w:eastAsia="en-US"/>
        </w:rPr>
        <w:t>” or “</w:t>
      </w:r>
      <w:r w:rsidR="000950BC" w:rsidRPr="008A290F">
        <w:rPr>
          <w:i/>
          <w:iCs/>
          <w:lang w:eastAsia="en-US"/>
        </w:rPr>
        <w:t>explicit</w:t>
      </w:r>
      <w:r w:rsidR="000950BC" w:rsidRPr="008A290F">
        <w:rPr>
          <w:lang w:eastAsia="en-US"/>
        </w:rPr>
        <w:t>”. These parameters can be used to determine link direction on SBFD symbols as follows</w:t>
      </w:r>
      <w:r w:rsidR="00F17D3E" w:rsidRPr="008A290F">
        <w:rPr>
          <w:lang w:eastAsia="en-US"/>
        </w:rPr>
        <w:t xml:space="preserve"> (see </w:t>
      </w:r>
      <w:r w:rsidR="009E1F79" w:rsidRPr="008A290F">
        <w:rPr>
          <w:lang w:eastAsia="en-US"/>
        </w:rPr>
        <w:fldChar w:fldCharType="begin"/>
      </w:r>
      <w:r w:rsidR="009E1F79" w:rsidRPr="008A290F">
        <w:rPr>
          <w:lang w:eastAsia="en-US"/>
        </w:rPr>
        <w:instrText xml:space="preserve"> REF _Ref163204801 \h </w:instrText>
      </w:r>
      <w:r w:rsidR="009E1F79" w:rsidRPr="008A290F">
        <w:rPr>
          <w:lang w:eastAsia="en-US"/>
        </w:rPr>
      </w:r>
      <w:r w:rsidR="009E1F79" w:rsidRPr="008A290F">
        <w:rPr>
          <w:lang w:eastAsia="en-US"/>
        </w:rPr>
        <w:fldChar w:fldCharType="separate"/>
      </w:r>
      <w:r w:rsidR="00D77008" w:rsidRPr="008A290F">
        <w:rPr>
          <w:bdr w:val="none" w:sz="0" w:space="0" w:color="auto" w:frame="1"/>
        </w:rPr>
        <w:t xml:space="preserve">Figure </w:t>
      </w:r>
      <w:r w:rsidR="00D77008">
        <w:rPr>
          <w:noProof/>
        </w:rPr>
        <w:t>2</w:t>
      </w:r>
      <w:r w:rsidR="009E1F79" w:rsidRPr="008A290F">
        <w:rPr>
          <w:lang w:eastAsia="en-US"/>
        </w:rPr>
        <w:fldChar w:fldCharType="end"/>
      </w:r>
      <w:r w:rsidR="00F17D3E" w:rsidRPr="008A290F">
        <w:rPr>
          <w:lang w:eastAsia="en-US"/>
        </w:rPr>
        <w:t>)</w:t>
      </w:r>
      <w:r w:rsidR="000950BC" w:rsidRPr="008A290F">
        <w:rPr>
          <w:lang w:eastAsia="en-US"/>
        </w:rPr>
        <w:t xml:space="preserve">: </w:t>
      </w:r>
    </w:p>
    <w:p w14:paraId="72931E58" w14:textId="77777777" w:rsidR="000950BC" w:rsidRPr="008A290F" w:rsidRDefault="000950BC" w:rsidP="00FC0A9D">
      <w:pPr>
        <w:pStyle w:val="af6"/>
        <w:numPr>
          <w:ilvl w:val="0"/>
          <w:numId w:val="12"/>
        </w:numPr>
        <w:jc w:val="both"/>
        <w:rPr>
          <w:sz w:val="20"/>
          <w:szCs w:val="20"/>
          <w:lang w:val="en-GB" w:eastAsia="en-US"/>
        </w:rPr>
      </w:pPr>
      <w:r w:rsidRPr="008A290F">
        <w:rPr>
          <w:sz w:val="20"/>
          <w:szCs w:val="20"/>
          <w:lang w:val="en-GB" w:eastAsia="en-US"/>
        </w:rPr>
        <w:t>If the parameter “</w:t>
      </w:r>
      <w:r w:rsidRPr="008A290F">
        <w:rPr>
          <w:i/>
          <w:iCs/>
          <w:sz w:val="20"/>
          <w:szCs w:val="20"/>
          <w:lang w:val="en-GB" w:eastAsia="en-US"/>
        </w:rPr>
        <w:t xml:space="preserve">slotIndex” </w:t>
      </w:r>
      <w:r w:rsidRPr="008A290F">
        <w:rPr>
          <w:sz w:val="20"/>
          <w:szCs w:val="20"/>
          <w:lang w:val="en-GB" w:eastAsia="en-US"/>
        </w:rPr>
        <w:t>coincides with a slot containing SBFD symbols and the parameter “</w:t>
      </w:r>
      <w:r w:rsidRPr="008A290F">
        <w:rPr>
          <w:i/>
          <w:iCs/>
          <w:sz w:val="20"/>
          <w:szCs w:val="20"/>
          <w:lang w:val="en-GB" w:eastAsia="en-US"/>
        </w:rPr>
        <w:t xml:space="preserve">symbols” </w:t>
      </w:r>
      <w:r w:rsidRPr="008A290F">
        <w:rPr>
          <w:sz w:val="20"/>
          <w:szCs w:val="20"/>
          <w:lang w:val="en-GB" w:eastAsia="en-US"/>
        </w:rPr>
        <w:t>is configured as “</w:t>
      </w:r>
      <w:r w:rsidRPr="008A290F">
        <w:rPr>
          <w:i/>
          <w:iCs/>
          <w:sz w:val="20"/>
          <w:szCs w:val="20"/>
          <w:lang w:val="en-GB" w:eastAsia="en-US"/>
        </w:rPr>
        <w:t>allDownlink</w:t>
      </w:r>
      <w:r w:rsidRPr="008A290F">
        <w:rPr>
          <w:sz w:val="20"/>
          <w:szCs w:val="20"/>
          <w:lang w:val="en-GB" w:eastAsia="en-US"/>
        </w:rPr>
        <w:t xml:space="preserve">” </w:t>
      </w:r>
    </w:p>
    <w:p w14:paraId="48AB73F6" w14:textId="01268C91" w:rsidR="000950BC" w:rsidRPr="008A290F" w:rsidRDefault="000950BC" w:rsidP="00FC0A9D">
      <w:pPr>
        <w:pStyle w:val="af6"/>
        <w:numPr>
          <w:ilvl w:val="1"/>
          <w:numId w:val="12"/>
        </w:numPr>
        <w:jc w:val="both"/>
        <w:rPr>
          <w:sz w:val="20"/>
          <w:szCs w:val="20"/>
          <w:lang w:val="en-GB" w:eastAsia="en-US"/>
        </w:rPr>
      </w:pPr>
      <w:r w:rsidRPr="008A290F">
        <w:rPr>
          <w:sz w:val="20"/>
          <w:szCs w:val="20"/>
          <w:lang w:val="en-GB" w:eastAsia="en-US"/>
        </w:rPr>
        <w:t xml:space="preserve">UE performs only </w:t>
      </w:r>
      <w:r w:rsidR="0033639F">
        <w:rPr>
          <w:sz w:val="20"/>
          <w:szCs w:val="20"/>
          <w:lang w:val="en-GB" w:eastAsia="en-US"/>
        </w:rPr>
        <w:t>DL</w:t>
      </w:r>
      <w:r w:rsidRPr="008A290F">
        <w:rPr>
          <w:sz w:val="20"/>
          <w:szCs w:val="20"/>
          <w:lang w:val="en-GB" w:eastAsia="en-US"/>
        </w:rPr>
        <w:t xml:space="preserve"> reception on all</w:t>
      </w:r>
      <w:r w:rsidR="00531453" w:rsidRPr="008A290F">
        <w:rPr>
          <w:sz w:val="20"/>
          <w:szCs w:val="20"/>
          <w:lang w:val="en-GB" w:eastAsia="en-US"/>
        </w:rPr>
        <w:t xml:space="preserve"> SBFD</w:t>
      </w:r>
      <w:r w:rsidRPr="008A290F">
        <w:rPr>
          <w:sz w:val="20"/>
          <w:szCs w:val="20"/>
          <w:lang w:val="en-GB" w:eastAsia="en-US"/>
        </w:rPr>
        <w:t xml:space="preserve"> symbols of the indicated slot</w:t>
      </w:r>
      <w:r w:rsidR="009E1F79" w:rsidRPr="008A290F">
        <w:rPr>
          <w:sz w:val="20"/>
          <w:szCs w:val="20"/>
          <w:lang w:val="en-GB" w:eastAsia="en-US"/>
        </w:rPr>
        <w:t xml:space="preserve"> (</w:t>
      </w:r>
      <w:r w:rsidR="009E1F79" w:rsidRPr="008A290F">
        <w:rPr>
          <w:sz w:val="20"/>
          <w:szCs w:val="20"/>
          <w:lang w:val="en-GB" w:eastAsia="en-US"/>
        </w:rPr>
        <w:fldChar w:fldCharType="begin"/>
      </w:r>
      <w:r w:rsidR="009E1F79" w:rsidRPr="008A290F">
        <w:rPr>
          <w:sz w:val="20"/>
          <w:szCs w:val="20"/>
          <w:lang w:val="en-GB" w:eastAsia="en-US"/>
        </w:rPr>
        <w:instrText xml:space="preserve"> REF _Ref163204801 \h  \* MERGEFORMAT </w:instrText>
      </w:r>
      <w:r w:rsidR="009E1F79" w:rsidRPr="008A290F">
        <w:rPr>
          <w:sz w:val="20"/>
          <w:szCs w:val="20"/>
          <w:lang w:val="en-GB" w:eastAsia="en-US"/>
        </w:rPr>
      </w:r>
      <w:r w:rsidR="009E1F79" w:rsidRPr="008A290F">
        <w:rPr>
          <w:sz w:val="20"/>
          <w:szCs w:val="20"/>
          <w:lang w:val="en-GB" w:eastAsia="en-US"/>
        </w:rPr>
        <w:fldChar w:fldCharType="separate"/>
      </w:r>
      <w:r w:rsidR="00D77008" w:rsidRPr="00D77008">
        <w:rPr>
          <w:sz w:val="20"/>
          <w:szCs w:val="20"/>
          <w:bdr w:val="none" w:sz="0" w:space="0" w:color="auto" w:frame="1"/>
          <w:lang w:val="en-GB"/>
        </w:rPr>
        <w:t xml:space="preserve">Figure </w:t>
      </w:r>
      <w:r w:rsidR="00D77008" w:rsidRPr="00D77008">
        <w:rPr>
          <w:noProof/>
          <w:sz w:val="20"/>
          <w:szCs w:val="20"/>
          <w:lang w:val="en-GB"/>
        </w:rPr>
        <w:t>2</w:t>
      </w:r>
      <w:r w:rsidR="009E1F79" w:rsidRPr="008A290F">
        <w:rPr>
          <w:sz w:val="20"/>
          <w:szCs w:val="20"/>
          <w:lang w:val="en-GB" w:eastAsia="en-US"/>
        </w:rPr>
        <w:fldChar w:fldCharType="end"/>
      </w:r>
      <w:r w:rsidR="009E1F79" w:rsidRPr="008A290F">
        <w:rPr>
          <w:sz w:val="20"/>
          <w:szCs w:val="20"/>
          <w:lang w:val="en-GB" w:eastAsia="en-US"/>
        </w:rPr>
        <w:t xml:space="preserve"> (a))</w:t>
      </w:r>
      <w:r w:rsidRPr="008A290F">
        <w:rPr>
          <w:sz w:val="20"/>
          <w:szCs w:val="20"/>
          <w:lang w:val="en-GB" w:eastAsia="en-US"/>
        </w:rPr>
        <w:t>.</w:t>
      </w:r>
    </w:p>
    <w:p w14:paraId="748C882B" w14:textId="2373FC6F" w:rsidR="000950BC" w:rsidRPr="008A290F" w:rsidRDefault="000950BC" w:rsidP="00FC0A9D">
      <w:pPr>
        <w:pStyle w:val="af6"/>
        <w:numPr>
          <w:ilvl w:val="0"/>
          <w:numId w:val="12"/>
        </w:numPr>
        <w:jc w:val="both"/>
        <w:rPr>
          <w:sz w:val="20"/>
          <w:szCs w:val="20"/>
          <w:lang w:val="en-GB" w:eastAsia="en-US"/>
        </w:rPr>
      </w:pPr>
      <w:r w:rsidRPr="008A290F">
        <w:rPr>
          <w:sz w:val="20"/>
          <w:szCs w:val="20"/>
          <w:lang w:val="en-GB" w:eastAsia="en-US"/>
        </w:rPr>
        <w:t>If the parameter “</w:t>
      </w:r>
      <w:r w:rsidRPr="008A290F">
        <w:rPr>
          <w:i/>
          <w:iCs/>
          <w:sz w:val="20"/>
          <w:szCs w:val="20"/>
          <w:lang w:val="en-GB" w:eastAsia="en-US"/>
        </w:rPr>
        <w:t xml:space="preserve">slotIndex” </w:t>
      </w:r>
      <w:r w:rsidRPr="008A290F">
        <w:rPr>
          <w:sz w:val="20"/>
          <w:szCs w:val="20"/>
          <w:lang w:val="en-GB" w:eastAsia="en-US"/>
        </w:rPr>
        <w:t>coincides with a slot containing SBFD symbols and the parameter “</w:t>
      </w:r>
      <w:r w:rsidRPr="008A290F">
        <w:rPr>
          <w:i/>
          <w:iCs/>
          <w:sz w:val="20"/>
          <w:szCs w:val="20"/>
          <w:lang w:val="en-GB" w:eastAsia="en-US"/>
        </w:rPr>
        <w:t xml:space="preserve">symbols” </w:t>
      </w:r>
      <w:r w:rsidRPr="008A290F">
        <w:rPr>
          <w:sz w:val="20"/>
          <w:szCs w:val="20"/>
          <w:lang w:val="en-GB" w:eastAsia="en-US"/>
        </w:rPr>
        <w:t>is configured as “</w:t>
      </w:r>
      <w:r w:rsidRPr="008A290F">
        <w:rPr>
          <w:i/>
          <w:iCs/>
          <w:sz w:val="20"/>
          <w:szCs w:val="20"/>
          <w:lang w:val="en-GB" w:eastAsia="en-US"/>
        </w:rPr>
        <w:t>allUplink</w:t>
      </w:r>
      <w:r w:rsidRPr="008A290F">
        <w:rPr>
          <w:sz w:val="20"/>
          <w:szCs w:val="20"/>
          <w:lang w:val="en-GB" w:eastAsia="en-US"/>
        </w:rPr>
        <w:t xml:space="preserve">” </w:t>
      </w:r>
    </w:p>
    <w:p w14:paraId="4E50D7BA" w14:textId="7D00BFCD" w:rsidR="000950BC" w:rsidRPr="008A290F" w:rsidRDefault="000950BC" w:rsidP="00FC0A9D">
      <w:pPr>
        <w:pStyle w:val="af6"/>
        <w:numPr>
          <w:ilvl w:val="1"/>
          <w:numId w:val="12"/>
        </w:numPr>
        <w:jc w:val="both"/>
        <w:rPr>
          <w:sz w:val="20"/>
          <w:szCs w:val="20"/>
          <w:lang w:val="en-GB" w:eastAsia="en-US"/>
        </w:rPr>
      </w:pPr>
      <w:r w:rsidRPr="008A290F">
        <w:rPr>
          <w:sz w:val="20"/>
          <w:szCs w:val="20"/>
          <w:lang w:val="en-GB" w:eastAsia="en-US"/>
        </w:rPr>
        <w:t xml:space="preserve">UE performs only </w:t>
      </w:r>
      <w:r w:rsidR="0033639F">
        <w:rPr>
          <w:sz w:val="20"/>
          <w:szCs w:val="20"/>
          <w:lang w:val="en-GB" w:eastAsia="en-US"/>
        </w:rPr>
        <w:t>UL</w:t>
      </w:r>
      <w:r w:rsidRPr="008A290F">
        <w:rPr>
          <w:sz w:val="20"/>
          <w:szCs w:val="20"/>
          <w:lang w:val="en-GB" w:eastAsia="en-US"/>
        </w:rPr>
        <w:t xml:space="preserve"> transmission on all </w:t>
      </w:r>
      <w:r w:rsidR="00531453" w:rsidRPr="008A290F">
        <w:rPr>
          <w:sz w:val="20"/>
          <w:szCs w:val="20"/>
          <w:lang w:val="en-GB" w:eastAsia="en-US"/>
        </w:rPr>
        <w:t xml:space="preserve">SBFD </w:t>
      </w:r>
      <w:r w:rsidRPr="008A290F">
        <w:rPr>
          <w:sz w:val="20"/>
          <w:szCs w:val="20"/>
          <w:lang w:val="en-GB" w:eastAsia="en-US"/>
        </w:rPr>
        <w:t>symbols of the indicated slot</w:t>
      </w:r>
      <w:r w:rsidR="009E1F79" w:rsidRPr="008A290F">
        <w:rPr>
          <w:sz w:val="20"/>
          <w:szCs w:val="20"/>
          <w:lang w:val="en-GB" w:eastAsia="en-US"/>
        </w:rPr>
        <w:t xml:space="preserve"> (</w:t>
      </w:r>
      <w:r w:rsidR="009E1F79" w:rsidRPr="008A290F">
        <w:rPr>
          <w:sz w:val="20"/>
          <w:szCs w:val="20"/>
          <w:lang w:val="en-GB" w:eastAsia="en-US"/>
        </w:rPr>
        <w:fldChar w:fldCharType="begin"/>
      </w:r>
      <w:r w:rsidR="009E1F79" w:rsidRPr="008A290F">
        <w:rPr>
          <w:sz w:val="20"/>
          <w:szCs w:val="20"/>
          <w:lang w:val="en-GB" w:eastAsia="en-US"/>
        </w:rPr>
        <w:instrText xml:space="preserve"> REF _Ref163204801 \h  \* MERGEFORMAT </w:instrText>
      </w:r>
      <w:r w:rsidR="009E1F79" w:rsidRPr="008A290F">
        <w:rPr>
          <w:sz w:val="20"/>
          <w:szCs w:val="20"/>
          <w:lang w:val="en-GB" w:eastAsia="en-US"/>
        </w:rPr>
      </w:r>
      <w:r w:rsidR="009E1F79" w:rsidRPr="008A290F">
        <w:rPr>
          <w:sz w:val="20"/>
          <w:szCs w:val="20"/>
          <w:lang w:val="en-GB" w:eastAsia="en-US"/>
        </w:rPr>
        <w:fldChar w:fldCharType="separate"/>
      </w:r>
      <w:r w:rsidR="00D77008" w:rsidRPr="00D77008">
        <w:rPr>
          <w:sz w:val="20"/>
          <w:szCs w:val="20"/>
          <w:bdr w:val="none" w:sz="0" w:space="0" w:color="auto" w:frame="1"/>
          <w:lang w:val="en-GB"/>
        </w:rPr>
        <w:t xml:space="preserve">Figure </w:t>
      </w:r>
      <w:r w:rsidR="00D77008" w:rsidRPr="00D77008">
        <w:rPr>
          <w:noProof/>
          <w:sz w:val="20"/>
          <w:szCs w:val="20"/>
          <w:lang w:val="en-GB"/>
        </w:rPr>
        <w:t>2</w:t>
      </w:r>
      <w:r w:rsidR="009E1F79" w:rsidRPr="008A290F">
        <w:rPr>
          <w:sz w:val="20"/>
          <w:szCs w:val="20"/>
          <w:lang w:val="en-GB" w:eastAsia="en-US"/>
        </w:rPr>
        <w:fldChar w:fldCharType="end"/>
      </w:r>
      <w:r w:rsidR="009E1F79" w:rsidRPr="008A290F">
        <w:rPr>
          <w:sz w:val="20"/>
          <w:szCs w:val="20"/>
          <w:lang w:val="en-GB" w:eastAsia="en-US"/>
        </w:rPr>
        <w:t xml:space="preserve"> (b))</w:t>
      </w:r>
      <w:r w:rsidRPr="008A290F">
        <w:rPr>
          <w:sz w:val="20"/>
          <w:szCs w:val="20"/>
          <w:lang w:val="en-GB" w:eastAsia="en-US"/>
        </w:rPr>
        <w:t>.</w:t>
      </w:r>
    </w:p>
    <w:p w14:paraId="659E26E8" w14:textId="3A7444B1" w:rsidR="00BD0DFF" w:rsidRPr="008A290F" w:rsidRDefault="00FA1A11" w:rsidP="00FC0A9D">
      <w:pPr>
        <w:pStyle w:val="af6"/>
        <w:numPr>
          <w:ilvl w:val="0"/>
          <w:numId w:val="9"/>
        </w:numPr>
        <w:jc w:val="both"/>
        <w:rPr>
          <w:sz w:val="20"/>
          <w:szCs w:val="20"/>
          <w:lang w:val="en-GB" w:eastAsia="en-US"/>
        </w:rPr>
      </w:pPr>
      <w:bookmarkStart w:id="6" w:name="_Hlk163207115"/>
      <w:r w:rsidRPr="008A290F">
        <w:rPr>
          <w:b/>
          <w:bCs/>
          <w:i/>
          <w:iCs/>
          <w:sz w:val="20"/>
          <w:szCs w:val="20"/>
          <w:lang w:val="en-GB" w:eastAsia="en-US"/>
        </w:rPr>
        <w:t xml:space="preserve">Support the use of existing UE-specific TDD </w:t>
      </w:r>
      <w:r w:rsidR="0090173B" w:rsidRPr="008A290F">
        <w:rPr>
          <w:b/>
          <w:bCs/>
          <w:i/>
          <w:iCs/>
          <w:sz w:val="20"/>
          <w:szCs w:val="20"/>
          <w:lang w:val="en-GB" w:eastAsia="en-US"/>
        </w:rPr>
        <w:t>signalling</w:t>
      </w:r>
      <w:r w:rsidRPr="008A290F">
        <w:rPr>
          <w:b/>
          <w:bCs/>
          <w:i/>
          <w:iCs/>
          <w:sz w:val="20"/>
          <w:szCs w:val="20"/>
          <w:lang w:val="en-GB" w:eastAsia="en-US"/>
        </w:rPr>
        <w:t xml:space="preserve"> (</w:t>
      </w:r>
      <w:r w:rsidRPr="008A290F">
        <w:rPr>
          <w:rFonts w:eastAsia="Malgun Gothic"/>
          <w:b/>
          <w:bCs/>
          <w:i/>
          <w:iCs/>
          <w:sz w:val="20"/>
          <w:szCs w:val="20"/>
          <w:lang w:val="en-GB" w:eastAsia="ko-KR"/>
        </w:rPr>
        <w:t>tdd-UL-DL-ConfigurationDedicated)</w:t>
      </w:r>
      <w:r w:rsidRPr="008A290F">
        <w:rPr>
          <w:b/>
          <w:bCs/>
          <w:i/>
          <w:iCs/>
          <w:sz w:val="16"/>
          <w:szCs w:val="16"/>
          <w:lang w:val="en-GB" w:eastAsia="en-US"/>
        </w:rPr>
        <w:t xml:space="preserve"> </w:t>
      </w:r>
      <w:r w:rsidRPr="008A290F">
        <w:rPr>
          <w:b/>
          <w:bCs/>
          <w:i/>
          <w:iCs/>
          <w:sz w:val="20"/>
          <w:szCs w:val="20"/>
          <w:lang w:val="en-GB" w:eastAsia="en-US"/>
        </w:rPr>
        <w:t>for</w:t>
      </w:r>
      <w:r w:rsidR="007B3BD6">
        <w:rPr>
          <w:b/>
          <w:bCs/>
          <w:i/>
          <w:iCs/>
          <w:sz w:val="20"/>
          <w:szCs w:val="20"/>
          <w:lang w:val="en-GB" w:eastAsia="en-US"/>
        </w:rPr>
        <w:t xml:space="preserve"> explicit</w:t>
      </w:r>
      <w:r w:rsidRPr="008A290F">
        <w:rPr>
          <w:b/>
          <w:bCs/>
          <w:i/>
          <w:iCs/>
          <w:sz w:val="20"/>
          <w:szCs w:val="20"/>
          <w:lang w:val="en-GB" w:eastAsia="en-US"/>
        </w:rPr>
        <w:t xml:space="preserve"> transmission direction indication on SBFD symbols.</w:t>
      </w:r>
    </w:p>
    <w:p w14:paraId="6313F0F9" w14:textId="4DFCEDFA" w:rsidR="00F06008" w:rsidRPr="008A290F" w:rsidRDefault="00F06008" w:rsidP="00FC0A9D">
      <w:pPr>
        <w:pStyle w:val="af6"/>
        <w:numPr>
          <w:ilvl w:val="0"/>
          <w:numId w:val="9"/>
        </w:numPr>
        <w:jc w:val="both"/>
        <w:rPr>
          <w:sz w:val="20"/>
          <w:szCs w:val="20"/>
          <w:lang w:val="en-GB" w:eastAsia="en-US"/>
        </w:rPr>
      </w:pPr>
      <w:r w:rsidRPr="008A290F">
        <w:rPr>
          <w:b/>
          <w:bCs/>
          <w:i/>
          <w:iCs/>
          <w:sz w:val="20"/>
          <w:szCs w:val="20"/>
          <w:lang w:val="en-GB" w:eastAsia="en-US"/>
        </w:rPr>
        <w:t xml:space="preserve">Option 1 </w:t>
      </w:r>
      <w:r w:rsidR="007B3BD6">
        <w:rPr>
          <w:b/>
          <w:bCs/>
          <w:i/>
          <w:iCs/>
          <w:sz w:val="20"/>
          <w:szCs w:val="20"/>
          <w:lang w:val="en-GB" w:eastAsia="en-US"/>
        </w:rPr>
        <w:t xml:space="preserve">of transmission direction indication </w:t>
      </w:r>
      <w:r w:rsidR="00AC6C2F" w:rsidRPr="008A290F">
        <w:rPr>
          <w:b/>
          <w:bCs/>
          <w:i/>
          <w:iCs/>
          <w:sz w:val="20"/>
          <w:szCs w:val="20"/>
          <w:lang w:val="en-GB" w:eastAsia="en-US"/>
        </w:rPr>
        <w:t>can be supported</w:t>
      </w:r>
      <w:r w:rsidR="00C00B54" w:rsidRPr="008A290F">
        <w:rPr>
          <w:b/>
          <w:bCs/>
          <w:i/>
          <w:iCs/>
          <w:sz w:val="20"/>
          <w:szCs w:val="20"/>
          <w:lang w:val="en-GB" w:eastAsia="en-US"/>
        </w:rPr>
        <w:t xml:space="preserve"> based on</w:t>
      </w:r>
      <w:r w:rsidRPr="008A290F">
        <w:rPr>
          <w:b/>
          <w:bCs/>
          <w:i/>
          <w:iCs/>
          <w:sz w:val="20"/>
          <w:szCs w:val="20"/>
          <w:lang w:val="en-GB" w:eastAsia="en-US"/>
        </w:rPr>
        <w:t xml:space="preserve"> UE </w:t>
      </w:r>
      <w:r w:rsidR="00B801D4" w:rsidRPr="008A290F">
        <w:rPr>
          <w:b/>
          <w:bCs/>
          <w:i/>
          <w:iCs/>
          <w:sz w:val="20"/>
          <w:szCs w:val="20"/>
          <w:lang w:val="en-GB" w:eastAsia="en-US"/>
        </w:rPr>
        <w:t>capability</w:t>
      </w:r>
      <w:r w:rsidRPr="008A290F">
        <w:rPr>
          <w:b/>
          <w:bCs/>
          <w:i/>
          <w:iCs/>
          <w:sz w:val="20"/>
          <w:szCs w:val="20"/>
          <w:lang w:val="en-GB" w:eastAsia="en-US"/>
        </w:rPr>
        <w:t>.</w:t>
      </w:r>
    </w:p>
    <w:bookmarkEnd w:id="6"/>
    <w:p w14:paraId="39126053" w14:textId="77777777" w:rsidR="00885B2D" w:rsidRPr="008A290F" w:rsidRDefault="00885B2D" w:rsidP="00885B2D">
      <w:pPr>
        <w:pStyle w:val="2"/>
        <w:jc w:val="both"/>
      </w:pPr>
      <w:r w:rsidRPr="008A290F">
        <w:t xml:space="preserve">TX/RX/Measurement Behaviour for SBFD-aware UE </w:t>
      </w:r>
    </w:p>
    <w:p w14:paraId="1B25C8C0" w14:textId="77777777" w:rsidR="00885B2D" w:rsidRPr="008A290F" w:rsidRDefault="00885B2D" w:rsidP="00885B2D">
      <w:pPr>
        <w:pStyle w:val="3"/>
        <w:jc w:val="both"/>
      </w:pPr>
      <w:r w:rsidRPr="008A290F">
        <w:t xml:space="preserve">FDRA Enhancements in SBFD Symbols </w:t>
      </w:r>
    </w:p>
    <w:p w14:paraId="39A3C883" w14:textId="75F55C65" w:rsidR="00885B2D" w:rsidRPr="008A290F" w:rsidRDefault="00885B2D" w:rsidP="00885B2D">
      <w:pPr>
        <w:pStyle w:val="40"/>
      </w:pPr>
      <w:r w:rsidRPr="008A290F">
        <w:t xml:space="preserve">PDSCH Resource Allocation </w:t>
      </w:r>
    </w:p>
    <w:p w14:paraId="487CB357" w14:textId="224872B2" w:rsidR="00656FC9" w:rsidRPr="008A290F" w:rsidRDefault="00656FC9" w:rsidP="00656FC9">
      <w:pPr>
        <w:shd w:val="clear" w:color="auto" w:fill="FFFFFF"/>
        <w:spacing w:after="120"/>
        <w:jc w:val="both"/>
        <w:rPr>
          <w:color w:val="000000" w:themeColor="text1"/>
        </w:rPr>
      </w:pPr>
      <w:r w:rsidRPr="008A290F">
        <w:rPr>
          <w:color w:val="000000" w:themeColor="text1"/>
        </w:rPr>
        <w:t xml:space="preserve">In the current specification, the network can configure the UE to apply precoding </w:t>
      </w:r>
      <w:r w:rsidR="00DA6EEC" w:rsidRPr="008A290F">
        <w:rPr>
          <w:color w:val="000000" w:themeColor="text1"/>
        </w:rPr>
        <w:t xml:space="preserve">over a </w:t>
      </w:r>
      <w:r w:rsidRPr="008A290F">
        <w:rPr>
          <w:color w:val="000000" w:themeColor="text1"/>
        </w:rPr>
        <w:t>resource block group (PRG) of</w:t>
      </w:r>
      <w:r w:rsidR="00CC11E6">
        <w:rPr>
          <w:color w:val="000000" w:themeColor="text1"/>
        </w:rPr>
        <w:t xml:space="preserve"> </w:t>
      </w:r>
      <w:r w:rsidR="00CC11E6" w:rsidRPr="008A290F">
        <w:rPr>
          <w:color w:val="000000" w:themeColor="text1"/>
        </w:rPr>
        <w:t xml:space="preserve">size 2 RBs (default value), 4 RBs or </w:t>
      </w:r>
      <w:r w:rsidRPr="008A290F">
        <w:rPr>
          <w:color w:val="000000" w:themeColor="text1"/>
        </w:rPr>
        <w:t>“wideband”. The case of 2 RBs and 4 RBs can be directly applied on SBFD symbols – the only potential issue being the possible misalign</w:t>
      </w:r>
      <w:r w:rsidR="00DA6EEC" w:rsidRPr="008A290F">
        <w:rPr>
          <w:color w:val="000000" w:themeColor="text1"/>
        </w:rPr>
        <w:t>ed</w:t>
      </w:r>
      <w:r w:rsidRPr="008A290F">
        <w:rPr>
          <w:color w:val="000000" w:themeColor="text1"/>
        </w:rPr>
        <w:t xml:space="preserve"> boundaries between PRG and </w:t>
      </w:r>
      <w:r w:rsidR="000264A9">
        <w:rPr>
          <w:color w:val="000000" w:themeColor="text1"/>
        </w:rPr>
        <w:t>UL</w:t>
      </w:r>
      <w:r w:rsidR="00003050">
        <w:rPr>
          <w:color w:val="000000" w:themeColor="text1"/>
        </w:rPr>
        <w:t>-SB</w:t>
      </w:r>
      <w:r w:rsidRPr="008A290F">
        <w:rPr>
          <w:color w:val="000000" w:themeColor="text1"/>
        </w:rPr>
        <w:t xml:space="preserve">. Like the RBG case, </w:t>
      </w:r>
      <w:r w:rsidRPr="008A290F">
        <w:t xml:space="preserve">the </w:t>
      </w:r>
      <w:r w:rsidRPr="008A290F">
        <w:rPr>
          <w:rFonts w:eastAsia="Times New Roman"/>
          <w:lang w:eastAsia="zh-CN"/>
        </w:rPr>
        <w:t xml:space="preserve">part of the PRG inside the </w:t>
      </w:r>
      <w:r w:rsidR="000264A9">
        <w:rPr>
          <w:rFonts w:eastAsia="Times New Roman"/>
          <w:lang w:eastAsia="zh-CN"/>
        </w:rPr>
        <w:t>DL</w:t>
      </w:r>
      <w:r w:rsidRPr="008A290F">
        <w:rPr>
          <w:rFonts w:eastAsia="Times New Roman"/>
          <w:lang w:eastAsia="zh-CN"/>
        </w:rPr>
        <w:t xml:space="preserve"> </w:t>
      </w:r>
      <w:r w:rsidR="000264A9">
        <w:rPr>
          <w:rFonts w:eastAsia="Times New Roman"/>
          <w:lang w:eastAsia="zh-CN"/>
        </w:rPr>
        <w:t>usable PRBs</w:t>
      </w:r>
      <w:r w:rsidRPr="008A290F">
        <w:rPr>
          <w:rFonts w:eastAsia="Times New Roman"/>
          <w:lang w:eastAsia="zh-CN"/>
        </w:rPr>
        <w:t xml:space="preserve"> can be </w:t>
      </w:r>
      <w:r w:rsidR="000264A9">
        <w:rPr>
          <w:rFonts w:eastAsia="Times New Roman"/>
          <w:lang w:eastAsia="zh-CN"/>
        </w:rPr>
        <w:t>considered as valid</w:t>
      </w:r>
      <w:r w:rsidRPr="008A290F">
        <w:rPr>
          <w:rFonts w:eastAsia="Times New Roman"/>
          <w:lang w:eastAsia="zh-CN"/>
        </w:rPr>
        <w:t xml:space="preserve">, which implies that the UE may perform channel estimation on fewer RB at the edge </w:t>
      </w:r>
      <w:r w:rsidR="00BB6216" w:rsidRPr="008A290F">
        <w:rPr>
          <w:rFonts w:eastAsia="Times New Roman"/>
          <w:lang w:eastAsia="zh-CN"/>
        </w:rPr>
        <w:t xml:space="preserve">of </w:t>
      </w:r>
      <w:r w:rsidR="000264A9">
        <w:rPr>
          <w:rFonts w:eastAsia="Times New Roman"/>
          <w:lang w:eastAsia="zh-CN"/>
        </w:rPr>
        <w:t>DL</w:t>
      </w:r>
      <w:r w:rsidR="00087958">
        <w:rPr>
          <w:rFonts w:eastAsia="Times New Roman"/>
          <w:lang w:eastAsia="zh-CN"/>
        </w:rPr>
        <w:t>-SB(s)</w:t>
      </w:r>
      <w:r w:rsidRPr="008A290F">
        <w:rPr>
          <w:rFonts w:eastAsia="Times New Roman"/>
          <w:lang w:eastAsia="zh-CN"/>
        </w:rPr>
        <w:t xml:space="preserve">. </w:t>
      </w:r>
    </w:p>
    <w:p w14:paraId="72F8EDBD" w14:textId="6A50BD7F" w:rsidR="00656FC9" w:rsidRDefault="00656FC9" w:rsidP="00656FC9">
      <w:pPr>
        <w:shd w:val="clear" w:color="auto" w:fill="FFFFFF"/>
        <w:spacing w:after="120"/>
        <w:jc w:val="both"/>
      </w:pPr>
      <w:r w:rsidRPr="008A290F">
        <w:rPr>
          <w:color w:val="000000" w:themeColor="text1"/>
        </w:rPr>
        <w:t>If PRG size is determined as “wideband”</w:t>
      </w:r>
      <w:r w:rsidR="00D82F0A" w:rsidRPr="008A290F">
        <w:rPr>
          <w:color w:val="000000" w:themeColor="text1"/>
        </w:rPr>
        <w:t xml:space="preserve"> </w:t>
      </w:r>
      <w:r w:rsidRPr="008A290F">
        <w:rPr>
          <w:color w:val="000000" w:themeColor="text1"/>
        </w:rPr>
        <w:t xml:space="preserve">it only applies to contiguous RB allocations. To enable flexible resource allocation in SBFD operation, indication of “wideband” PRG can be allowed to cover non-contiguous RB allocation across </w:t>
      </w:r>
      <w:r w:rsidR="004E5AE4">
        <w:rPr>
          <w:color w:val="000000" w:themeColor="text1"/>
        </w:rPr>
        <w:t>DL</w:t>
      </w:r>
      <w:r w:rsidR="00CC6046">
        <w:rPr>
          <w:color w:val="000000" w:themeColor="text1"/>
        </w:rPr>
        <w:t>-SB(s)</w:t>
      </w:r>
      <w:r w:rsidRPr="008A290F">
        <w:rPr>
          <w:color w:val="000000" w:themeColor="text1"/>
        </w:rPr>
        <w:t xml:space="preserve"> – with contiguous resources within each </w:t>
      </w:r>
      <w:r w:rsidR="004E5AE4">
        <w:rPr>
          <w:color w:val="000000" w:themeColor="text1"/>
        </w:rPr>
        <w:t>DL</w:t>
      </w:r>
      <w:r w:rsidR="00CC6046">
        <w:rPr>
          <w:color w:val="000000" w:themeColor="text1"/>
        </w:rPr>
        <w:t>-SB</w:t>
      </w:r>
      <w:r w:rsidRPr="008A290F">
        <w:rPr>
          <w:color w:val="000000" w:themeColor="text1"/>
        </w:rPr>
        <w:t xml:space="preserve">. In this case, the UE can assume that the allocated RBs within each </w:t>
      </w:r>
      <w:r w:rsidR="004E5AE4">
        <w:rPr>
          <w:color w:val="000000" w:themeColor="text1"/>
        </w:rPr>
        <w:t>DL</w:t>
      </w:r>
      <w:r w:rsidR="009B5E1E">
        <w:rPr>
          <w:color w:val="000000" w:themeColor="text1"/>
        </w:rPr>
        <w:t>-SB</w:t>
      </w:r>
      <w:r w:rsidRPr="008A290F">
        <w:rPr>
          <w:color w:val="000000" w:themeColor="text1"/>
        </w:rPr>
        <w:t xml:space="preserve"> </w:t>
      </w:r>
      <w:r w:rsidRPr="008A290F">
        <w:t xml:space="preserve">experience similar channel conditions. Therefore, the gNB applies the same precoding </w:t>
      </w:r>
      <w:r w:rsidR="009B5450" w:rsidRPr="008A290F">
        <w:t xml:space="preserve">to the RBs </w:t>
      </w:r>
      <w:r w:rsidRPr="008A290F">
        <w:t xml:space="preserve">in each </w:t>
      </w:r>
      <w:r w:rsidR="004E5AE4">
        <w:t>DL</w:t>
      </w:r>
      <w:r w:rsidR="009B5E1E">
        <w:t>-SB</w:t>
      </w:r>
      <w:r w:rsidRPr="008A290F">
        <w:t>.</w:t>
      </w:r>
    </w:p>
    <w:p w14:paraId="0F26D733" w14:textId="7A416348" w:rsidR="008C43A1" w:rsidRPr="008A290F" w:rsidRDefault="008C43A1" w:rsidP="00656FC9">
      <w:pPr>
        <w:shd w:val="clear" w:color="auto" w:fill="FFFFFF"/>
        <w:spacing w:after="120"/>
        <w:jc w:val="both"/>
        <w:rPr>
          <w:color w:val="000000" w:themeColor="text1"/>
        </w:rPr>
      </w:pPr>
      <w:r w:rsidRPr="00CA77B3">
        <w:t>However</w:t>
      </w:r>
      <w:r>
        <w:t>, it is still unclear at this stage the impact of allowing wideband PRG to be used for channel estimation across non-contiguous DL</w:t>
      </w:r>
      <w:r w:rsidR="00AE616A">
        <w:t>-SBs</w:t>
      </w:r>
      <w:r>
        <w:t xml:space="preserve">. Any potential impact to channel estimation accuracy and UE implementation must be clearly understood before any agreement is reach by RAN1.   </w:t>
      </w:r>
    </w:p>
    <w:p w14:paraId="60CAAC12" w14:textId="57443C5A" w:rsidR="005B252A" w:rsidRPr="005B252A" w:rsidRDefault="005B252A" w:rsidP="00FC0A9D">
      <w:pPr>
        <w:pStyle w:val="af6"/>
        <w:numPr>
          <w:ilvl w:val="0"/>
          <w:numId w:val="9"/>
        </w:numPr>
        <w:jc w:val="both"/>
        <w:rPr>
          <w:b/>
          <w:bCs/>
          <w:i/>
          <w:iCs/>
          <w:sz w:val="20"/>
          <w:szCs w:val="20"/>
          <w:lang w:val="en-GB"/>
        </w:rPr>
      </w:pPr>
      <w:bookmarkStart w:id="7" w:name="_Ref159007898"/>
      <w:r>
        <w:rPr>
          <w:rFonts w:cstheme="minorHAnsi"/>
          <w:b/>
          <w:bCs/>
          <w:i/>
          <w:iCs/>
          <w:sz w:val="20"/>
          <w:szCs w:val="20"/>
          <w:lang w:val="en-GB"/>
        </w:rPr>
        <w:t>For partial PRG overlapping with RBs outside DL usable PRBs</w:t>
      </w:r>
      <w:r>
        <w:rPr>
          <w:b/>
          <w:bCs/>
          <w:i/>
          <w:iCs/>
          <w:sz w:val="20"/>
          <w:szCs w:val="20"/>
          <w:lang w:val="en-GB"/>
        </w:rPr>
        <w:t>, the PRGs inside DL usable PRBs is considered valid. UE performs channel estimation on the non-overlapping RBs.</w:t>
      </w:r>
    </w:p>
    <w:p w14:paraId="098BED17" w14:textId="60A97A6E" w:rsidR="001A3C2C" w:rsidRPr="00CA77B3" w:rsidRDefault="001A3C2C" w:rsidP="00FC0A9D">
      <w:pPr>
        <w:pStyle w:val="af6"/>
        <w:numPr>
          <w:ilvl w:val="0"/>
          <w:numId w:val="9"/>
        </w:numPr>
        <w:jc w:val="both"/>
        <w:rPr>
          <w:b/>
          <w:bCs/>
          <w:i/>
          <w:iCs/>
          <w:sz w:val="20"/>
          <w:szCs w:val="20"/>
          <w:lang w:val="en-GB"/>
        </w:rPr>
      </w:pPr>
      <w:r w:rsidRPr="00CC17EA">
        <w:rPr>
          <w:rFonts w:cstheme="minorHAnsi"/>
          <w:b/>
          <w:bCs/>
          <w:i/>
          <w:iCs/>
          <w:sz w:val="20"/>
          <w:szCs w:val="20"/>
          <w:lang w:val="en-GB"/>
        </w:rPr>
        <w:t>Further study the performance</w:t>
      </w:r>
      <w:r w:rsidRPr="00CA77B3">
        <w:rPr>
          <w:rFonts w:cstheme="minorHAnsi"/>
          <w:b/>
          <w:bCs/>
          <w:i/>
          <w:iCs/>
          <w:sz w:val="20"/>
          <w:szCs w:val="20"/>
          <w:lang w:val="en-GB"/>
        </w:rPr>
        <w:t xml:space="preserve"> gain and UE impact of allowing “wideband” support </w:t>
      </w:r>
      <w:r w:rsidRPr="00CA77B3">
        <w:rPr>
          <w:b/>
          <w:bCs/>
          <w:i/>
          <w:iCs/>
          <w:sz w:val="20"/>
          <w:szCs w:val="20"/>
          <w:lang w:val="en-GB"/>
        </w:rPr>
        <w:t xml:space="preserve">non-contiguous frequency resources across </w:t>
      </w:r>
      <w:r w:rsidR="008C43A1" w:rsidRPr="00CA77B3">
        <w:rPr>
          <w:b/>
          <w:bCs/>
          <w:i/>
          <w:iCs/>
          <w:sz w:val="20"/>
          <w:szCs w:val="20"/>
          <w:lang w:val="en-GB"/>
        </w:rPr>
        <w:t>DL</w:t>
      </w:r>
      <w:r w:rsidRPr="00CA77B3">
        <w:rPr>
          <w:b/>
          <w:bCs/>
          <w:i/>
          <w:iCs/>
          <w:sz w:val="20"/>
          <w:szCs w:val="20"/>
          <w:lang w:val="en-GB"/>
        </w:rPr>
        <w:t xml:space="preserve"> subbands.</w:t>
      </w:r>
    </w:p>
    <w:bookmarkEnd w:id="7"/>
    <w:p w14:paraId="223F2F7F" w14:textId="49B38898" w:rsidR="0020080D" w:rsidRPr="008A290F" w:rsidRDefault="0020080D" w:rsidP="0020080D">
      <w:pPr>
        <w:pStyle w:val="40"/>
      </w:pPr>
      <w:r w:rsidRPr="008A290F">
        <w:t xml:space="preserve">CSI-RS Resource </w:t>
      </w:r>
    </w:p>
    <w:tbl>
      <w:tblPr>
        <w:tblStyle w:val="afb"/>
        <w:tblW w:w="0" w:type="auto"/>
        <w:tblInd w:w="108" w:type="dxa"/>
        <w:tblLook w:val="04A0" w:firstRow="1" w:lastRow="0" w:firstColumn="1" w:lastColumn="0" w:noHBand="0" w:noVBand="1"/>
      </w:tblPr>
      <w:tblGrid>
        <w:gridCol w:w="9639"/>
      </w:tblGrid>
      <w:tr w:rsidR="0020080D" w:rsidRPr="008A290F" w14:paraId="09534CF8" w14:textId="77777777" w:rsidTr="00264C6C">
        <w:tc>
          <w:tcPr>
            <w:tcW w:w="9639" w:type="dxa"/>
          </w:tcPr>
          <w:p w14:paraId="20315FB3" w14:textId="77777777" w:rsidR="003F43F7" w:rsidRPr="00681241" w:rsidRDefault="003F43F7" w:rsidP="00264C6C">
            <w:pPr>
              <w:spacing w:after="0"/>
              <w:jc w:val="both"/>
              <w:rPr>
                <w:rFonts w:eastAsiaTheme="minorEastAsia"/>
                <w:b/>
                <w:lang w:eastAsia="zh-CN"/>
              </w:rPr>
            </w:pPr>
            <w:bookmarkStart w:id="8" w:name="_Hlk163199598"/>
            <w:r w:rsidRPr="00681241">
              <w:rPr>
                <w:rFonts w:eastAsiaTheme="minorEastAsia"/>
                <w:b/>
                <w:highlight w:val="darkYellow"/>
                <w:lang w:eastAsia="zh-CN"/>
              </w:rPr>
              <w:t>Working Assumption</w:t>
            </w:r>
          </w:p>
          <w:p w14:paraId="21311771" w14:textId="77777777" w:rsidR="003F43F7" w:rsidRPr="00681241" w:rsidRDefault="003F43F7" w:rsidP="00264C6C">
            <w:pPr>
              <w:tabs>
                <w:tab w:val="left" w:pos="0"/>
              </w:tabs>
              <w:spacing w:after="0"/>
              <w:jc w:val="both"/>
              <w:rPr>
                <w:rFonts w:eastAsiaTheme="minorEastAsia"/>
              </w:rPr>
            </w:pPr>
            <w:r w:rsidRPr="009055A6">
              <w:rPr>
                <w:rFonts w:eastAsiaTheme="minorEastAsia" w:hint="eastAsia"/>
              </w:rPr>
              <w:t xml:space="preserve">For </w:t>
            </w:r>
            <w:r w:rsidRPr="009055A6">
              <w:rPr>
                <w:rFonts w:eastAsia="Malgun Gothic"/>
              </w:rPr>
              <w:t>frequency resource</w:t>
            </w:r>
            <w:r w:rsidRPr="00681241">
              <w:rPr>
                <w:rFonts w:eastAsia="Malgun Gothic"/>
              </w:rPr>
              <w:t xml:space="preserve"> allocation for CSI-RS across downlink subbands for SBFD-aware UEs</w:t>
            </w:r>
            <w:r w:rsidRPr="00681241">
              <w:rPr>
                <w:rFonts w:eastAsiaTheme="minorEastAsia" w:hint="eastAsia"/>
              </w:rPr>
              <w:t>, support o</w:t>
            </w:r>
            <w:r w:rsidRPr="00681241">
              <w:rPr>
                <w:rFonts w:eastAsia="Malgun Gothic"/>
              </w:rPr>
              <w:t xml:space="preserve">ne contiguous CSI-RS resource allocation with non-contiguous CSI-RS resource derived by excluding frequency resources outside DL </w:t>
            </w:r>
            <w:r w:rsidRPr="00681241">
              <w:rPr>
                <w:rFonts w:eastAsiaTheme="minorEastAsia" w:hint="eastAsia"/>
              </w:rPr>
              <w:t>usable PRBs.</w:t>
            </w:r>
          </w:p>
          <w:p w14:paraId="735D137A" w14:textId="77777777" w:rsidR="003F43F7" w:rsidRPr="00681241" w:rsidRDefault="003F43F7" w:rsidP="00FC0A9D">
            <w:pPr>
              <w:numPr>
                <w:ilvl w:val="1"/>
                <w:numId w:val="16"/>
              </w:numPr>
              <w:suppressAutoHyphens/>
              <w:overflowPunct/>
              <w:autoSpaceDE/>
              <w:autoSpaceDN/>
              <w:adjustRightInd/>
              <w:spacing w:after="0"/>
              <w:jc w:val="both"/>
              <w:rPr>
                <w:rFonts w:eastAsiaTheme="minorEastAsia"/>
                <w:lang w:eastAsia="zh-CN"/>
              </w:rPr>
            </w:pPr>
            <w:r w:rsidRPr="00681241">
              <w:rPr>
                <w:rFonts w:eastAsiaTheme="minorEastAsia" w:hint="eastAsia"/>
                <w:lang w:eastAsia="zh-CN"/>
              </w:rPr>
              <w:t>N</w:t>
            </w:r>
            <w:r w:rsidRPr="00681241">
              <w:rPr>
                <w:rFonts w:eastAsiaTheme="minorEastAsia"/>
                <w:lang w:eastAsia="zh-CN"/>
              </w:rPr>
              <w:t>o impact on CSI-RS sequence generation</w:t>
            </w:r>
          </w:p>
          <w:p w14:paraId="54C12FD2" w14:textId="77777777" w:rsidR="003F43F7" w:rsidRPr="00681241" w:rsidRDefault="003F43F7" w:rsidP="00FC0A9D">
            <w:pPr>
              <w:numPr>
                <w:ilvl w:val="1"/>
                <w:numId w:val="16"/>
              </w:numPr>
              <w:suppressAutoHyphens/>
              <w:overflowPunct/>
              <w:autoSpaceDE/>
              <w:autoSpaceDN/>
              <w:adjustRightInd/>
              <w:spacing w:after="0"/>
              <w:jc w:val="both"/>
              <w:rPr>
                <w:rFonts w:eastAsiaTheme="minorEastAsia"/>
                <w:lang w:eastAsia="zh-CN"/>
              </w:rPr>
            </w:pPr>
            <w:r w:rsidRPr="00681241">
              <w:rPr>
                <w:rFonts w:eastAsiaTheme="minorEastAsia" w:hint="eastAsia"/>
                <w:lang w:eastAsia="zh-CN"/>
              </w:rPr>
              <w:t xml:space="preserve">CSI-RS sequence mapping is applied to </w:t>
            </w:r>
            <w:r w:rsidRPr="00681241">
              <w:t xml:space="preserve">CSI-RS resources within DL </w:t>
            </w:r>
            <w:r w:rsidRPr="00681241">
              <w:rPr>
                <w:rFonts w:hint="eastAsia"/>
              </w:rPr>
              <w:t>usable PRBs</w:t>
            </w:r>
            <w:r w:rsidRPr="00681241">
              <w:rPr>
                <w:rFonts w:eastAsiaTheme="minorEastAsia" w:hint="eastAsia"/>
                <w:lang w:eastAsia="zh-CN"/>
              </w:rPr>
              <w:t xml:space="preserve"> only</w:t>
            </w:r>
            <w:r w:rsidRPr="00681241">
              <w:rPr>
                <w:rFonts w:eastAsiaTheme="minorEastAsia"/>
                <w:lang w:eastAsia="zh-CN"/>
              </w:rPr>
              <w:t xml:space="preserve"> (effectively, this is same as the case when the CSI-RS sequence mapped to the RBs outside the DL usable PRBs are punctured)</w:t>
            </w:r>
          </w:p>
          <w:p w14:paraId="3C8D0706" w14:textId="1448AA84" w:rsidR="0020080D" w:rsidRPr="003F43F7" w:rsidRDefault="003F43F7" w:rsidP="00FC0A9D">
            <w:pPr>
              <w:numPr>
                <w:ilvl w:val="1"/>
                <w:numId w:val="16"/>
              </w:numPr>
              <w:suppressAutoHyphens/>
              <w:overflowPunct/>
              <w:autoSpaceDE/>
              <w:autoSpaceDN/>
              <w:adjustRightInd/>
              <w:spacing w:after="0"/>
              <w:jc w:val="both"/>
              <w:rPr>
                <w:rFonts w:eastAsiaTheme="minorEastAsia"/>
              </w:rPr>
            </w:pPr>
            <w:r w:rsidRPr="00681241">
              <w:rPr>
                <w:rFonts w:eastAsiaTheme="minorEastAsia"/>
                <w:lang w:eastAsia="zh-CN"/>
              </w:rPr>
              <w:t xml:space="preserve">RAN1 to </w:t>
            </w:r>
            <w:r w:rsidRPr="009055A6">
              <w:rPr>
                <w:rFonts w:eastAsiaTheme="minorEastAsia"/>
                <w:lang w:eastAsia="zh-CN"/>
              </w:rPr>
              <w:t>further study the</w:t>
            </w:r>
            <w:r w:rsidRPr="009055A6">
              <w:rPr>
                <w:rFonts w:eastAsiaTheme="minorEastAsia" w:hint="eastAsia"/>
                <w:lang w:eastAsia="zh-CN"/>
              </w:rPr>
              <w:t xml:space="preserve"> impact on </w:t>
            </w:r>
            <w:r w:rsidRPr="009055A6">
              <w:rPr>
                <w:rFonts w:eastAsiaTheme="minorEastAsia"/>
                <w:lang w:eastAsia="zh-CN"/>
              </w:rPr>
              <w:t>CSI processing timeline in SBFD symbols to</w:t>
            </w:r>
            <w:r w:rsidRPr="00681241">
              <w:rPr>
                <w:rFonts w:eastAsiaTheme="minorEastAsia"/>
                <w:lang w:eastAsia="zh-CN"/>
              </w:rPr>
              <w:t xml:space="preserve"> process the CSI-RS across the two DL subbands</w:t>
            </w:r>
          </w:p>
        </w:tc>
      </w:tr>
      <w:bookmarkEnd w:id="8"/>
    </w:tbl>
    <w:p w14:paraId="26E71669" w14:textId="3428C73F" w:rsidR="00656FC9" w:rsidRDefault="00656FC9" w:rsidP="006C21C9">
      <w:pPr>
        <w:spacing w:after="0"/>
        <w:jc w:val="both"/>
      </w:pPr>
    </w:p>
    <w:p w14:paraId="424B9643" w14:textId="7C636C32" w:rsidR="00846720" w:rsidRDefault="00846720" w:rsidP="006C21C9">
      <w:pPr>
        <w:spacing w:after="0"/>
        <w:jc w:val="both"/>
        <w:rPr>
          <w:rFonts w:eastAsiaTheme="minorEastAsia"/>
        </w:rPr>
      </w:pPr>
      <w:r>
        <w:t>In RAN1#117, RAN1 agreed</w:t>
      </w:r>
      <w:r w:rsidR="00B14132">
        <w:t xml:space="preserve"> a working assumption</w:t>
      </w:r>
      <w:r>
        <w:t xml:space="preserve"> to support </w:t>
      </w:r>
      <w:r w:rsidRPr="00681241">
        <w:rPr>
          <w:rFonts w:eastAsiaTheme="minorEastAsia" w:hint="eastAsia"/>
        </w:rPr>
        <w:t>o</w:t>
      </w:r>
      <w:r w:rsidRPr="00681241">
        <w:rPr>
          <w:rFonts w:eastAsia="Malgun Gothic"/>
        </w:rPr>
        <w:t xml:space="preserve">ne contiguous CSI-RS resource allocation with non-contiguous CSI-RS resource derived by excluding frequency resources outside DL </w:t>
      </w:r>
      <w:r w:rsidRPr="00681241">
        <w:rPr>
          <w:rFonts w:eastAsiaTheme="minorEastAsia" w:hint="eastAsia"/>
        </w:rPr>
        <w:t>usable PRBs</w:t>
      </w:r>
      <w:r>
        <w:rPr>
          <w:rFonts w:eastAsiaTheme="minorEastAsia"/>
        </w:rPr>
        <w:t>. RAN1 needs to further investigate the impact on CSI processing timeline in SBFD symbols to process the CSI-RS across the two D</w:t>
      </w:r>
      <w:r w:rsidR="00CC19DE">
        <w:rPr>
          <w:rFonts w:eastAsiaTheme="minorEastAsia"/>
        </w:rPr>
        <w:t>LSBs</w:t>
      </w:r>
      <w:r>
        <w:rPr>
          <w:rFonts w:eastAsiaTheme="minorEastAsia"/>
        </w:rPr>
        <w:t xml:space="preserve">. </w:t>
      </w:r>
    </w:p>
    <w:p w14:paraId="088D862E" w14:textId="20B0116B" w:rsidR="00FD194A" w:rsidRDefault="00846720" w:rsidP="009B55EB">
      <w:pPr>
        <w:spacing w:after="0"/>
        <w:jc w:val="both"/>
        <w:rPr>
          <w:rFonts w:eastAsiaTheme="minorEastAsia"/>
        </w:rPr>
      </w:pPr>
      <w:r>
        <w:rPr>
          <w:rFonts w:eastAsiaTheme="minorEastAsia"/>
        </w:rPr>
        <w:t xml:space="preserve">In our view, when UE computes a CSI report using </w:t>
      </w:r>
      <w:r w:rsidRPr="00846720">
        <w:rPr>
          <w:rFonts w:eastAsiaTheme="minorEastAsia"/>
        </w:rPr>
        <w:t>non-contiguous CSI-RS resource(s)</w:t>
      </w:r>
      <w:r>
        <w:rPr>
          <w:rFonts w:eastAsiaTheme="minorEastAsia"/>
        </w:rPr>
        <w:t xml:space="preserve"> across the two DL</w:t>
      </w:r>
      <w:r w:rsidR="003973E6">
        <w:rPr>
          <w:rFonts w:eastAsiaTheme="minorEastAsia"/>
        </w:rPr>
        <w:t>-SBs</w:t>
      </w:r>
      <w:r>
        <w:rPr>
          <w:rFonts w:eastAsiaTheme="minorEastAsia"/>
        </w:rPr>
        <w:t xml:space="preserve">, </w:t>
      </w:r>
      <w:r w:rsidR="00FD194A">
        <w:rPr>
          <w:rFonts w:eastAsiaTheme="minorEastAsia"/>
        </w:rPr>
        <w:t xml:space="preserve">one of the following options can be considered. </w:t>
      </w:r>
    </w:p>
    <w:p w14:paraId="74C84012" w14:textId="77777777" w:rsidR="00FD194A" w:rsidRDefault="00FD194A" w:rsidP="00FC0A9D">
      <w:pPr>
        <w:pStyle w:val="af6"/>
        <w:numPr>
          <w:ilvl w:val="0"/>
          <w:numId w:val="25"/>
        </w:numPr>
        <w:jc w:val="both"/>
        <w:rPr>
          <w:rFonts w:eastAsiaTheme="minorEastAsia"/>
          <w:sz w:val="20"/>
          <w:szCs w:val="20"/>
        </w:rPr>
      </w:pPr>
      <w:r w:rsidRPr="00FD194A">
        <w:rPr>
          <w:rFonts w:eastAsiaTheme="minorEastAsia"/>
          <w:b/>
          <w:bCs/>
          <w:sz w:val="20"/>
          <w:szCs w:val="20"/>
        </w:rPr>
        <w:t>Option#1</w:t>
      </w:r>
      <w:r>
        <w:rPr>
          <w:rFonts w:eastAsiaTheme="minorEastAsia"/>
          <w:sz w:val="20"/>
          <w:szCs w:val="20"/>
        </w:rPr>
        <w:t>: T</w:t>
      </w:r>
      <w:r w:rsidR="00846720" w:rsidRPr="00FD194A">
        <w:rPr>
          <w:rFonts w:eastAsiaTheme="minorEastAsia"/>
          <w:sz w:val="20"/>
          <w:szCs w:val="20"/>
        </w:rPr>
        <w:t xml:space="preserve">he CSI processing timeline </w:t>
      </w:r>
      <w:r>
        <w:rPr>
          <w:rFonts w:eastAsiaTheme="minorEastAsia"/>
          <w:sz w:val="20"/>
          <w:szCs w:val="20"/>
        </w:rPr>
        <w:t>is</w:t>
      </w:r>
      <w:r w:rsidR="00846720" w:rsidRPr="00FD194A">
        <w:rPr>
          <w:rFonts w:eastAsiaTheme="minorEastAsia"/>
          <w:sz w:val="20"/>
          <w:szCs w:val="20"/>
        </w:rPr>
        <w:t xml:space="preserve"> extended by X symbols in addition to the CSI processing timeline required for computing the same CSI report(s) using contiguous CSI-RS resource(s).</w:t>
      </w:r>
      <w:r w:rsidR="004147AB" w:rsidRPr="00FD194A">
        <w:rPr>
          <w:rFonts w:eastAsiaTheme="minorEastAsia"/>
          <w:sz w:val="20"/>
          <w:szCs w:val="20"/>
        </w:rPr>
        <w:t xml:space="preserve"> </w:t>
      </w:r>
    </w:p>
    <w:p w14:paraId="50550BFD" w14:textId="790DDA1D" w:rsidR="00FD194A" w:rsidRDefault="004147AB" w:rsidP="00FC0A9D">
      <w:pPr>
        <w:pStyle w:val="af6"/>
        <w:numPr>
          <w:ilvl w:val="1"/>
          <w:numId w:val="25"/>
        </w:numPr>
        <w:jc w:val="both"/>
        <w:rPr>
          <w:rFonts w:eastAsiaTheme="minorEastAsia"/>
          <w:sz w:val="20"/>
          <w:szCs w:val="20"/>
        </w:rPr>
      </w:pPr>
      <w:r w:rsidRPr="00FD194A">
        <w:rPr>
          <w:rFonts w:eastAsiaTheme="minorEastAsia"/>
          <w:sz w:val="20"/>
          <w:szCs w:val="20"/>
        </w:rPr>
        <w:t xml:space="preserve">The </w:t>
      </w:r>
      <w:r w:rsidR="00172EC5">
        <w:rPr>
          <w:rFonts w:eastAsiaTheme="minorEastAsia"/>
          <w:sz w:val="20"/>
          <w:szCs w:val="20"/>
        </w:rPr>
        <w:t>exact value of X can be futher studied by RAN1</w:t>
      </w:r>
      <w:r w:rsidRPr="00FD194A">
        <w:rPr>
          <w:rFonts w:eastAsiaTheme="minorEastAsia"/>
          <w:sz w:val="20"/>
          <w:szCs w:val="20"/>
        </w:rPr>
        <w:t xml:space="preserve">. </w:t>
      </w:r>
    </w:p>
    <w:p w14:paraId="369301E1" w14:textId="4421A33B" w:rsidR="00FF4EFD" w:rsidRPr="00F03496" w:rsidRDefault="00FD194A" w:rsidP="00FC0A9D">
      <w:pPr>
        <w:pStyle w:val="af6"/>
        <w:numPr>
          <w:ilvl w:val="0"/>
          <w:numId w:val="25"/>
        </w:numPr>
        <w:jc w:val="both"/>
        <w:rPr>
          <w:rFonts w:eastAsiaTheme="minorEastAsia"/>
          <w:sz w:val="20"/>
          <w:szCs w:val="20"/>
        </w:rPr>
      </w:pPr>
      <w:r w:rsidRPr="00FD194A">
        <w:rPr>
          <w:rFonts w:eastAsiaTheme="minorEastAsia"/>
          <w:b/>
          <w:bCs/>
          <w:sz w:val="20"/>
          <w:szCs w:val="20"/>
        </w:rPr>
        <w:t>Option#2</w:t>
      </w:r>
      <w:r>
        <w:rPr>
          <w:rFonts w:eastAsiaTheme="minorEastAsia"/>
          <w:sz w:val="20"/>
          <w:szCs w:val="20"/>
        </w:rPr>
        <w:t xml:space="preserve">: </w:t>
      </w:r>
      <w:r>
        <w:rPr>
          <w:sz w:val="20"/>
          <w:szCs w:val="20"/>
        </w:rPr>
        <w:t>T</w:t>
      </w:r>
      <w:r w:rsidR="009B55EB" w:rsidRPr="00FD194A">
        <w:rPr>
          <w:sz w:val="20"/>
          <w:szCs w:val="20"/>
        </w:rPr>
        <w:t>he CPUs count for computing CSI report(s) based on non-contiguous CSI-RS resource(s)</w:t>
      </w:r>
      <w:r w:rsidR="009B55EB" w:rsidRPr="00FD194A">
        <w:rPr>
          <w:rFonts w:eastAsiaTheme="minorEastAsia"/>
          <w:sz w:val="20"/>
          <w:szCs w:val="20"/>
        </w:rPr>
        <w:t xml:space="preserve"> across the two DL</w:t>
      </w:r>
      <w:r w:rsidR="005A66B2">
        <w:rPr>
          <w:rFonts w:eastAsiaTheme="minorEastAsia"/>
          <w:sz w:val="20"/>
          <w:szCs w:val="20"/>
        </w:rPr>
        <w:t>-SBs</w:t>
      </w:r>
      <w:r w:rsidR="009B55EB" w:rsidRPr="00FD194A">
        <w:rPr>
          <w:sz w:val="20"/>
          <w:szCs w:val="20"/>
        </w:rPr>
        <w:t xml:space="preserve">, can be considered as </w:t>
      </w:r>
      <w:r w:rsidR="009B55EB" w:rsidRPr="00FD194A">
        <w:rPr>
          <w:b/>
          <w:bCs/>
          <w:sz w:val="20"/>
          <w:szCs w:val="20"/>
        </w:rPr>
        <w:t>twice</w:t>
      </w:r>
      <w:r w:rsidR="009B55EB" w:rsidRPr="00FD194A">
        <w:rPr>
          <w:sz w:val="20"/>
          <w:szCs w:val="20"/>
        </w:rPr>
        <w:t xml:space="preserve"> the CPUs </w:t>
      </w:r>
      <w:r w:rsidR="005A66B2">
        <w:rPr>
          <w:sz w:val="20"/>
          <w:szCs w:val="20"/>
        </w:rPr>
        <w:t xml:space="preserve">count </w:t>
      </w:r>
      <w:r w:rsidR="009B55EB" w:rsidRPr="00FD194A">
        <w:rPr>
          <w:sz w:val="20"/>
          <w:szCs w:val="20"/>
        </w:rPr>
        <w:t xml:space="preserve">required for computing the same CSI report(s) using contiguous CSI-RS resource(s). </w:t>
      </w:r>
      <w:r w:rsidR="00FF4EFD">
        <w:rPr>
          <w:sz w:val="20"/>
          <w:szCs w:val="20"/>
        </w:rPr>
        <w:t xml:space="preserve"> </w:t>
      </w:r>
    </w:p>
    <w:p w14:paraId="545B6867" w14:textId="683E821F" w:rsidR="004147AB" w:rsidRDefault="004147AB" w:rsidP="00FC0A9D">
      <w:pPr>
        <w:pStyle w:val="af6"/>
        <w:numPr>
          <w:ilvl w:val="0"/>
          <w:numId w:val="9"/>
        </w:numPr>
        <w:jc w:val="both"/>
        <w:rPr>
          <w:b/>
          <w:bCs/>
          <w:i/>
          <w:iCs/>
          <w:sz w:val="20"/>
          <w:szCs w:val="20"/>
          <w:lang w:val="en-GB"/>
        </w:rPr>
      </w:pPr>
      <w:r>
        <w:rPr>
          <w:b/>
          <w:bCs/>
          <w:i/>
          <w:iCs/>
          <w:sz w:val="20"/>
          <w:szCs w:val="20"/>
          <w:lang w:val="en-GB"/>
        </w:rPr>
        <w:lastRenderedPageBreak/>
        <w:t>W</w:t>
      </w:r>
      <w:r w:rsidRPr="004147AB">
        <w:rPr>
          <w:b/>
          <w:bCs/>
          <w:i/>
          <w:iCs/>
          <w:sz w:val="20"/>
          <w:szCs w:val="20"/>
          <w:lang w:val="en-GB"/>
        </w:rPr>
        <w:t>hen UE computes a CSI report using CSI-RS resource(s) across two DL</w:t>
      </w:r>
      <w:r w:rsidR="001B1AD4">
        <w:rPr>
          <w:b/>
          <w:bCs/>
          <w:i/>
          <w:iCs/>
          <w:sz w:val="20"/>
          <w:szCs w:val="20"/>
          <w:lang w:val="en-GB"/>
        </w:rPr>
        <w:t>-SB</w:t>
      </w:r>
      <w:r w:rsidRPr="004147AB">
        <w:rPr>
          <w:b/>
          <w:bCs/>
          <w:i/>
          <w:iCs/>
          <w:sz w:val="20"/>
          <w:szCs w:val="20"/>
          <w:lang w:val="en-GB"/>
        </w:rPr>
        <w:t xml:space="preserve">s, </w:t>
      </w:r>
      <w:r w:rsidR="005C058A">
        <w:rPr>
          <w:b/>
          <w:bCs/>
          <w:i/>
          <w:iCs/>
          <w:sz w:val="20"/>
          <w:szCs w:val="20"/>
          <w:lang w:val="en-GB"/>
        </w:rPr>
        <w:t>RAN1 should adopt one of the following options</w:t>
      </w:r>
      <w:r w:rsidRPr="00CA77B3">
        <w:rPr>
          <w:b/>
          <w:bCs/>
          <w:i/>
          <w:iCs/>
          <w:sz w:val="20"/>
          <w:szCs w:val="20"/>
          <w:lang w:val="en-GB"/>
        </w:rPr>
        <w:t>.</w:t>
      </w:r>
    </w:p>
    <w:p w14:paraId="7C2B0F48" w14:textId="439DA7C0" w:rsidR="004147AB" w:rsidRPr="007359D3" w:rsidRDefault="005C058A" w:rsidP="007359D3">
      <w:pPr>
        <w:pStyle w:val="af6"/>
        <w:numPr>
          <w:ilvl w:val="0"/>
          <w:numId w:val="17"/>
        </w:numPr>
        <w:jc w:val="both"/>
        <w:rPr>
          <w:b/>
          <w:bCs/>
          <w:i/>
          <w:iCs/>
          <w:sz w:val="20"/>
          <w:szCs w:val="20"/>
          <w:lang w:val="en-GB"/>
        </w:rPr>
      </w:pPr>
      <w:r>
        <w:rPr>
          <w:b/>
          <w:bCs/>
          <w:i/>
          <w:iCs/>
          <w:sz w:val="20"/>
          <w:szCs w:val="20"/>
          <w:lang w:val="en-GB"/>
        </w:rPr>
        <w:t xml:space="preserve">Option#1: The </w:t>
      </w:r>
      <w:r w:rsidRPr="004147AB">
        <w:rPr>
          <w:b/>
          <w:bCs/>
          <w:i/>
          <w:iCs/>
          <w:sz w:val="20"/>
          <w:szCs w:val="20"/>
          <w:lang w:val="en-GB"/>
        </w:rPr>
        <w:t>CSI processing timeline is extended by X symbols</w:t>
      </w:r>
      <w:r>
        <w:rPr>
          <w:b/>
          <w:bCs/>
          <w:i/>
          <w:iCs/>
          <w:sz w:val="20"/>
          <w:szCs w:val="20"/>
          <w:lang w:val="en-GB"/>
        </w:rPr>
        <w:t xml:space="preserve">. </w:t>
      </w:r>
      <w:r w:rsidR="00511F2E" w:rsidRPr="005F0BD6">
        <w:rPr>
          <w:b/>
          <w:bCs/>
          <w:i/>
          <w:iCs/>
          <w:sz w:val="20"/>
          <w:szCs w:val="20"/>
        </w:rPr>
        <w:t>FFS the value(s) of X</w:t>
      </w:r>
      <w:r w:rsidR="00C7540A" w:rsidRPr="005F0BD6">
        <w:rPr>
          <w:b/>
          <w:bCs/>
          <w:i/>
          <w:iCs/>
          <w:sz w:val="20"/>
          <w:szCs w:val="20"/>
        </w:rPr>
        <w:t xml:space="preserve">. </w:t>
      </w:r>
      <w:r w:rsidR="00511F2E" w:rsidRPr="005F0BD6">
        <w:rPr>
          <w:b/>
          <w:bCs/>
          <w:i/>
          <w:iCs/>
          <w:sz w:val="20"/>
          <w:szCs w:val="20"/>
        </w:rPr>
        <w:t xml:space="preserve"> </w:t>
      </w:r>
    </w:p>
    <w:p w14:paraId="37D48D04" w14:textId="7F86EF6F" w:rsidR="007E6033" w:rsidRPr="000D316E" w:rsidRDefault="005C058A" w:rsidP="000D316E">
      <w:pPr>
        <w:pStyle w:val="af6"/>
        <w:numPr>
          <w:ilvl w:val="0"/>
          <w:numId w:val="17"/>
        </w:numPr>
        <w:spacing w:after="120"/>
        <w:ind w:left="714" w:hanging="357"/>
        <w:jc w:val="both"/>
        <w:rPr>
          <w:b/>
          <w:bCs/>
          <w:i/>
          <w:iCs/>
          <w:sz w:val="20"/>
          <w:szCs w:val="20"/>
          <w:lang w:val="en-GB"/>
        </w:rPr>
      </w:pPr>
      <w:r w:rsidRPr="005C058A">
        <w:rPr>
          <w:b/>
          <w:bCs/>
          <w:i/>
          <w:iCs/>
          <w:sz w:val="20"/>
          <w:szCs w:val="20"/>
          <w:lang w:val="en-GB"/>
        </w:rPr>
        <w:t>Option#2: The CPU</w:t>
      </w:r>
      <w:r w:rsidR="00C236B3">
        <w:rPr>
          <w:b/>
          <w:bCs/>
          <w:i/>
          <w:iCs/>
          <w:sz w:val="20"/>
          <w:szCs w:val="20"/>
          <w:lang w:val="en-GB"/>
        </w:rPr>
        <w:t>s</w:t>
      </w:r>
      <w:r w:rsidRPr="005C058A">
        <w:rPr>
          <w:b/>
          <w:bCs/>
          <w:i/>
          <w:iCs/>
          <w:sz w:val="20"/>
          <w:szCs w:val="20"/>
          <w:lang w:val="en-GB"/>
        </w:rPr>
        <w:t xml:space="preserve"> count for computing the CSI report(s) is twice the CPUs </w:t>
      </w:r>
      <w:r w:rsidR="00C236B3">
        <w:rPr>
          <w:b/>
          <w:bCs/>
          <w:i/>
          <w:iCs/>
          <w:sz w:val="20"/>
          <w:szCs w:val="20"/>
          <w:lang w:val="en-GB"/>
        </w:rPr>
        <w:t xml:space="preserve">count </w:t>
      </w:r>
      <w:r w:rsidRPr="005C058A">
        <w:rPr>
          <w:b/>
          <w:bCs/>
          <w:i/>
          <w:iCs/>
          <w:sz w:val="20"/>
          <w:szCs w:val="20"/>
          <w:lang w:val="en-GB"/>
        </w:rPr>
        <w:t>required for computing the same CSI report(s) using contiguous CSI-RS resource(s).</w:t>
      </w:r>
    </w:p>
    <w:p w14:paraId="70FCB1E7" w14:textId="7C7929DB" w:rsidR="00922ABF" w:rsidRPr="00922ABF" w:rsidRDefault="0015475A" w:rsidP="00922ABF">
      <w:pPr>
        <w:pStyle w:val="3"/>
        <w:spacing w:before="0" w:after="0"/>
      </w:pPr>
      <w:r w:rsidRPr="008A290F">
        <w:t>PHY Channels/Signals/Procedures across SBFD and non-SBFD Symbols in Different Slots</w:t>
      </w:r>
    </w:p>
    <w:p w14:paraId="3687583E" w14:textId="63A44D85" w:rsidR="0015475A" w:rsidRDefault="0015475A" w:rsidP="00A95F6D">
      <w:pPr>
        <w:pStyle w:val="40"/>
        <w:spacing w:before="0" w:after="0"/>
      </w:pPr>
      <w:r w:rsidRPr="008A290F">
        <w:t>CSI Reporting Configuration</w:t>
      </w:r>
    </w:p>
    <w:p w14:paraId="313EE2B9" w14:textId="77777777" w:rsidR="003C6269" w:rsidRPr="003C6269" w:rsidRDefault="003C6269" w:rsidP="0016254E">
      <w:pPr>
        <w:spacing w:after="0"/>
        <w:rPr>
          <w:lang w:eastAsia="en-US"/>
        </w:rPr>
      </w:pPr>
    </w:p>
    <w:tbl>
      <w:tblPr>
        <w:tblStyle w:val="afb"/>
        <w:tblW w:w="0" w:type="auto"/>
        <w:tblInd w:w="108" w:type="dxa"/>
        <w:tblLook w:val="04A0" w:firstRow="1" w:lastRow="0" w:firstColumn="1" w:lastColumn="0" w:noHBand="0" w:noVBand="1"/>
      </w:tblPr>
      <w:tblGrid>
        <w:gridCol w:w="9521"/>
      </w:tblGrid>
      <w:tr w:rsidR="0015475A" w:rsidRPr="008A290F" w14:paraId="3F177AA3" w14:textId="77777777" w:rsidTr="00723465">
        <w:tc>
          <w:tcPr>
            <w:tcW w:w="9521" w:type="dxa"/>
          </w:tcPr>
          <w:p w14:paraId="3180A839" w14:textId="77777777" w:rsidR="00E75807" w:rsidRPr="00E75807" w:rsidRDefault="00E75807" w:rsidP="00E75807">
            <w:pPr>
              <w:overflowPunct/>
              <w:autoSpaceDE/>
              <w:autoSpaceDN/>
              <w:adjustRightInd/>
              <w:spacing w:after="0"/>
              <w:rPr>
                <w:b/>
                <w:lang w:eastAsia="zh-CN"/>
              </w:rPr>
            </w:pPr>
            <w:bookmarkStart w:id="9" w:name="_Hlk173925725"/>
            <w:r w:rsidRPr="00E75807">
              <w:rPr>
                <w:b/>
                <w:highlight w:val="green"/>
                <w:lang w:eastAsia="zh-CN"/>
              </w:rPr>
              <w:t>Agreement</w:t>
            </w:r>
          </w:p>
          <w:p w14:paraId="2FC24DC0" w14:textId="77777777" w:rsidR="00E75807" w:rsidRPr="00E75807" w:rsidRDefault="00E75807" w:rsidP="00E75807">
            <w:pPr>
              <w:overflowPunct/>
              <w:autoSpaceDE/>
              <w:autoSpaceDN/>
              <w:adjustRightInd/>
              <w:spacing w:after="0"/>
              <w:rPr>
                <w:lang w:eastAsia="zh-CN"/>
              </w:rPr>
            </w:pPr>
            <w:r w:rsidRPr="00E75807">
              <w:rPr>
                <w:lang w:eastAsia="zh-CN"/>
              </w:rPr>
              <w:t>F</w:t>
            </w:r>
            <w:r w:rsidRPr="00E75807">
              <w:rPr>
                <w:rFonts w:eastAsia="Malgun Gothic"/>
                <w:lang w:eastAsia="en-US"/>
              </w:rPr>
              <w:t>or CSI report associated with periodic/semi-persistent CSI-RS</w:t>
            </w:r>
            <w:r w:rsidRPr="00E75807">
              <w:rPr>
                <w:lang w:eastAsia="zh-CN"/>
              </w:rPr>
              <w:t>, discuss and decide whether to support the following options.</w:t>
            </w:r>
          </w:p>
          <w:p w14:paraId="4C2D9DAF" w14:textId="77777777" w:rsidR="00E75807" w:rsidRPr="00E75807" w:rsidRDefault="00E75807" w:rsidP="00FC0A9D">
            <w:pPr>
              <w:numPr>
                <w:ilvl w:val="0"/>
                <w:numId w:val="19"/>
              </w:numPr>
              <w:overflowPunct/>
              <w:autoSpaceDE/>
              <w:autoSpaceDN/>
              <w:adjustRightInd/>
              <w:spacing w:after="0"/>
              <w:rPr>
                <w:rFonts w:eastAsia="Malgun Gothic"/>
                <w:lang w:eastAsia="zh-CN"/>
              </w:rPr>
            </w:pPr>
            <w:r w:rsidRPr="00E75807">
              <w:rPr>
                <w:lang w:eastAsia="zh-CN"/>
              </w:rPr>
              <w:t xml:space="preserve">Option A: For separate CSI reports on SBFD and non-SBFD, </w:t>
            </w:r>
            <w:r w:rsidRPr="00E75807">
              <w:rPr>
                <w:rFonts w:eastAsia="Malgun Gothic"/>
                <w:lang w:eastAsia="zh-CN"/>
              </w:rPr>
              <w:t xml:space="preserve">one </w:t>
            </w:r>
            <w:r w:rsidRPr="00E75807">
              <w:rPr>
                <w:rFonts w:eastAsia="Malgun Gothic"/>
                <w:i/>
                <w:iCs/>
                <w:lang w:eastAsia="zh-CN"/>
              </w:rPr>
              <w:t>CSI-ReportConfig</w:t>
            </w:r>
            <w:r w:rsidRPr="00E75807">
              <w:rPr>
                <w:rFonts w:eastAsia="Malgun Gothic"/>
                <w:lang w:eastAsia="zh-CN"/>
              </w:rPr>
              <w:t xml:space="preserve"> is associated with CSI-RS</w:t>
            </w:r>
            <w:r w:rsidRPr="00E75807">
              <w:rPr>
                <w:lang w:eastAsia="zh-CN"/>
              </w:rPr>
              <w:t>(s)</w:t>
            </w:r>
            <w:r w:rsidRPr="00E75807">
              <w:rPr>
                <w:rFonts w:eastAsia="Malgun Gothic"/>
                <w:lang w:eastAsia="zh-CN"/>
              </w:rPr>
              <w:t xml:space="preserve"> restricted to SBFD symbols only and the second </w:t>
            </w:r>
            <w:r w:rsidRPr="00E75807">
              <w:rPr>
                <w:rFonts w:eastAsia="Malgun Gothic"/>
                <w:i/>
                <w:iCs/>
                <w:lang w:eastAsia="zh-CN"/>
              </w:rPr>
              <w:t>CSI-ReportConfig</w:t>
            </w:r>
            <w:r w:rsidRPr="00E75807">
              <w:rPr>
                <w:rFonts w:eastAsia="Malgun Gothic"/>
                <w:lang w:eastAsia="zh-CN"/>
              </w:rPr>
              <w:t xml:space="preserve"> is associated with CSI-RS</w:t>
            </w:r>
            <w:r w:rsidRPr="00E75807">
              <w:rPr>
                <w:lang w:eastAsia="zh-CN"/>
              </w:rPr>
              <w:t>(s)</w:t>
            </w:r>
            <w:r w:rsidRPr="00E75807">
              <w:rPr>
                <w:rFonts w:eastAsia="Malgun Gothic"/>
                <w:lang w:eastAsia="zh-CN"/>
              </w:rPr>
              <w:t xml:space="preserve"> restricted to non-SBFD symbols only.</w:t>
            </w:r>
          </w:p>
          <w:p w14:paraId="0D0721BD" w14:textId="77777777" w:rsidR="00E75807" w:rsidRPr="00E75807" w:rsidRDefault="00E75807" w:rsidP="00FC0A9D">
            <w:pPr>
              <w:numPr>
                <w:ilvl w:val="1"/>
                <w:numId w:val="19"/>
              </w:numPr>
              <w:overflowPunct/>
              <w:autoSpaceDE/>
              <w:autoSpaceDN/>
              <w:adjustRightInd/>
              <w:spacing w:after="0"/>
              <w:rPr>
                <w:rFonts w:eastAsia="Malgun Gothic"/>
                <w:lang w:eastAsia="zh-CN"/>
              </w:rPr>
            </w:pPr>
            <w:r w:rsidRPr="00E75807">
              <w:rPr>
                <w:lang w:eastAsia="zh-CN"/>
              </w:rPr>
              <w:t xml:space="preserve">gNB configuration may not </w:t>
            </w:r>
            <w:r w:rsidRPr="00E75807">
              <w:rPr>
                <w:rFonts w:eastAsia="Malgun Gothic"/>
                <w:lang w:eastAsia="zh-CN"/>
              </w:rPr>
              <w:t xml:space="preserve">ensure that the CSI-RS associated with each </w:t>
            </w:r>
            <w:r w:rsidRPr="00E75807">
              <w:rPr>
                <w:rFonts w:eastAsia="Malgun Gothic"/>
                <w:i/>
                <w:lang w:eastAsia="zh-CN"/>
              </w:rPr>
              <w:t>CSI-ReportConfig</w:t>
            </w:r>
            <w:r w:rsidRPr="00E75807">
              <w:rPr>
                <w:rFonts w:eastAsia="Malgun Gothic"/>
                <w:lang w:eastAsia="zh-CN"/>
              </w:rPr>
              <w:t xml:space="preserve"> is confined to either SBFD symbols or non-SBFD symbols only.</w:t>
            </w:r>
          </w:p>
          <w:p w14:paraId="65A5F6FF" w14:textId="77777777" w:rsidR="00E75807" w:rsidRPr="00E75807" w:rsidRDefault="00E75807" w:rsidP="00FC0A9D">
            <w:pPr>
              <w:numPr>
                <w:ilvl w:val="2"/>
                <w:numId w:val="19"/>
              </w:numPr>
              <w:overflowPunct/>
              <w:autoSpaceDE/>
              <w:autoSpaceDN/>
              <w:adjustRightInd/>
              <w:spacing w:after="0"/>
              <w:rPr>
                <w:rFonts w:eastAsia="Malgun Gothic"/>
                <w:lang w:eastAsia="zh-CN"/>
              </w:rPr>
            </w:pPr>
            <w:r w:rsidRPr="00E75807">
              <w:rPr>
                <w:lang w:eastAsia="zh-CN"/>
              </w:rPr>
              <w:t xml:space="preserve">For the </w:t>
            </w:r>
            <w:r w:rsidRPr="00E75807">
              <w:rPr>
                <w:rFonts w:eastAsia="Malgun Gothic"/>
                <w:i/>
                <w:iCs/>
                <w:lang w:eastAsia="zh-CN"/>
              </w:rPr>
              <w:t>CSI-ReportConfig</w:t>
            </w:r>
            <w:r w:rsidRPr="00E75807">
              <w:rPr>
                <w:rFonts w:eastAsia="Malgun Gothic"/>
                <w:lang w:eastAsia="zh-CN"/>
              </w:rPr>
              <w:t xml:space="preserve"> associated with CSI-RS</w:t>
            </w:r>
            <w:r w:rsidRPr="00E75807">
              <w:rPr>
                <w:lang w:eastAsia="zh-CN"/>
              </w:rPr>
              <w:t>(s)</w:t>
            </w:r>
            <w:r w:rsidRPr="00E75807">
              <w:rPr>
                <w:rFonts w:eastAsia="Malgun Gothic"/>
                <w:lang w:eastAsia="zh-CN"/>
              </w:rPr>
              <w:t xml:space="preserve"> restricted to SBFD symbols only</w:t>
            </w:r>
            <w:r w:rsidRPr="00E75807">
              <w:rPr>
                <w:lang w:eastAsia="zh-CN"/>
              </w:rPr>
              <w:t xml:space="preserve">, </w:t>
            </w:r>
            <w:r w:rsidRPr="00E75807">
              <w:rPr>
                <w:rFonts w:eastAsia="Malgun Gothic"/>
                <w:lang w:eastAsia="zh-CN"/>
              </w:rPr>
              <w:t>only CSI-RS transmission occasions within SBFD symbols are used for CSI derivation</w:t>
            </w:r>
            <w:r w:rsidRPr="00E75807">
              <w:rPr>
                <w:lang w:eastAsia="zh-CN"/>
              </w:rPr>
              <w:t xml:space="preserve">. For the </w:t>
            </w:r>
            <w:r w:rsidRPr="00E75807">
              <w:rPr>
                <w:rFonts w:eastAsia="Malgun Gothic"/>
                <w:i/>
                <w:iCs/>
                <w:lang w:eastAsia="zh-CN"/>
              </w:rPr>
              <w:t>CSI-ReportConfig</w:t>
            </w:r>
            <w:r w:rsidRPr="00E75807">
              <w:rPr>
                <w:rFonts w:eastAsia="Malgun Gothic"/>
                <w:lang w:eastAsia="zh-CN"/>
              </w:rPr>
              <w:t xml:space="preserve"> associated with CSI-RS</w:t>
            </w:r>
            <w:r w:rsidRPr="00E75807">
              <w:rPr>
                <w:lang w:eastAsia="zh-CN"/>
              </w:rPr>
              <w:t>(s)</w:t>
            </w:r>
            <w:r w:rsidRPr="00E75807">
              <w:rPr>
                <w:rFonts w:eastAsia="Malgun Gothic"/>
                <w:lang w:eastAsia="zh-CN"/>
              </w:rPr>
              <w:t xml:space="preserve"> restricted to non-SBFD symbols only</w:t>
            </w:r>
            <w:r w:rsidRPr="00E75807">
              <w:rPr>
                <w:lang w:eastAsia="zh-CN"/>
              </w:rPr>
              <w:t xml:space="preserve">, </w:t>
            </w:r>
            <w:r w:rsidRPr="00E75807">
              <w:rPr>
                <w:rFonts w:eastAsia="Malgun Gothic"/>
                <w:lang w:eastAsia="zh-CN"/>
              </w:rPr>
              <w:t xml:space="preserve">only CSI-RS transmission occasions within </w:t>
            </w:r>
            <w:r w:rsidRPr="00E75807">
              <w:rPr>
                <w:lang w:eastAsia="zh-CN"/>
              </w:rPr>
              <w:t>non-</w:t>
            </w:r>
            <w:r w:rsidRPr="00E75807">
              <w:rPr>
                <w:rFonts w:eastAsia="Malgun Gothic"/>
                <w:lang w:eastAsia="zh-CN"/>
              </w:rPr>
              <w:t>SBFD symbols are used for CSI derivation</w:t>
            </w:r>
            <w:r w:rsidRPr="00E75807">
              <w:rPr>
                <w:lang w:eastAsia="zh-CN"/>
              </w:rPr>
              <w:t>.</w:t>
            </w:r>
          </w:p>
          <w:p w14:paraId="658875AE" w14:textId="4194903A" w:rsidR="0015475A" w:rsidRPr="00E75807" w:rsidRDefault="00E75807" w:rsidP="00FC0A9D">
            <w:pPr>
              <w:numPr>
                <w:ilvl w:val="0"/>
                <w:numId w:val="19"/>
              </w:numPr>
              <w:overflowPunct/>
              <w:autoSpaceDE/>
              <w:autoSpaceDN/>
              <w:adjustRightInd/>
              <w:spacing w:after="0"/>
              <w:rPr>
                <w:rFonts w:ascii="Times" w:eastAsia="Malgun Gothic" w:hAnsi="Times"/>
                <w:lang w:eastAsia="zh-CN"/>
              </w:rPr>
            </w:pPr>
            <w:r w:rsidRPr="00E75807">
              <w:rPr>
                <w:lang w:eastAsia="zh-CN"/>
              </w:rPr>
              <w:t>Option B: Enhance Rel-18 NES</w:t>
            </w:r>
            <w:r w:rsidRPr="00E75807">
              <w:rPr>
                <w:rFonts w:eastAsia="Batang"/>
                <w:lang w:eastAsia="en-US"/>
              </w:rPr>
              <w:t xml:space="preserve"> CSI reporting framework</w:t>
            </w:r>
            <w:r w:rsidRPr="00E75807">
              <w:rPr>
                <w:lang w:eastAsia="zh-CN"/>
              </w:rPr>
              <w:t xml:space="preserve"> to support </w:t>
            </w:r>
            <w:r w:rsidRPr="00E75807">
              <w:rPr>
                <w:rFonts w:eastAsia="Batang"/>
                <w:lang w:eastAsia="en-US"/>
              </w:rPr>
              <w:t xml:space="preserve">one </w:t>
            </w:r>
            <w:r w:rsidRPr="00E75807">
              <w:rPr>
                <w:rFonts w:eastAsia="Batang"/>
                <w:i/>
                <w:iCs/>
                <w:lang w:eastAsia="en-US"/>
              </w:rPr>
              <w:t>CSI-ReportConfig</w:t>
            </w:r>
            <w:r w:rsidRPr="00E75807">
              <w:rPr>
                <w:rFonts w:eastAsia="Batang"/>
                <w:lang w:eastAsia="en-US"/>
              </w:rPr>
              <w:t xml:space="preserve"> </w:t>
            </w:r>
            <w:r w:rsidRPr="00E75807">
              <w:rPr>
                <w:lang w:eastAsia="zh-CN"/>
              </w:rPr>
              <w:t xml:space="preserve">with one sub-configuration </w:t>
            </w:r>
            <w:r w:rsidRPr="00E75807">
              <w:rPr>
                <w:rFonts w:eastAsia="Batang"/>
                <w:lang w:eastAsia="en-US"/>
              </w:rPr>
              <w:t>associated with SBFD symbols and</w:t>
            </w:r>
            <w:r w:rsidRPr="00E75807">
              <w:rPr>
                <w:lang w:eastAsia="zh-CN"/>
              </w:rPr>
              <w:t xml:space="preserve"> the other sub-configuration associated with</w:t>
            </w:r>
            <w:r w:rsidRPr="00E75807">
              <w:rPr>
                <w:rFonts w:eastAsia="Batang"/>
                <w:lang w:eastAsia="en-US"/>
              </w:rPr>
              <w:t xml:space="preserve"> non-SBFD symbols</w:t>
            </w:r>
          </w:p>
        </w:tc>
      </w:tr>
    </w:tbl>
    <w:bookmarkEnd w:id="9"/>
    <w:p w14:paraId="07AE6EBC" w14:textId="7DFD80C1" w:rsidR="00440A83" w:rsidRPr="00517A77" w:rsidRDefault="009C4676" w:rsidP="0009028E">
      <w:pPr>
        <w:spacing w:before="120" w:after="0"/>
        <w:jc w:val="both"/>
      </w:pPr>
      <w:r>
        <w:t>In RAN1#117, RAN1 agreed to further discuss two main options f</w:t>
      </w:r>
      <w:r w:rsidRPr="009C4676">
        <w:t>or CSI report associated with periodic/semi-persistent CSI-RS</w:t>
      </w:r>
      <w:r>
        <w:t xml:space="preserve">. </w:t>
      </w:r>
      <w:r w:rsidR="0014109C">
        <w:rPr>
          <w:rFonts w:eastAsia="Malgun Gothic"/>
        </w:rPr>
        <w:t>Option A</w:t>
      </w:r>
      <w:r w:rsidR="00440A83">
        <w:rPr>
          <w:rFonts w:eastAsia="Malgun Gothic"/>
        </w:rPr>
        <w:t xml:space="preserve"> can be achieved with minimal specification impact since the existing specification </w:t>
      </w:r>
      <w:r w:rsidR="000B3D0F">
        <w:rPr>
          <w:rFonts w:eastAsia="Malgun Gothic"/>
        </w:rPr>
        <w:t xml:space="preserve">can </w:t>
      </w:r>
      <w:r w:rsidR="0015475A" w:rsidRPr="008A290F">
        <w:t>configure</w:t>
      </w:r>
      <w:r w:rsidR="00440A83">
        <w:t xml:space="preserve"> UE</w:t>
      </w:r>
      <w:r w:rsidR="0015475A" w:rsidRPr="008A290F">
        <w:t xml:space="preserve"> with multiple CSI reporting Configurations (</w:t>
      </w:r>
      <w:r w:rsidR="0015475A" w:rsidRPr="008A290F">
        <w:rPr>
          <w:rFonts w:eastAsia="Malgun Gothic" w:cs="Times"/>
          <w:i/>
          <w:iCs/>
          <w:lang w:eastAsia="zh-CN"/>
        </w:rPr>
        <w:t>CSI-ReportConfig</w:t>
      </w:r>
      <w:r w:rsidR="0015475A" w:rsidRPr="008A290F">
        <w:t xml:space="preserve">). </w:t>
      </w:r>
      <w:r w:rsidR="00517A77">
        <w:t xml:space="preserve">For SBFD operation, </w:t>
      </w:r>
      <w:r w:rsidR="000B3D0F">
        <w:t>separate</w:t>
      </w:r>
      <w:r w:rsidR="0015475A" w:rsidRPr="008A290F">
        <w:t xml:space="preserve"> CSI reporting configuration</w:t>
      </w:r>
      <w:r w:rsidR="000B3D0F">
        <w:t>s</w:t>
      </w:r>
      <w:r w:rsidR="0015475A" w:rsidRPr="008A290F">
        <w:t xml:space="preserve"> can be assigned to each SBFD slot type. A</w:t>
      </w:r>
      <w:r w:rsidR="005B4240" w:rsidRPr="008A290F">
        <w:t xml:space="preserve"> new higher layer parameter (e.g., </w:t>
      </w:r>
      <w:r w:rsidR="005B4240" w:rsidRPr="008A290F">
        <w:rPr>
          <w:i/>
          <w:iCs/>
        </w:rPr>
        <w:t>slotType</w:t>
      </w:r>
      <w:r w:rsidR="005B4240" w:rsidRPr="008A290F">
        <w:t>) can be provided</w:t>
      </w:r>
      <w:r w:rsidR="00C6791E" w:rsidRPr="008A290F">
        <w:t xml:space="preserve"> within</w:t>
      </w:r>
      <w:r w:rsidR="005B4240" w:rsidRPr="008A290F">
        <w:t xml:space="preserve"> </w:t>
      </w:r>
      <w:r w:rsidR="005B4240" w:rsidRPr="008A290F">
        <w:rPr>
          <w:rFonts w:eastAsia="Malgun Gothic" w:cs="Times"/>
          <w:i/>
          <w:iCs/>
          <w:lang w:eastAsia="zh-CN"/>
        </w:rPr>
        <w:t>CSI-Re</w:t>
      </w:r>
      <w:r>
        <w:rPr>
          <w:rFonts w:eastAsia="Malgun Gothic" w:cs="Times"/>
          <w:i/>
          <w:iCs/>
          <w:lang w:eastAsia="zh-CN"/>
        </w:rPr>
        <w:t>port</w:t>
      </w:r>
      <w:r w:rsidR="005B4240" w:rsidRPr="008A290F">
        <w:rPr>
          <w:rFonts w:eastAsia="Malgun Gothic" w:cs="Times"/>
          <w:i/>
          <w:iCs/>
          <w:lang w:eastAsia="zh-CN"/>
        </w:rPr>
        <w:t xml:space="preserve">Config </w:t>
      </w:r>
      <w:r w:rsidR="005B4240" w:rsidRPr="008A290F">
        <w:rPr>
          <w:rFonts w:eastAsia="Malgun Gothic" w:cs="Times"/>
          <w:lang w:eastAsia="zh-CN"/>
        </w:rPr>
        <w:t xml:space="preserve">to indicate the slot type for which the CSI-RS </w:t>
      </w:r>
      <w:r>
        <w:rPr>
          <w:rFonts w:eastAsia="Malgun Gothic" w:cs="Times"/>
          <w:lang w:eastAsia="zh-CN"/>
        </w:rPr>
        <w:t>reporting</w:t>
      </w:r>
      <w:r w:rsidR="005B4240" w:rsidRPr="008A290F">
        <w:rPr>
          <w:rFonts w:eastAsia="Malgun Gothic" w:cs="Times"/>
          <w:lang w:eastAsia="zh-CN"/>
        </w:rPr>
        <w:t xml:space="preserve"> configuration is applied. </w:t>
      </w:r>
      <w:r w:rsidR="001C75CC" w:rsidRPr="008A290F">
        <w:rPr>
          <w:rFonts w:eastAsia="Malgun Gothic" w:cs="Times"/>
          <w:lang w:eastAsia="zh-CN"/>
        </w:rPr>
        <w:t>Thus,</w:t>
      </w:r>
      <w:r w:rsidR="005B4240" w:rsidRPr="008A290F">
        <w:rPr>
          <w:rFonts w:eastAsia="Malgun Gothic" w:cs="Times"/>
          <w:lang w:eastAsia="zh-CN"/>
        </w:rPr>
        <w:t xml:space="preserve"> </w:t>
      </w:r>
      <w:r w:rsidR="005B4240" w:rsidRPr="008A290F">
        <w:rPr>
          <w:rFonts w:eastAsia="Malgun Gothic" w:cs="Times"/>
          <w:i/>
          <w:iCs/>
          <w:lang w:eastAsia="zh-CN"/>
        </w:rPr>
        <w:t>CSI-ReportConfig</w:t>
      </w:r>
      <w:r w:rsidR="000C7D35" w:rsidRPr="008A290F">
        <w:rPr>
          <w:rFonts w:eastAsia="Malgun Gothic" w:cs="Times"/>
          <w:i/>
          <w:iCs/>
          <w:lang w:eastAsia="zh-CN"/>
        </w:rPr>
        <w:t xml:space="preserve"> </w:t>
      </w:r>
      <w:r w:rsidR="00C6791E" w:rsidRPr="008A290F">
        <w:rPr>
          <w:rFonts w:eastAsia="Malgun Gothic" w:cs="Times"/>
          <w:lang w:eastAsia="zh-CN"/>
        </w:rPr>
        <w:t xml:space="preserve">and the </w:t>
      </w:r>
      <w:r w:rsidR="000C7D35" w:rsidRPr="008A290F">
        <w:rPr>
          <w:rFonts w:eastAsia="Malgun Gothic" w:cs="Times"/>
          <w:lang w:eastAsia="zh-CN"/>
        </w:rPr>
        <w:t xml:space="preserve">associated </w:t>
      </w:r>
      <w:r w:rsidR="000C7D35" w:rsidRPr="008A290F">
        <w:rPr>
          <w:rFonts w:eastAsia="Malgun Gothic" w:cs="Times"/>
          <w:i/>
          <w:iCs/>
          <w:lang w:eastAsia="zh-CN"/>
        </w:rPr>
        <w:t>CSI-ResourceConfig</w:t>
      </w:r>
      <w:r w:rsidR="001C75CC" w:rsidRPr="008A290F">
        <w:rPr>
          <w:rFonts w:eastAsia="Malgun Gothic" w:cs="Times"/>
          <w:i/>
          <w:iCs/>
          <w:lang w:eastAsia="zh-CN"/>
        </w:rPr>
        <w:t xml:space="preserve"> </w:t>
      </w:r>
      <w:r w:rsidR="001C75CC" w:rsidRPr="008A290F">
        <w:rPr>
          <w:rFonts w:eastAsia="Malgun Gothic" w:cs="Times"/>
          <w:lang w:eastAsia="zh-CN"/>
        </w:rPr>
        <w:t>is used to provide CSI reports based on measurement performed on the sets of slots indicated by</w:t>
      </w:r>
      <w:r w:rsidR="00E605A2">
        <w:rPr>
          <w:rFonts w:eastAsia="Malgun Gothic" w:cs="Times"/>
          <w:lang w:eastAsia="zh-CN"/>
        </w:rPr>
        <w:t xml:space="preserve"> the parameter</w:t>
      </w:r>
      <w:r w:rsidR="001C75CC" w:rsidRPr="008A290F">
        <w:rPr>
          <w:rFonts w:eastAsia="Malgun Gothic" w:cs="Times"/>
          <w:lang w:eastAsia="zh-CN"/>
        </w:rPr>
        <w:t xml:space="preserve"> </w:t>
      </w:r>
      <w:r w:rsidR="001C75CC" w:rsidRPr="008A290F">
        <w:rPr>
          <w:i/>
          <w:iCs/>
        </w:rPr>
        <w:t>slotType.</w:t>
      </w:r>
      <w:r w:rsidR="00517A77">
        <w:rPr>
          <w:i/>
          <w:iCs/>
        </w:rPr>
        <w:t xml:space="preserve"> </w:t>
      </w:r>
      <w:r w:rsidR="00517A77">
        <w:t xml:space="preserve">For Option B, on the other hand, a higher specification effort </w:t>
      </w:r>
      <w:r w:rsidR="000B3D0F">
        <w:t xml:space="preserve">is required </w:t>
      </w:r>
      <w:r w:rsidR="00517A77">
        <w:t xml:space="preserve">to enhance the </w:t>
      </w:r>
      <w:r w:rsidR="00517A77" w:rsidRPr="00517A77">
        <w:t xml:space="preserve">Rel-18 NES CSI reporting framework to support </w:t>
      </w:r>
      <w:r w:rsidR="00517A77">
        <w:t xml:space="preserve">separate CSI reporting sub-configurations for SBFD and non-SBFD symbols. Therefore, we prefer Option A. </w:t>
      </w:r>
    </w:p>
    <w:p w14:paraId="3BDEF42E" w14:textId="3227C706" w:rsidR="00AB7B20" w:rsidRPr="008A290F" w:rsidRDefault="00EE7B0E" w:rsidP="00FC0A9D">
      <w:pPr>
        <w:pStyle w:val="af6"/>
        <w:numPr>
          <w:ilvl w:val="0"/>
          <w:numId w:val="9"/>
        </w:numPr>
        <w:jc w:val="both"/>
        <w:rPr>
          <w:i/>
          <w:iCs/>
          <w:lang w:val="en-GB"/>
        </w:rPr>
      </w:pPr>
      <w:bookmarkStart w:id="10" w:name="_Ref131537355"/>
      <w:r>
        <w:rPr>
          <w:b/>
          <w:bCs/>
          <w:i/>
          <w:iCs/>
          <w:sz w:val="20"/>
          <w:szCs w:val="20"/>
          <w:lang w:val="en-GB"/>
        </w:rPr>
        <w:t xml:space="preserve">Support Option A for </w:t>
      </w:r>
      <w:r w:rsidRPr="00EE7B0E">
        <w:rPr>
          <w:b/>
          <w:bCs/>
          <w:i/>
          <w:iCs/>
          <w:sz w:val="20"/>
          <w:szCs w:val="20"/>
          <w:lang w:val="en-GB"/>
        </w:rPr>
        <w:t>CSI report associated with periodic/semi-persistent CSI-RS</w:t>
      </w:r>
      <w:r w:rsidR="00AB7B20" w:rsidRPr="008A290F">
        <w:rPr>
          <w:b/>
          <w:bCs/>
          <w:i/>
          <w:iCs/>
          <w:lang w:val="en-GB"/>
        </w:rPr>
        <w:t xml:space="preserve">. </w:t>
      </w:r>
    </w:p>
    <w:bookmarkEnd w:id="10"/>
    <w:p w14:paraId="56F19361" w14:textId="6448214B" w:rsidR="00A8058D" w:rsidRDefault="001E6A08" w:rsidP="007D7B02">
      <w:pPr>
        <w:pStyle w:val="40"/>
      </w:pPr>
      <w:r w:rsidRPr="008A290F">
        <w:t>Resource Allocation for Multi-slot Transmissions</w:t>
      </w:r>
    </w:p>
    <w:p w14:paraId="44AC36F6" w14:textId="50820C92" w:rsidR="009C490D" w:rsidRPr="008A290F" w:rsidRDefault="009C490D" w:rsidP="009C490D">
      <w:pPr>
        <w:spacing w:after="0"/>
        <w:jc w:val="both"/>
        <w:textAlignment w:val="center"/>
        <w:rPr>
          <w:rFonts w:eastAsia="Times New Roman"/>
          <w:lang w:eastAsia="da-DK"/>
        </w:rPr>
      </w:pPr>
      <w:r>
        <w:t xml:space="preserve">In RAN1#116bis, various </w:t>
      </w:r>
      <w:r w:rsidRPr="008A290F">
        <w:t xml:space="preserve">options were agreed </w:t>
      </w:r>
      <w:r w:rsidR="006A09D2">
        <w:t>to address issues</w:t>
      </w:r>
      <w:r w:rsidR="004113AC">
        <w:t xml:space="preserve"> relating to</w:t>
      </w:r>
      <w:r w:rsidR="006A09D2">
        <w:t xml:space="preserve"> </w:t>
      </w:r>
      <w:r w:rsidR="00910EB3">
        <w:t xml:space="preserve">reception/transmission occasions </w:t>
      </w:r>
      <w:r w:rsidR="00910EB3" w:rsidRPr="00EB45FA">
        <w:rPr>
          <w:rFonts w:eastAsia="Malgun Gothic"/>
        </w:rPr>
        <w:t>across SBFD symbols and non-SBFD symbols in different slots</w:t>
      </w:r>
      <w:r w:rsidRPr="008A290F">
        <w:rPr>
          <w:rFonts w:eastAsia="Malgun Gothic"/>
        </w:rPr>
        <w:t xml:space="preserve">. </w:t>
      </w:r>
      <w:r>
        <w:rPr>
          <w:rFonts w:eastAsia="Times New Roman"/>
          <w:lang w:eastAsia="da-DK"/>
        </w:rPr>
        <w:t>Our views on the</w:t>
      </w:r>
      <w:r w:rsidR="00820B9B">
        <w:rPr>
          <w:rFonts w:eastAsia="Times New Roman"/>
          <w:lang w:eastAsia="da-DK"/>
        </w:rPr>
        <w:t xml:space="preserve"> agreed</w:t>
      </w:r>
      <w:r>
        <w:rPr>
          <w:rFonts w:eastAsia="Times New Roman"/>
          <w:lang w:eastAsia="da-DK"/>
        </w:rPr>
        <w:t xml:space="preserve"> options are presented below. </w:t>
      </w:r>
    </w:p>
    <w:p w14:paraId="55E75880" w14:textId="6CD32A26" w:rsidR="00734C24" w:rsidRPr="00912CC3" w:rsidRDefault="00035768" w:rsidP="00276249">
      <w:pPr>
        <w:spacing w:before="120" w:after="120"/>
        <w:rPr>
          <w:sz w:val="22"/>
          <w:szCs w:val="22"/>
          <w:u w:val="single"/>
        </w:rPr>
      </w:pPr>
      <w:r w:rsidRPr="00035768">
        <w:rPr>
          <w:sz w:val="22"/>
          <w:szCs w:val="22"/>
          <w:u w:val="single"/>
        </w:rPr>
        <w:t>SPS PDSCH</w:t>
      </w:r>
      <w:r w:rsidR="003F56AD">
        <w:rPr>
          <w:sz w:val="22"/>
          <w:szCs w:val="22"/>
          <w:u w:val="single"/>
        </w:rPr>
        <w:t>/CG PUSCH</w:t>
      </w:r>
      <w:r w:rsidR="00734C24" w:rsidRPr="00734C24">
        <w:rPr>
          <w:sz w:val="22"/>
          <w:szCs w:val="22"/>
          <w:u w:val="single"/>
        </w:rPr>
        <w:t xml:space="preserve"> </w:t>
      </w:r>
      <w:r w:rsidR="00734C24" w:rsidRPr="00035768">
        <w:rPr>
          <w:sz w:val="22"/>
          <w:szCs w:val="22"/>
          <w:u w:val="single"/>
        </w:rPr>
        <w:t>without repetitions</w:t>
      </w:r>
      <w:r w:rsidR="00734C24">
        <w:rPr>
          <w:sz w:val="22"/>
          <w:szCs w:val="22"/>
          <w:u w:val="single"/>
        </w:rPr>
        <w:t xml:space="preserve"> </w:t>
      </w:r>
      <w:r w:rsidR="003F56AD" w:rsidRPr="003F56AD">
        <w:rPr>
          <w:sz w:val="22"/>
          <w:szCs w:val="22"/>
          <w:u w:val="single"/>
        </w:rPr>
        <w:t>across SBFD symbols and non-SBFD symbols</w:t>
      </w:r>
    </w:p>
    <w:p w14:paraId="2F1883C2" w14:textId="12A48420" w:rsidR="008E7E47" w:rsidRDefault="00960499" w:rsidP="00276249">
      <w:pPr>
        <w:spacing w:after="120"/>
        <w:jc w:val="both"/>
      </w:pPr>
      <w:r>
        <w:t xml:space="preserve">In our view, Option </w:t>
      </w:r>
      <w:r w:rsidR="007224AE">
        <w:t>4</w:t>
      </w:r>
      <w:r>
        <w:t xml:space="preserve"> of SPS PDSCH without repetitions</w:t>
      </w:r>
      <w:r w:rsidR="00734C24">
        <w:t xml:space="preserve"> and CG PUSCH without repetitions</w:t>
      </w:r>
      <w:r>
        <w:t xml:space="preserve"> (i.e., </w:t>
      </w:r>
      <w:r w:rsidR="007224AE" w:rsidRPr="007224AE">
        <w:t>Only SPS PDSCH</w:t>
      </w:r>
      <w:r w:rsidR="00734C24">
        <w:t>/CG PUSCH</w:t>
      </w:r>
      <w:r w:rsidR="007224AE" w:rsidRPr="007224AE">
        <w:t xml:space="preserve"> reception</w:t>
      </w:r>
      <w:r w:rsidR="00734C24">
        <w:t>/transmission</w:t>
      </w:r>
      <w:r w:rsidR="007224AE" w:rsidRPr="007224AE">
        <w:t xml:space="preserve"> occasion in one symbol type is valid and SPS PDSCH</w:t>
      </w:r>
      <w:r w:rsidR="00734C24">
        <w:t>/CG PUSCH</w:t>
      </w:r>
      <w:r w:rsidR="007224AE" w:rsidRPr="007224AE">
        <w:t xml:space="preserve"> reception</w:t>
      </w:r>
      <w:r w:rsidR="00734C24">
        <w:t>/transmission</w:t>
      </w:r>
      <w:r w:rsidR="007224AE" w:rsidRPr="007224AE">
        <w:t xml:space="preserve"> occasion in the other symbol type is invalid</w:t>
      </w:r>
      <w:r>
        <w:t>) can be supported as baseline.</w:t>
      </w:r>
      <w:r w:rsidR="00D50A09">
        <w:t xml:space="preserve"> This is because existing PDSCH</w:t>
      </w:r>
      <w:r w:rsidR="00734C24">
        <w:t>/PUSCH</w:t>
      </w:r>
      <w:r w:rsidR="00D50A09">
        <w:t xml:space="preserve"> </w:t>
      </w:r>
      <w:r w:rsidR="00172A1E">
        <w:t>configuration</w:t>
      </w:r>
      <w:r w:rsidR="00D50A09">
        <w:t xml:space="preserve"> </w:t>
      </w:r>
      <w:r w:rsidR="000D4049">
        <w:t xml:space="preserve">can </w:t>
      </w:r>
      <w:r w:rsidR="00D50A09">
        <w:t xml:space="preserve">be reused </w:t>
      </w:r>
      <w:r w:rsidR="000D4049">
        <w:t xml:space="preserve">for Option </w:t>
      </w:r>
      <w:r w:rsidR="008E7E47">
        <w:t>4</w:t>
      </w:r>
      <w:r w:rsidR="000D4049">
        <w:t xml:space="preserve"> </w:t>
      </w:r>
      <w:r w:rsidR="00D50A09">
        <w:t>with minimal specification impact.</w:t>
      </w:r>
      <w:r w:rsidR="008E7E47">
        <w:t xml:space="preserve"> In this case, the network can configure the UE with a new parameter (e.g., </w:t>
      </w:r>
      <w:r w:rsidR="008E7E47" w:rsidRPr="008E7E47">
        <w:rPr>
          <w:i/>
          <w:iCs/>
        </w:rPr>
        <w:t>slotType</w:t>
      </w:r>
      <w:r w:rsidR="008E7E47">
        <w:t xml:space="preserve">) in addition to the FDRA indication, which indicated to the UE the slot/symbol type on which the </w:t>
      </w:r>
      <w:r w:rsidR="00392C24">
        <w:t xml:space="preserve">SPS </w:t>
      </w:r>
      <w:bookmarkStart w:id="11" w:name="_Hlk174092019"/>
      <w:r w:rsidR="00C542F9">
        <w:t>PDSCH</w:t>
      </w:r>
      <w:bookmarkEnd w:id="11"/>
      <w:r w:rsidR="00C542F9">
        <w:t>/</w:t>
      </w:r>
      <w:r w:rsidR="00392C24">
        <w:t xml:space="preserve">CG </w:t>
      </w:r>
      <w:r w:rsidR="00C542F9">
        <w:t xml:space="preserve">PUSCH configuration </w:t>
      </w:r>
      <w:r w:rsidR="008E7E47">
        <w:t xml:space="preserve">is applied. </w:t>
      </w:r>
      <w:r w:rsidR="007D4352">
        <w:t>T</w:t>
      </w:r>
      <w:r w:rsidR="008E7E47">
        <w:t xml:space="preserve">he new parameter can be configured </w:t>
      </w:r>
      <w:r w:rsidR="007D4352">
        <w:t>with</w:t>
      </w:r>
      <w:r w:rsidR="008E7E47">
        <w:t xml:space="preserve"> one </w:t>
      </w:r>
      <w:r w:rsidR="007D4352">
        <w:t xml:space="preserve">of </w:t>
      </w:r>
      <w:r w:rsidR="008E7E47">
        <w:t>three possibilities</w:t>
      </w:r>
      <w:r w:rsidR="007D4352">
        <w:t xml:space="preserve"> – which indicates whether the </w:t>
      </w:r>
      <w:r w:rsidR="00392C24">
        <w:t xml:space="preserve">SPS PDSCH/CG PUSCH </w:t>
      </w:r>
      <w:r w:rsidR="00471DF0">
        <w:t xml:space="preserve">configuration </w:t>
      </w:r>
      <w:r w:rsidR="00734C24">
        <w:t xml:space="preserve">is valid in </w:t>
      </w:r>
      <w:r w:rsidR="007D4352">
        <w:t>SBFD symbols, non-SBFD symbols or both.</w:t>
      </w:r>
      <w:r w:rsidR="008E7E47">
        <w:t xml:space="preserve"> </w:t>
      </w:r>
      <w:r w:rsidR="007D4352">
        <w:t>For example</w:t>
      </w:r>
      <w:r w:rsidR="008E7E47">
        <w:t>,</w:t>
      </w:r>
      <w:r w:rsidR="00471DF0">
        <w:t xml:space="preserve"> </w:t>
      </w:r>
    </w:p>
    <w:p w14:paraId="43D8B0BD" w14:textId="71966A9A" w:rsidR="008E7E47" w:rsidRDefault="008E7E47" w:rsidP="0009028E">
      <w:pPr>
        <w:pStyle w:val="af6"/>
        <w:numPr>
          <w:ilvl w:val="0"/>
          <w:numId w:val="15"/>
        </w:numPr>
        <w:ind w:left="641" w:hanging="357"/>
        <w:jc w:val="both"/>
        <w:rPr>
          <w:sz w:val="20"/>
          <w:szCs w:val="20"/>
        </w:rPr>
      </w:pPr>
      <w:r w:rsidRPr="008E7E47">
        <w:rPr>
          <w:i/>
          <w:iCs/>
          <w:sz w:val="20"/>
          <w:szCs w:val="20"/>
        </w:rPr>
        <w:t>slotType</w:t>
      </w:r>
      <w:r w:rsidR="007D4352">
        <w:rPr>
          <w:i/>
          <w:iCs/>
          <w:sz w:val="20"/>
          <w:szCs w:val="20"/>
        </w:rPr>
        <w:t xml:space="preserve"> </w:t>
      </w:r>
      <w:r>
        <w:rPr>
          <w:sz w:val="20"/>
          <w:szCs w:val="20"/>
        </w:rPr>
        <w:t>configured as</w:t>
      </w:r>
      <w:r w:rsidRPr="008E7E47">
        <w:rPr>
          <w:i/>
          <w:iCs/>
          <w:sz w:val="16"/>
          <w:szCs w:val="16"/>
        </w:rPr>
        <w:t xml:space="preserve"> </w:t>
      </w:r>
      <w:r w:rsidRPr="008E7E47">
        <w:rPr>
          <w:i/>
          <w:iCs/>
          <w:sz w:val="20"/>
          <w:szCs w:val="20"/>
        </w:rPr>
        <w:t>partitionedSymbols</w:t>
      </w:r>
      <w:r w:rsidRPr="008E7E47">
        <w:rPr>
          <w:sz w:val="20"/>
          <w:szCs w:val="20"/>
        </w:rPr>
        <w:t xml:space="preserve">, </w:t>
      </w:r>
      <w:r w:rsidR="003F12DA">
        <w:rPr>
          <w:sz w:val="20"/>
          <w:szCs w:val="20"/>
        </w:rPr>
        <w:t>the SPS</w:t>
      </w:r>
      <w:r w:rsidR="0009028E">
        <w:t>-</w:t>
      </w:r>
      <w:r w:rsidR="008E1E57" w:rsidRPr="008E1E57">
        <w:rPr>
          <w:sz w:val="20"/>
          <w:szCs w:val="20"/>
        </w:rPr>
        <w:t>PDSCH</w:t>
      </w:r>
      <w:r w:rsidR="00912CC3">
        <w:rPr>
          <w:sz w:val="20"/>
          <w:szCs w:val="20"/>
        </w:rPr>
        <w:t>/CG</w:t>
      </w:r>
      <w:r w:rsidR="0009028E">
        <w:rPr>
          <w:sz w:val="20"/>
          <w:szCs w:val="20"/>
        </w:rPr>
        <w:t>-</w:t>
      </w:r>
      <w:r w:rsidR="00912CC3">
        <w:rPr>
          <w:sz w:val="20"/>
          <w:szCs w:val="20"/>
        </w:rPr>
        <w:t xml:space="preserve">PUSCH </w:t>
      </w:r>
      <w:r w:rsidR="003F12DA">
        <w:rPr>
          <w:sz w:val="20"/>
          <w:szCs w:val="20"/>
        </w:rPr>
        <w:t xml:space="preserve">configuration is valid only in </w:t>
      </w:r>
      <w:r>
        <w:rPr>
          <w:sz w:val="20"/>
          <w:szCs w:val="20"/>
        </w:rPr>
        <w:t>SBFD symbols</w:t>
      </w:r>
    </w:p>
    <w:p w14:paraId="51682C1E" w14:textId="0C39BFF2" w:rsidR="008E7E47" w:rsidRDefault="008E7E47" w:rsidP="0009028E">
      <w:pPr>
        <w:pStyle w:val="af6"/>
        <w:numPr>
          <w:ilvl w:val="0"/>
          <w:numId w:val="15"/>
        </w:numPr>
        <w:jc w:val="both"/>
        <w:rPr>
          <w:sz w:val="20"/>
          <w:szCs w:val="20"/>
        </w:rPr>
      </w:pPr>
      <w:r w:rsidRPr="008E7E47">
        <w:rPr>
          <w:i/>
          <w:iCs/>
          <w:sz w:val="20"/>
          <w:szCs w:val="20"/>
        </w:rPr>
        <w:t>slotType</w:t>
      </w:r>
      <w:r>
        <w:rPr>
          <w:i/>
          <w:iCs/>
          <w:sz w:val="20"/>
          <w:szCs w:val="20"/>
        </w:rPr>
        <w:t xml:space="preserve"> </w:t>
      </w:r>
      <w:r>
        <w:rPr>
          <w:sz w:val="20"/>
          <w:szCs w:val="20"/>
        </w:rPr>
        <w:t>configured as</w:t>
      </w:r>
      <w:r w:rsidRPr="008E7E47">
        <w:rPr>
          <w:i/>
          <w:iCs/>
          <w:sz w:val="16"/>
          <w:szCs w:val="16"/>
        </w:rPr>
        <w:t xml:space="preserve"> </w:t>
      </w:r>
      <w:r w:rsidRPr="008E7E47">
        <w:rPr>
          <w:i/>
          <w:iCs/>
          <w:sz w:val="20"/>
          <w:szCs w:val="20"/>
        </w:rPr>
        <w:t>non-partitionedSymbols</w:t>
      </w:r>
      <w:r w:rsidRPr="008E7E47">
        <w:rPr>
          <w:sz w:val="20"/>
          <w:szCs w:val="20"/>
        </w:rPr>
        <w:t xml:space="preserve">, </w:t>
      </w:r>
      <w:r w:rsidR="003F12DA">
        <w:rPr>
          <w:sz w:val="20"/>
          <w:szCs w:val="20"/>
        </w:rPr>
        <w:t xml:space="preserve">the </w:t>
      </w:r>
      <w:r w:rsidR="00912CC3">
        <w:rPr>
          <w:sz w:val="20"/>
          <w:szCs w:val="20"/>
        </w:rPr>
        <w:t>SPS</w:t>
      </w:r>
      <w:r w:rsidR="0009028E">
        <w:t>-</w:t>
      </w:r>
      <w:r w:rsidR="008E1E57" w:rsidRPr="008E1E57">
        <w:rPr>
          <w:sz w:val="20"/>
          <w:szCs w:val="20"/>
        </w:rPr>
        <w:t>PDSCH</w:t>
      </w:r>
      <w:r w:rsidR="00912CC3">
        <w:rPr>
          <w:sz w:val="20"/>
          <w:szCs w:val="20"/>
        </w:rPr>
        <w:t>/CG</w:t>
      </w:r>
      <w:r w:rsidR="0009028E">
        <w:rPr>
          <w:sz w:val="20"/>
          <w:szCs w:val="20"/>
        </w:rPr>
        <w:t>-</w:t>
      </w:r>
      <w:r w:rsidR="00912CC3">
        <w:rPr>
          <w:sz w:val="20"/>
          <w:szCs w:val="20"/>
        </w:rPr>
        <w:t>PUSCH</w:t>
      </w:r>
      <w:r w:rsidR="003F12DA">
        <w:rPr>
          <w:sz w:val="20"/>
          <w:szCs w:val="20"/>
        </w:rPr>
        <w:t xml:space="preserve"> configuration is valid only in </w:t>
      </w:r>
      <w:r>
        <w:rPr>
          <w:sz w:val="20"/>
          <w:szCs w:val="20"/>
        </w:rPr>
        <w:t>non-SBFD symbols</w:t>
      </w:r>
      <w:r w:rsidR="004875F0">
        <w:rPr>
          <w:sz w:val="20"/>
          <w:szCs w:val="20"/>
        </w:rPr>
        <w:t xml:space="preserve"> </w:t>
      </w:r>
    </w:p>
    <w:p w14:paraId="794FDBC7" w14:textId="0C7C1369" w:rsidR="003F12DA" w:rsidRDefault="008E7E47" w:rsidP="0009028E">
      <w:pPr>
        <w:pStyle w:val="af6"/>
        <w:numPr>
          <w:ilvl w:val="0"/>
          <w:numId w:val="15"/>
        </w:numPr>
        <w:ind w:left="641" w:hanging="357"/>
        <w:jc w:val="both"/>
        <w:rPr>
          <w:sz w:val="20"/>
          <w:szCs w:val="20"/>
        </w:rPr>
      </w:pPr>
      <w:r w:rsidRPr="008E7E47">
        <w:rPr>
          <w:i/>
          <w:iCs/>
          <w:sz w:val="20"/>
          <w:szCs w:val="20"/>
        </w:rPr>
        <w:t>slotType</w:t>
      </w:r>
      <w:r>
        <w:rPr>
          <w:i/>
          <w:iCs/>
          <w:sz w:val="20"/>
          <w:szCs w:val="20"/>
        </w:rPr>
        <w:t xml:space="preserve"> </w:t>
      </w:r>
      <w:r>
        <w:rPr>
          <w:sz w:val="20"/>
          <w:szCs w:val="20"/>
        </w:rPr>
        <w:t>configured as</w:t>
      </w:r>
      <w:r w:rsidRPr="008E7E47">
        <w:rPr>
          <w:i/>
          <w:iCs/>
          <w:sz w:val="16"/>
          <w:szCs w:val="16"/>
        </w:rPr>
        <w:t xml:space="preserve"> </w:t>
      </w:r>
      <w:r w:rsidRPr="008E7E47">
        <w:rPr>
          <w:i/>
          <w:iCs/>
          <w:sz w:val="20"/>
          <w:szCs w:val="20"/>
        </w:rPr>
        <w:t>both</w:t>
      </w:r>
      <w:r>
        <w:rPr>
          <w:sz w:val="20"/>
          <w:szCs w:val="20"/>
        </w:rPr>
        <w:t>,</w:t>
      </w:r>
      <w:r w:rsidRPr="008E7E47">
        <w:rPr>
          <w:sz w:val="20"/>
          <w:szCs w:val="20"/>
        </w:rPr>
        <w:t xml:space="preserve"> </w:t>
      </w:r>
      <w:r w:rsidR="003F12DA" w:rsidRPr="002A1AAA">
        <w:rPr>
          <w:sz w:val="20"/>
          <w:szCs w:val="20"/>
        </w:rPr>
        <w:t>(</w:t>
      </w:r>
      <w:r w:rsidR="003F12DA" w:rsidRPr="00A71E30">
        <w:rPr>
          <w:sz w:val="20"/>
          <w:szCs w:val="20"/>
        </w:rPr>
        <w:t xml:space="preserve">or </w:t>
      </w:r>
      <w:r w:rsidR="003F12DA" w:rsidRPr="00A71E30">
        <w:rPr>
          <w:i/>
          <w:iCs/>
          <w:sz w:val="20"/>
          <w:szCs w:val="20"/>
        </w:rPr>
        <w:t xml:space="preserve">slotType is not </w:t>
      </w:r>
      <w:r w:rsidR="003F12DA" w:rsidRPr="00A71E30">
        <w:rPr>
          <w:sz w:val="20"/>
          <w:szCs w:val="20"/>
        </w:rPr>
        <w:t>configured</w:t>
      </w:r>
      <w:r w:rsidR="003F12DA">
        <w:rPr>
          <w:sz w:val="20"/>
          <w:szCs w:val="20"/>
        </w:rPr>
        <w:t>)</w:t>
      </w:r>
      <w:r w:rsidR="003F12DA" w:rsidRPr="00A71E30">
        <w:rPr>
          <w:sz w:val="20"/>
          <w:szCs w:val="20"/>
        </w:rPr>
        <w:t xml:space="preserve">, </w:t>
      </w:r>
      <w:r w:rsidR="003F12DA">
        <w:rPr>
          <w:sz w:val="20"/>
          <w:szCs w:val="20"/>
        </w:rPr>
        <w:t xml:space="preserve">the </w:t>
      </w:r>
      <w:r w:rsidR="00912CC3">
        <w:rPr>
          <w:sz w:val="20"/>
          <w:szCs w:val="20"/>
        </w:rPr>
        <w:t>SPS</w:t>
      </w:r>
      <w:r w:rsidR="0009028E">
        <w:t>-</w:t>
      </w:r>
      <w:r w:rsidR="008E1E57" w:rsidRPr="008E1E57">
        <w:rPr>
          <w:sz w:val="20"/>
          <w:szCs w:val="20"/>
        </w:rPr>
        <w:t>PDSCH</w:t>
      </w:r>
      <w:r w:rsidR="00912CC3">
        <w:rPr>
          <w:sz w:val="20"/>
          <w:szCs w:val="20"/>
        </w:rPr>
        <w:t>/CG</w:t>
      </w:r>
      <w:r w:rsidR="0009028E">
        <w:rPr>
          <w:sz w:val="20"/>
          <w:szCs w:val="20"/>
        </w:rPr>
        <w:t>-</w:t>
      </w:r>
      <w:r w:rsidR="00912CC3">
        <w:rPr>
          <w:sz w:val="20"/>
          <w:szCs w:val="20"/>
        </w:rPr>
        <w:t>PUSCH</w:t>
      </w:r>
      <w:r w:rsidR="003F12DA">
        <w:rPr>
          <w:sz w:val="20"/>
          <w:szCs w:val="20"/>
        </w:rPr>
        <w:t xml:space="preserve"> configuration is valid</w:t>
      </w:r>
      <w:r w:rsidR="003F12DA" w:rsidRPr="00A71E30" w:rsidDel="005139DB">
        <w:rPr>
          <w:sz w:val="20"/>
          <w:szCs w:val="20"/>
        </w:rPr>
        <w:t xml:space="preserve"> </w:t>
      </w:r>
      <w:r w:rsidR="003F12DA" w:rsidRPr="00A71E30">
        <w:rPr>
          <w:sz w:val="20"/>
          <w:szCs w:val="20"/>
        </w:rPr>
        <w:t>on both SBFD and non-SBFD symbol</w:t>
      </w:r>
    </w:p>
    <w:p w14:paraId="53069FC5" w14:textId="30A873D2" w:rsidR="003F12DA" w:rsidRPr="00790FA0" w:rsidRDefault="003F12DA" w:rsidP="00533622">
      <w:pPr>
        <w:pStyle w:val="af6"/>
        <w:numPr>
          <w:ilvl w:val="1"/>
          <w:numId w:val="15"/>
        </w:numPr>
        <w:spacing w:before="120" w:after="120"/>
        <w:jc w:val="both"/>
        <w:rPr>
          <w:sz w:val="20"/>
          <w:szCs w:val="20"/>
        </w:rPr>
      </w:pPr>
      <w:r w:rsidRPr="003A2BD1">
        <w:rPr>
          <w:sz w:val="20"/>
          <w:szCs w:val="20"/>
        </w:rPr>
        <w:t>UE does not expect the network to configure the FDRA such that it overlaps (partially or fully) with resources outside the DL</w:t>
      </w:r>
      <w:r w:rsidR="00985CE4">
        <w:rPr>
          <w:sz w:val="20"/>
          <w:szCs w:val="20"/>
        </w:rPr>
        <w:t>-SB(</w:t>
      </w:r>
      <w:r w:rsidRPr="003A2BD1">
        <w:rPr>
          <w:sz w:val="20"/>
          <w:szCs w:val="20"/>
        </w:rPr>
        <w:t>s</w:t>
      </w:r>
      <w:r w:rsidR="00985CE4">
        <w:rPr>
          <w:sz w:val="20"/>
          <w:szCs w:val="20"/>
        </w:rPr>
        <w:t>)</w:t>
      </w:r>
      <w:r w:rsidRPr="003A2BD1">
        <w:rPr>
          <w:sz w:val="20"/>
          <w:szCs w:val="20"/>
        </w:rPr>
        <w:t xml:space="preserve"> on SBFD symbols</w:t>
      </w:r>
    </w:p>
    <w:p w14:paraId="34B69A51" w14:textId="5D17AB23" w:rsidR="00035768" w:rsidRPr="00BD1781" w:rsidRDefault="00D50A09" w:rsidP="00FC0A9D">
      <w:pPr>
        <w:pStyle w:val="af6"/>
        <w:numPr>
          <w:ilvl w:val="0"/>
          <w:numId w:val="9"/>
        </w:numPr>
        <w:spacing w:before="120" w:after="120"/>
        <w:jc w:val="both"/>
        <w:rPr>
          <w:i/>
          <w:iCs/>
          <w:lang w:val="en-GB"/>
        </w:rPr>
      </w:pPr>
      <w:r>
        <w:rPr>
          <w:b/>
          <w:bCs/>
          <w:i/>
          <w:iCs/>
          <w:sz w:val="20"/>
          <w:szCs w:val="20"/>
          <w:lang w:val="en-GB"/>
        </w:rPr>
        <w:lastRenderedPageBreak/>
        <w:t xml:space="preserve">Support Option </w:t>
      </w:r>
      <w:r w:rsidR="005F0798">
        <w:rPr>
          <w:b/>
          <w:bCs/>
          <w:i/>
          <w:iCs/>
          <w:sz w:val="20"/>
          <w:szCs w:val="20"/>
          <w:lang w:val="en-GB"/>
        </w:rPr>
        <w:t>4</w:t>
      </w:r>
      <w:r>
        <w:rPr>
          <w:b/>
          <w:bCs/>
          <w:i/>
          <w:iCs/>
          <w:sz w:val="20"/>
          <w:szCs w:val="20"/>
          <w:lang w:val="en-GB"/>
        </w:rPr>
        <w:t xml:space="preserve"> </w:t>
      </w:r>
      <w:r w:rsidR="0054032A">
        <w:rPr>
          <w:b/>
          <w:bCs/>
          <w:i/>
          <w:iCs/>
          <w:sz w:val="20"/>
          <w:szCs w:val="20"/>
          <w:lang w:val="en-GB"/>
        </w:rPr>
        <w:t>as baseline for</w:t>
      </w:r>
      <w:r w:rsidR="00714CD5">
        <w:rPr>
          <w:b/>
          <w:bCs/>
          <w:i/>
          <w:iCs/>
          <w:sz w:val="20"/>
          <w:szCs w:val="20"/>
          <w:lang w:val="en-GB"/>
        </w:rPr>
        <w:t xml:space="preserve"> both</w:t>
      </w:r>
      <w:r w:rsidR="0054032A">
        <w:rPr>
          <w:b/>
          <w:bCs/>
          <w:i/>
          <w:iCs/>
          <w:sz w:val="20"/>
          <w:szCs w:val="20"/>
          <w:lang w:val="en-GB"/>
        </w:rPr>
        <w:t xml:space="preserve"> SPS PDSCH</w:t>
      </w:r>
      <w:r w:rsidR="00714CD5">
        <w:rPr>
          <w:b/>
          <w:bCs/>
          <w:i/>
          <w:iCs/>
          <w:sz w:val="20"/>
          <w:szCs w:val="20"/>
          <w:lang w:val="en-GB"/>
        </w:rPr>
        <w:t xml:space="preserve"> without repetitions and CG PUSCH</w:t>
      </w:r>
      <w:r w:rsidR="0054032A">
        <w:rPr>
          <w:b/>
          <w:bCs/>
          <w:i/>
          <w:iCs/>
          <w:sz w:val="20"/>
          <w:szCs w:val="20"/>
          <w:lang w:val="en-GB"/>
        </w:rPr>
        <w:t xml:space="preserve"> without </w:t>
      </w:r>
      <w:r w:rsidR="00BD1781">
        <w:rPr>
          <w:b/>
          <w:bCs/>
          <w:i/>
          <w:iCs/>
          <w:sz w:val="20"/>
          <w:szCs w:val="20"/>
          <w:lang w:val="en-GB"/>
        </w:rPr>
        <w:t>repetitions if</w:t>
      </w:r>
      <w:r w:rsidR="00714CD5" w:rsidRPr="00714CD5">
        <w:rPr>
          <w:b/>
          <w:bCs/>
          <w:i/>
          <w:iCs/>
          <w:sz w:val="20"/>
          <w:szCs w:val="20"/>
          <w:lang w:val="en-GB"/>
        </w:rPr>
        <w:t xml:space="preserve"> the reception</w:t>
      </w:r>
      <w:r w:rsidR="00714CD5">
        <w:rPr>
          <w:b/>
          <w:bCs/>
          <w:i/>
          <w:iCs/>
          <w:sz w:val="20"/>
          <w:szCs w:val="20"/>
          <w:lang w:val="en-GB"/>
        </w:rPr>
        <w:t>/transmission</w:t>
      </w:r>
      <w:r w:rsidR="00714CD5" w:rsidRPr="00714CD5">
        <w:rPr>
          <w:b/>
          <w:bCs/>
          <w:i/>
          <w:iCs/>
          <w:sz w:val="20"/>
          <w:szCs w:val="20"/>
          <w:lang w:val="en-GB"/>
        </w:rPr>
        <w:t xml:space="preserve"> occasions are across SBFD symbols and non-SBFD symbols</w:t>
      </w:r>
      <w:r w:rsidR="00BD1781">
        <w:rPr>
          <w:b/>
          <w:bCs/>
          <w:i/>
          <w:iCs/>
          <w:sz w:val="20"/>
          <w:szCs w:val="20"/>
          <w:lang w:val="en-GB"/>
        </w:rPr>
        <w:t xml:space="preserve">. </w:t>
      </w:r>
    </w:p>
    <w:p w14:paraId="5828C899" w14:textId="684007AB" w:rsidR="00BD1781" w:rsidRPr="00A109C8" w:rsidRDefault="00BD1781" w:rsidP="00FC0A9D">
      <w:pPr>
        <w:pStyle w:val="af6"/>
        <w:numPr>
          <w:ilvl w:val="0"/>
          <w:numId w:val="26"/>
        </w:numPr>
        <w:rPr>
          <w:b/>
          <w:bCs/>
          <w:i/>
          <w:iCs/>
          <w:sz w:val="20"/>
          <w:szCs w:val="20"/>
          <w:lang w:val="en-GB"/>
        </w:rPr>
      </w:pPr>
      <w:r w:rsidRPr="00BD1781">
        <w:rPr>
          <w:b/>
          <w:bCs/>
          <w:i/>
          <w:iCs/>
          <w:sz w:val="20"/>
          <w:szCs w:val="20"/>
          <w:lang w:val="en-GB"/>
        </w:rPr>
        <w:t>Option 4: Only SPS PDSCH</w:t>
      </w:r>
      <w:r>
        <w:rPr>
          <w:b/>
          <w:bCs/>
          <w:i/>
          <w:iCs/>
          <w:sz w:val="20"/>
          <w:szCs w:val="20"/>
          <w:lang w:val="en-GB"/>
        </w:rPr>
        <w:t>/CG PUSCH</w:t>
      </w:r>
      <w:r w:rsidRPr="00BD1781">
        <w:rPr>
          <w:b/>
          <w:bCs/>
          <w:i/>
          <w:iCs/>
          <w:sz w:val="20"/>
          <w:szCs w:val="20"/>
          <w:lang w:val="en-GB"/>
        </w:rPr>
        <w:t xml:space="preserve"> reception</w:t>
      </w:r>
      <w:r>
        <w:rPr>
          <w:b/>
          <w:bCs/>
          <w:i/>
          <w:iCs/>
          <w:sz w:val="20"/>
          <w:szCs w:val="20"/>
          <w:lang w:val="en-GB"/>
        </w:rPr>
        <w:t>/transmission</w:t>
      </w:r>
      <w:r w:rsidRPr="00BD1781">
        <w:rPr>
          <w:b/>
          <w:bCs/>
          <w:i/>
          <w:iCs/>
          <w:sz w:val="20"/>
          <w:szCs w:val="20"/>
          <w:lang w:val="en-GB"/>
        </w:rPr>
        <w:t xml:space="preserve"> occasion in one symbol type is valid and SPS PDSCH</w:t>
      </w:r>
      <w:r>
        <w:rPr>
          <w:b/>
          <w:bCs/>
          <w:i/>
          <w:iCs/>
          <w:sz w:val="20"/>
          <w:szCs w:val="20"/>
          <w:lang w:val="en-GB"/>
        </w:rPr>
        <w:t>/CG PUSCH</w:t>
      </w:r>
      <w:r w:rsidRPr="00BD1781">
        <w:rPr>
          <w:b/>
          <w:bCs/>
          <w:i/>
          <w:iCs/>
          <w:sz w:val="20"/>
          <w:szCs w:val="20"/>
          <w:lang w:val="en-GB"/>
        </w:rPr>
        <w:t xml:space="preserve"> reception</w:t>
      </w:r>
      <w:r>
        <w:rPr>
          <w:b/>
          <w:bCs/>
          <w:i/>
          <w:iCs/>
          <w:sz w:val="20"/>
          <w:szCs w:val="20"/>
          <w:lang w:val="en-GB"/>
        </w:rPr>
        <w:t>/transmission</w:t>
      </w:r>
      <w:r w:rsidRPr="00BD1781">
        <w:rPr>
          <w:b/>
          <w:bCs/>
          <w:i/>
          <w:iCs/>
          <w:sz w:val="20"/>
          <w:szCs w:val="20"/>
          <w:lang w:val="en-GB"/>
        </w:rPr>
        <w:t xml:space="preserve"> occasion in the other symbol type is invalid</w:t>
      </w:r>
      <w:r>
        <w:rPr>
          <w:b/>
          <w:bCs/>
          <w:i/>
          <w:iCs/>
          <w:sz w:val="20"/>
          <w:szCs w:val="20"/>
          <w:lang w:val="en-GB"/>
        </w:rPr>
        <w:t xml:space="preserve">. </w:t>
      </w:r>
      <w:r w:rsidRPr="00BD1781">
        <w:rPr>
          <w:b/>
          <w:bCs/>
          <w:i/>
          <w:iCs/>
          <w:sz w:val="20"/>
          <w:szCs w:val="20"/>
          <w:lang w:val="en-GB"/>
        </w:rPr>
        <w:t xml:space="preserve"> </w:t>
      </w:r>
    </w:p>
    <w:p w14:paraId="62AFAFFA" w14:textId="55DB3518" w:rsidR="00035768" w:rsidRPr="00035768" w:rsidRDefault="00035768" w:rsidP="000D5595">
      <w:pPr>
        <w:spacing w:before="120" w:after="0"/>
        <w:rPr>
          <w:sz w:val="22"/>
          <w:szCs w:val="22"/>
          <w:u w:val="single"/>
        </w:rPr>
      </w:pPr>
      <w:r w:rsidRPr="00035768">
        <w:rPr>
          <w:sz w:val="22"/>
          <w:szCs w:val="22"/>
          <w:u w:val="single"/>
        </w:rPr>
        <w:t>PDSCH repetitions across SBFD symbols and non-SBFD symbols</w:t>
      </w:r>
    </w:p>
    <w:p w14:paraId="123E55D5" w14:textId="2E7CA83C" w:rsidR="004314CA" w:rsidRDefault="004314CA" w:rsidP="000D5595">
      <w:pPr>
        <w:spacing w:before="120" w:after="0"/>
        <w:jc w:val="both"/>
      </w:pPr>
      <w:r>
        <w:t>In the case of</w:t>
      </w:r>
      <w:r w:rsidR="00D50A09">
        <w:t xml:space="preserve"> PDSCH repetitions</w:t>
      </w:r>
      <w:r>
        <w:t xml:space="preserve">, Option 3 </w:t>
      </w:r>
      <w:r w:rsidR="00D50A09">
        <w:t xml:space="preserve">(i.e., </w:t>
      </w:r>
      <w:r w:rsidR="00D50A09" w:rsidRPr="00D50A09">
        <w:t>A PDSCH in a slot overlapping with RBs outside DL usable PRBs in SBFD symbols is invalid, e.g.</w:t>
      </w:r>
      <w:r w:rsidR="00D50A09">
        <w:t>,</w:t>
      </w:r>
      <w:r w:rsidR="00D50A09" w:rsidRPr="00D50A09">
        <w:t xml:space="preserve"> the PDSCH in the slot is dropped</w:t>
      </w:r>
      <w:r w:rsidR="00D50A09">
        <w:t>) can be supported as baseline</w:t>
      </w:r>
      <w:r>
        <w:t xml:space="preserve"> </w:t>
      </w:r>
      <w:r w:rsidR="00B52A59">
        <w:t xml:space="preserve">– </w:t>
      </w:r>
      <w:r>
        <w:t>since the</w:t>
      </w:r>
      <w:r w:rsidR="004B20D0">
        <w:t xml:space="preserve"> </w:t>
      </w:r>
      <w:r>
        <w:t xml:space="preserve">existing PDSCH </w:t>
      </w:r>
      <w:r w:rsidR="00B4191F">
        <w:t>configuration</w:t>
      </w:r>
      <w:r>
        <w:t xml:space="preserve"> can be reused for Option 3 with minimal specification impact.</w:t>
      </w:r>
      <w:r w:rsidR="00D83C83">
        <w:t xml:space="preserve"> The UE can be instructed to drop or postpone any repetition which overlaps (fully or partially) with resources outside DL</w:t>
      </w:r>
      <w:r w:rsidR="003E518E">
        <w:t>-SB</w:t>
      </w:r>
      <w:r w:rsidR="00D83C83">
        <w:t xml:space="preserve">(s). </w:t>
      </w:r>
    </w:p>
    <w:p w14:paraId="39D8C3DA" w14:textId="17208816" w:rsidR="00B761B7" w:rsidRPr="007911F5" w:rsidRDefault="00353E75" w:rsidP="00FC0A9D">
      <w:pPr>
        <w:pStyle w:val="af6"/>
        <w:numPr>
          <w:ilvl w:val="0"/>
          <w:numId w:val="9"/>
        </w:numPr>
        <w:spacing w:before="120"/>
        <w:jc w:val="both"/>
        <w:rPr>
          <w:i/>
          <w:iCs/>
          <w:lang w:val="en-GB"/>
        </w:rPr>
      </w:pPr>
      <w:r>
        <w:rPr>
          <w:b/>
          <w:bCs/>
          <w:i/>
          <w:iCs/>
          <w:sz w:val="20"/>
          <w:szCs w:val="20"/>
          <w:lang w:val="en-GB"/>
        </w:rPr>
        <w:t xml:space="preserve">Support Option 3 </w:t>
      </w:r>
      <w:r w:rsidR="00576454">
        <w:rPr>
          <w:b/>
          <w:bCs/>
          <w:i/>
          <w:iCs/>
          <w:sz w:val="20"/>
          <w:szCs w:val="20"/>
          <w:lang w:val="en-GB"/>
        </w:rPr>
        <w:t>as baseline for PDSCH repetitions</w:t>
      </w:r>
      <w:r w:rsidR="007911F5" w:rsidRPr="007911F5">
        <w:t xml:space="preserve"> </w:t>
      </w:r>
      <w:r w:rsidR="007911F5" w:rsidRPr="007911F5">
        <w:rPr>
          <w:b/>
          <w:bCs/>
          <w:i/>
          <w:iCs/>
          <w:sz w:val="20"/>
          <w:szCs w:val="20"/>
          <w:lang w:val="en-GB"/>
        </w:rPr>
        <w:t>if the reception occasions are across SBFD symbols and non-SBFD symbols</w:t>
      </w:r>
      <w:r w:rsidR="00576454">
        <w:rPr>
          <w:b/>
          <w:bCs/>
          <w:i/>
          <w:iCs/>
          <w:sz w:val="20"/>
          <w:szCs w:val="20"/>
          <w:lang w:val="en-GB"/>
        </w:rPr>
        <w:t>.</w:t>
      </w:r>
      <w:r w:rsidR="004314CA">
        <w:rPr>
          <w:b/>
          <w:bCs/>
          <w:i/>
          <w:iCs/>
          <w:sz w:val="20"/>
          <w:szCs w:val="20"/>
          <w:lang w:val="en-GB"/>
        </w:rPr>
        <w:t xml:space="preserve"> </w:t>
      </w:r>
    </w:p>
    <w:p w14:paraId="7A87B863" w14:textId="1FEF4B10" w:rsidR="007911F5" w:rsidRPr="009A28B1" w:rsidRDefault="007911F5" w:rsidP="00FC0A9D">
      <w:pPr>
        <w:pStyle w:val="af6"/>
        <w:numPr>
          <w:ilvl w:val="0"/>
          <w:numId w:val="26"/>
        </w:numPr>
        <w:rPr>
          <w:b/>
          <w:bCs/>
          <w:i/>
          <w:iCs/>
          <w:sz w:val="20"/>
          <w:szCs w:val="20"/>
          <w:lang w:val="en-GB"/>
        </w:rPr>
      </w:pPr>
      <w:r w:rsidRPr="007911F5">
        <w:rPr>
          <w:b/>
          <w:bCs/>
          <w:i/>
          <w:iCs/>
          <w:sz w:val="20"/>
          <w:szCs w:val="20"/>
          <w:lang w:val="en-GB"/>
        </w:rPr>
        <w:t xml:space="preserve">Option </w:t>
      </w:r>
      <w:r>
        <w:rPr>
          <w:b/>
          <w:bCs/>
          <w:i/>
          <w:iCs/>
          <w:sz w:val="20"/>
          <w:szCs w:val="20"/>
          <w:lang w:val="en-GB"/>
        </w:rPr>
        <w:t>3</w:t>
      </w:r>
      <w:r w:rsidRPr="007911F5">
        <w:rPr>
          <w:b/>
          <w:bCs/>
          <w:i/>
          <w:iCs/>
          <w:sz w:val="20"/>
          <w:szCs w:val="20"/>
          <w:lang w:val="en-GB"/>
        </w:rPr>
        <w:t xml:space="preserve">: </w:t>
      </w:r>
      <w:r w:rsidR="009A28B1" w:rsidRPr="009A28B1">
        <w:rPr>
          <w:b/>
          <w:bCs/>
          <w:i/>
          <w:iCs/>
          <w:sz w:val="20"/>
          <w:szCs w:val="20"/>
          <w:lang w:val="en-GB"/>
        </w:rPr>
        <w:t>A PDSCH in a slot overlapping with RBs outside DL usable PRBs in SBFD symbols is invalid, e.g.</w:t>
      </w:r>
      <w:r w:rsidR="009A28B1">
        <w:rPr>
          <w:b/>
          <w:bCs/>
          <w:i/>
          <w:iCs/>
          <w:sz w:val="20"/>
          <w:szCs w:val="20"/>
          <w:lang w:val="en-GB"/>
        </w:rPr>
        <w:t>,</w:t>
      </w:r>
      <w:r w:rsidR="009A28B1" w:rsidRPr="009A28B1">
        <w:rPr>
          <w:b/>
          <w:bCs/>
          <w:i/>
          <w:iCs/>
          <w:sz w:val="20"/>
          <w:szCs w:val="20"/>
          <w:lang w:val="en-GB"/>
        </w:rPr>
        <w:t xml:space="preserve"> the PDSCH in the slot is dropped</w:t>
      </w:r>
      <w:r w:rsidRPr="007911F5">
        <w:rPr>
          <w:b/>
          <w:bCs/>
          <w:i/>
          <w:iCs/>
          <w:sz w:val="20"/>
          <w:szCs w:val="20"/>
          <w:lang w:val="en-GB"/>
        </w:rPr>
        <w:t xml:space="preserve">.  </w:t>
      </w:r>
    </w:p>
    <w:p w14:paraId="01B5FE01" w14:textId="6A93DFBC" w:rsidR="00035768" w:rsidRDefault="00035768" w:rsidP="000D5595">
      <w:pPr>
        <w:spacing w:before="120" w:after="0"/>
        <w:rPr>
          <w:sz w:val="22"/>
          <w:szCs w:val="22"/>
          <w:u w:val="single"/>
          <w:lang w:eastAsia="en-US"/>
        </w:rPr>
      </w:pPr>
      <w:r w:rsidRPr="00035768">
        <w:rPr>
          <w:sz w:val="22"/>
          <w:szCs w:val="22"/>
          <w:u w:val="single"/>
          <w:lang w:eastAsia="en-US"/>
        </w:rPr>
        <w:t>PUSCH repetition type-A across SBFD symbols and non-SBFD symbols</w:t>
      </w:r>
    </w:p>
    <w:p w14:paraId="12822243" w14:textId="379425F0" w:rsidR="006155A4" w:rsidRDefault="00F80E2E" w:rsidP="000D5595">
      <w:pPr>
        <w:spacing w:before="120" w:after="0"/>
        <w:jc w:val="both"/>
      </w:pPr>
      <w:r>
        <w:t xml:space="preserve">In our view, Option </w:t>
      </w:r>
      <w:r w:rsidR="00D55458">
        <w:t>2</w:t>
      </w:r>
      <w:r>
        <w:t xml:space="preserve"> for PUSCH repetition type-A (i.e., </w:t>
      </w:r>
      <w:r w:rsidR="00514FCE" w:rsidRPr="00514FCE">
        <w:t>Single FDRA configuration/indication for one symbol type (SBFD or non-SBFD symbol) and RB offset(s) configuration/indication/determination to determine resource for the other symbol type</w:t>
      </w:r>
      <w:r>
        <w:t>)</w:t>
      </w:r>
      <w:r w:rsidRPr="00F80E2E">
        <w:t xml:space="preserve"> </w:t>
      </w:r>
      <w:r>
        <w:t xml:space="preserve">can be supported as baseline – since </w:t>
      </w:r>
      <w:r w:rsidR="00514FCE">
        <w:t xml:space="preserve">it supports fully flexible resource utilization with minimum signalling overhead. </w:t>
      </w:r>
    </w:p>
    <w:p w14:paraId="2BABDEB4" w14:textId="6F8564AC" w:rsidR="00C544F5" w:rsidRPr="00822AB9" w:rsidRDefault="00ED160C" w:rsidP="00FC0A9D">
      <w:pPr>
        <w:pStyle w:val="af6"/>
        <w:numPr>
          <w:ilvl w:val="0"/>
          <w:numId w:val="9"/>
        </w:numPr>
        <w:spacing w:before="120"/>
        <w:jc w:val="both"/>
        <w:rPr>
          <w:i/>
          <w:iCs/>
          <w:lang w:val="en-GB"/>
        </w:rPr>
      </w:pPr>
      <w:r>
        <w:rPr>
          <w:b/>
          <w:bCs/>
          <w:i/>
          <w:iCs/>
          <w:sz w:val="20"/>
          <w:szCs w:val="20"/>
          <w:lang w:val="en-GB"/>
        </w:rPr>
        <w:t xml:space="preserve">Support Option </w:t>
      </w:r>
      <w:r w:rsidR="00054174">
        <w:rPr>
          <w:b/>
          <w:bCs/>
          <w:i/>
          <w:iCs/>
          <w:sz w:val="20"/>
          <w:szCs w:val="20"/>
          <w:lang w:val="en-GB"/>
        </w:rPr>
        <w:t>2</w:t>
      </w:r>
      <w:r w:rsidR="00000F94">
        <w:rPr>
          <w:b/>
          <w:bCs/>
          <w:i/>
          <w:iCs/>
          <w:sz w:val="20"/>
          <w:szCs w:val="20"/>
          <w:lang w:val="en-GB"/>
        </w:rPr>
        <w:t xml:space="preserve"> as baseline for CG PUSCH</w:t>
      </w:r>
      <w:r w:rsidR="00422057">
        <w:rPr>
          <w:b/>
          <w:bCs/>
          <w:i/>
          <w:iCs/>
          <w:sz w:val="20"/>
          <w:szCs w:val="20"/>
          <w:lang w:val="en-GB"/>
        </w:rPr>
        <w:t xml:space="preserve"> with</w:t>
      </w:r>
      <w:r w:rsidR="00000F94">
        <w:rPr>
          <w:b/>
          <w:bCs/>
          <w:i/>
          <w:iCs/>
          <w:sz w:val="20"/>
          <w:szCs w:val="20"/>
          <w:lang w:val="en-GB"/>
        </w:rPr>
        <w:t xml:space="preserve"> repetition type-A</w:t>
      </w:r>
      <w:r w:rsidR="005838D8">
        <w:rPr>
          <w:b/>
          <w:bCs/>
          <w:i/>
          <w:iCs/>
          <w:sz w:val="20"/>
          <w:szCs w:val="20"/>
          <w:lang w:val="en-GB"/>
        </w:rPr>
        <w:t xml:space="preserve"> if</w:t>
      </w:r>
      <w:r w:rsidR="00000F94">
        <w:rPr>
          <w:b/>
          <w:bCs/>
          <w:i/>
          <w:iCs/>
          <w:sz w:val="20"/>
          <w:szCs w:val="20"/>
          <w:lang w:val="en-GB"/>
        </w:rPr>
        <w:t xml:space="preserve"> </w:t>
      </w:r>
      <w:r w:rsidR="005838D8" w:rsidRPr="005838D8">
        <w:rPr>
          <w:b/>
          <w:bCs/>
          <w:i/>
          <w:iCs/>
          <w:sz w:val="20"/>
          <w:szCs w:val="20"/>
          <w:lang w:val="en-GB"/>
        </w:rPr>
        <w:t xml:space="preserve">repetitions </w:t>
      </w:r>
      <w:r w:rsidR="005838D8">
        <w:rPr>
          <w:b/>
          <w:bCs/>
          <w:i/>
          <w:iCs/>
          <w:sz w:val="20"/>
          <w:szCs w:val="20"/>
          <w:lang w:val="en-GB"/>
        </w:rPr>
        <w:t xml:space="preserve">are </w:t>
      </w:r>
      <w:r w:rsidR="005838D8" w:rsidRPr="005838D8">
        <w:rPr>
          <w:b/>
          <w:bCs/>
          <w:i/>
          <w:iCs/>
          <w:sz w:val="20"/>
          <w:szCs w:val="20"/>
          <w:lang w:val="en-GB"/>
        </w:rPr>
        <w:t>across SBFD symbols and non-SBFD symbols in different slots</w:t>
      </w:r>
      <w:r w:rsidR="005838D8">
        <w:rPr>
          <w:b/>
          <w:bCs/>
          <w:i/>
          <w:iCs/>
          <w:sz w:val="20"/>
          <w:szCs w:val="20"/>
          <w:lang w:val="en-GB"/>
        </w:rPr>
        <w:t xml:space="preserve">. </w:t>
      </w:r>
    </w:p>
    <w:p w14:paraId="6588053C" w14:textId="72B11AD1" w:rsidR="00822AB9" w:rsidRPr="00822AB9" w:rsidRDefault="00822AB9" w:rsidP="00FC0A9D">
      <w:pPr>
        <w:pStyle w:val="af6"/>
        <w:numPr>
          <w:ilvl w:val="0"/>
          <w:numId w:val="26"/>
        </w:numPr>
        <w:rPr>
          <w:b/>
          <w:bCs/>
          <w:i/>
          <w:iCs/>
          <w:sz w:val="20"/>
          <w:szCs w:val="20"/>
          <w:lang w:val="en-GB"/>
        </w:rPr>
      </w:pPr>
      <w:r w:rsidRPr="00822AB9">
        <w:rPr>
          <w:b/>
          <w:bCs/>
          <w:i/>
          <w:iCs/>
          <w:sz w:val="20"/>
          <w:szCs w:val="20"/>
          <w:lang w:val="en-GB"/>
        </w:rPr>
        <w:t>Option 2: Single FDRA configuration/indication for one symbol type (SBFD or non-SBFD symbol) and RB offset(s) configuration/indication/determination to determine resource for the other symbol type</w:t>
      </w:r>
      <w:r w:rsidR="003F54E8">
        <w:rPr>
          <w:b/>
          <w:bCs/>
          <w:i/>
          <w:iCs/>
          <w:sz w:val="20"/>
          <w:szCs w:val="20"/>
          <w:lang w:val="en-GB"/>
        </w:rPr>
        <w:t xml:space="preserve">. </w:t>
      </w:r>
      <w:r w:rsidRPr="00822AB9">
        <w:rPr>
          <w:b/>
          <w:bCs/>
          <w:i/>
          <w:iCs/>
          <w:sz w:val="20"/>
          <w:szCs w:val="20"/>
          <w:lang w:val="en-GB"/>
        </w:rPr>
        <w:t xml:space="preserve"> </w:t>
      </w:r>
    </w:p>
    <w:p w14:paraId="36D7C1CC" w14:textId="127B584F" w:rsidR="00F45552" w:rsidRPr="008A290F" w:rsidRDefault="00F45552" w:rsidP="00F45552">
      <w:pPr>
        <w:pStyle w:val="40"/>
      </w:pPr>
      <w:r w:rsidRPr="008A290F">
        <w:t xml:space="preserve">Frequency Hopping </w:t>
      </w:r>
    </w:p>
    <w:tbl>
      <w:tblPr>
        <w:tblStyle w:val="afb"/>
        <w:tblW w:w="0" w:type="auto"/>
        <w:tblInd w:w="250" w:type="dxa"/>
        <w:tblLook w:val="04A0" w:firstRow="1" w:lastRow="0" w:firstColumn="1" w:lastColumn="0" w:noHBand="0" w:noVBand="1"/>
      </w:tblPr>
      <w:tblGrid>
        <w:gridCol w:w="9379"/>
      </w:tblGrid>
      <w:tr w:rsidR="009E1382" w:rsidRPr="008A290F" w14:paraId="55B6776B" w14:textId="77777777" w:rsidTr="00117004">
        <w:tc>
          <w:tcPr>
            <w:tcW w:w="9379" w:type="dxa"/>
          </w:tcPr>
          <w:p w14:paraId="240A7ACE" w14:textId="77777777" w:rsidR="009E1382" w:rsidRPr="00EB45FA" w:rsidRDefault="009E1382" w:rsidP="009E1382">
            <w:pPr>
              <w:spacing w:after="0"/>
              <w:rPr>
                <w:rFonts w:eastAsiaTheme="minorEastAsia"/>
                <w:b/>
                <w:lang w:eastAsia="zh-CN"/>
              </w:rPr>
            </w:pPr>
            <w:bookmarkStart w:id="12" w:name="_Hlk173940820"/>
            <w:r w:rsidRPr="00EB45FA">
              <w:rPr>
                <w:rFonts w:eastAsiaTheme="minorEastAsia" w:hint="eastAsia"/>
                <w:b/>
                <w:highlight w:val="green"/>
                <w:lang w:eastAsia="zh-CN"/>
              </w:rPr>
              <w:t>Agreement</w:t>
            </w:r>
          </w:p>
          <w:p w14:paraId="4115FCBD" w14:textId="77777777" w:rsidR="009E1382" w:rsidRDefault="009E1382" w:rsidP="009E1382">
            <w:pPr>
              <w:tabs>
                <w:tab w:val="left" w:pos="0"/>
              </w:tabs>
              <w:spacing w:after="0"/>
              <w:rPr>
                <w:rFonts w:eastAsiaTheme="minorEastAsia"/>
                <w:lang w:eastAsia="zh-CN"/>
              </w:rPr>
            </w:pPr>
            <w:r>
              <w:rPr>
                <w:rFonts w:eastAsiaTheme="minorEastAsia" w:hint="eastAsia"/>
                <w:lang w:eastAsia="zh-CN"/>
              </w:rPr>
              <w:t xml:space="preserve">Support separate </w:t>
            </w:r>
            <w:r>
              <w:rPr>
                <w:rFonts w:hint="eastAsia"/>
              </w:rPr>
              <w:t xml:space="preserve">FH </w:t>
            </w:r>
            <w:r>
              <w:rPr>
                <w:rFonts w:eastAsiaTheme="minorEastAsia"/>
                <w:lang w:eastAsia="zh-CN"/>
              </w:rPr>
              <w:t xml:space="preserve">offsets </w:t>
            </w:r>
            <w:r>
              <w:rPr>
                <w:rFonts w:eastAsiaTheme="minorEastAsia" w:hint="eastAsia"/>
                <w:lang w:eastAsia="zh-CN"/>
              </w:rPr>
              <w:t xml:space="preserve">for PUSCH transmissions in </w:t>
            </w:r>
            <w:r>
              <w:rPr>
                <w:rFonts w:hint="eastAsia"/>
              </w:rPr>
              <w:t>SBFD symbols and non-SBFD symbols</w:t>
            </w:r>
            <w:r>
              <w:rPr>
                <w:rFonts w:eastAsiaTheme="minorEastAsia" w:hint="eastAsia"/>
                <w:lang w:eastAsia="zh-CN"/>
              </w:rPr>
              <w:t xml:space="preserve"> respectively.</w:t>
            </w:r>
          </w:p>
          <w:p w14:paraId="038DB894" w14:textId="77777777" w:rsidR="009E1382" w:rsidRPr="009E1382" w:rsidRDefault="009E1382" w:rsidP="00FC0A9D">
            <w:pPr>
              <w:pStyle w:val="af6"/>
              <w:numPr>
                <w:ilvl w:val="0"/>
                <w:numId w:val="19"/>
              </w:numPr>
              <w:tabs>
                <w:tab w:val="left" w:pos="0"/>
              </w:tabs>
              <w:contextualSpacing w:val="0"/>
              <w:jc w:val="both"/>
              <w:rPr>
                <w:sz w:val="20"/>
                <w:szCs w:val="20"/>
              </w:rPr>
            </w:pPr>
            <w:r w:rsidRPr="009E1382">
              <w:rPr>
                <w:sz w:val="20"/>
                <w:szCs w:val="20"/>
              </w:rPr>
              <w:t xml:space="preserve">FFS: How to indicate/determine </w:t>
            </w:r>
            <w:r w:rsidRPr="009E1382">
              <w:rPr>
                <w:rFonts w:hint="eastAsia"/>
                <w:sz w:val="20"/>
                <w:szCs w:val="20"/>
              </w:rPr>
              <w:t xml:space="preserve">the </w:t>
            </w:r>
            <w:r w:rsidRPr="009E1382">
              <w:rPr>
                <w:sz w:val="20"/>
                <w:szCs w:val="20"/>
              </w:rPr>
              <w:t>FH offsets for PUSCH transmissions in SBFD and non-SBFD symbols, respectively.</w:t>
            </w:r>
          </w:p>
          <w:p w14:paraId="2DCABCB7" w14:textId="51BF26D3" w:rsidR="009E1382" w:rsidRPr="009E1382" w:rsidRDefault="009E1382" w:rsidP="00FC0A9D">
            <w:pPr>
              <w:pStyle w:val="af6"/>
              <w:numPr>
                <w:ilvl w:val="0"/>
                <w:numId w:val="19"/>
              </w:numPr>
              <w:tabs>
                <w:tab w:val="left" w:pos="0"/>
              </w:tabs>
              <w:contextualSpacing w:val="0"/>
              <w:jc w:val="both"/>
              <w:rPr>
                <w:sz w:val="20"/>
                <w:szCs w:val="20"/>
              </w:rPr>
            </w:pPr>
            <w:r w:rsidRPr="009E1382">
              <w:rPr>
                <w:sz w:val="20"/>
                <w:szCs w:val="20"/>
              </w:rPr>
              <w:t xml:space="preserve">FFS: </w:t>
            </w:r>
            <w:r w:rsidRPr="009E1382">
              <w:rPr>
                <w:rFonts w:hint="eastAsia"/>
                <w:iCs/>
                <w:sz w:val="20"/>
                <w:szCs w:val="20"/>
              </w:rPr>
              <w:t>W</w:t>
            </w:r>
            <w:r w:rsidRPr="009E1382">
              <w:rPr>
                <w:iCs/>
                <w:sz w:val="20"/>
                <w:szCs w:val="20"/>
              </w:rPr>
              <w:t>hether/</w:t>
            </w:r>
            <w:r w:rsidRPr="009E1382">
              <w:rPr>
                <w:rFonts w:eastAsia="Malgun Gothic"/>
                <w:iCs/>
                <w:sz w:val="20"/>
                <w:szCs w:val="20"/>
              </w:rPr>
              <w:t>how</w:t>
            </w:r>
            <w:r w:rsidRPr="009E1382">
              <w:rPr>
                <w:iCs/>
                <w:sz w:val="20"/>
                <w:szCs w:val="20"/>
              </w:rPr>
              <w:t xml:space="preserve"> to update FH calculation to only consider the UL usable PRBs</w:t>
            </w:r>
          </w:p>
        </w:tc>
      </w:tr>
      <w:bookmarkEnd w:id="12"/>
    </w:tbl>
    <w:p w14:paraId="49942549" w14:textId="77777777" w:rsidR="009E1382" w:rsidRDefault="009E1382" w:rsidP="0092260F">
      <w:pPr>
        <w:spacing w:after="0"/>
        <w:jc w:val="both"/>
        <w:rPr>
          <w:lang w:eastAsia="en-GB"/>
        </w:rPr>
      </w:pPr>
    </w:p>
    <w:p w14:paraId="7B1242FC" w14:textId="1A78E3DB" w:rsidR="00533B0F" w:rsidRDefault="00C0620A" w:rsidP="00FF4218">
      <w:pPr>
        <w:spacing w:after="120"/>
        <w:jc w:val="both"/>
      </w:pPr>
      <w:r>
        <w:rPr>
          <w:lang w:eastAsia="en-GB"/>
        </w:rPr>
        <w:t xml:space="preserve">In RAN1#117, RAN1 agreed to support </w:t>
      </w:r>
      <w:r>
        <w:rPr>
          <w:rFonts w:eastAsiaTheme="minorEastAsia" w:hint="eastAsia"/>
          <w:lang w:eastAsia="zh-CN"/>
        </w:rPr>
        <w:t xml:space="preserve">separate </w:t>
      </w:r>
      <w:r>
        <w:rPr>
          <w:rFonts w:hint="eastAsia"/>
        </w:rPr>
        <w:t xml:space="preserve">FH </w:t>
      </w:r>
      <w:r>
        <w:rPr>
          <w:rFonts w:eastAsiaTheme="minorEastAsia"/>
          <w:lang w:eastAsia="zh-CN"/>
        </w:rPr>
        <w:t xml:space="preserve">offsets </w:t>
      </w:r>
      <w:r>
        <w:rPr>
          <w:rFonts w:eastAsiaTheme="minorEastAsia" w:hint="eastAsia"/>
          <w:lang w:eastAsia="zh-CN"/>
        </w:rPr>
        <w:t xml:space="preserve">for PUSCH transmissions in </w:t>
      </w:r>
      <w:r>
        <w:rPr>
          <w:rFonts w:hint="eastAsia"/>
        </w:rPr>
        <w:t>SBFD symbols and non-SBFD symbols</w:t>
      </w:r>
      <w:r w:rsidR="003D0BD7">
        <w:t xml:space="preserve">. Effectively, this is to allow each frequency hop to occur on valid UL resources </w:t>
      </w:r>
      <w:r w:rsidR="006D72F0">
        <w:t>in</w:t>
      </w:r>
      <w:r w:rsidR="003D0BD7">
        <w:t xml:space="preserve"> each slot type. To achieve this the FH calculation can be updated to ensure that a frequency hop on SBFD </w:t>
      </w:r>
      <w:r w:rsidR="006D72F0">
        <w:t>slot</w:t>
      </w:r>
      <w:r w:rsidR="003D0BD7">
        <w:t xml:space="preserve">s occur within UL usable PRBs. </w:t>
      </w:r>
    </w:p>
    <w:p w14:paraId="46E4A9EE" w14:textId="0E98867A" w:rsidR="003D0BD7" w:rsidRDefault="003D0BD7" w:rsidP="00F54534">
      <w:pPr>
        <w:spacing w:after="0"/>
        <w:jc w:val="both"/>
      </w:pPr>
      <w:r>
        <w:t>In the case of intra-slot FH on SBFD symbols, the FH calculation can be update by</w:t>
      </w:r>
      <w:r w:rsidR="008C7627">
        <w:t xml:space="preserve"> changing</w:t>
      </w:r>
      <w:r w:rsidRPr="008C7627">
        <w:t xml:space="preserve"> the number of </w:t>
      </w:r>
      <w:r w:rsidR="008C7627">
        <w:t xml:space="preserve">RBs used in the modulo expression for determining the frequency position of the second hop. The number of RBs can be set to </w:t>
      </w:r>
      <w:r w:rsidRPr="008C7627">
        <w:t>the total number of UL usable PRBs</w:t>
      </w:r>
      <w:r w:rsidR="008C7627">
        <w:t xml:space="preserve"> </w:t>
      </w:r>
      <w:r w:rsidR="00FE2A1C">
        <w:t xml:space="preserve">(instead of total number of RBs in UL BWP) </w:t>
      </w:r>
      <w:r w:rsidR="008C7627">
        <w:t xml:space="preserve">to ensure that second hop occurs within </w:t>
      </w:r>
      <w:r w:rsidR="008C7627" w:rsidRPr="008C7627">
        <w:t>UL usable PRBs</w:t>
      </w:r>
      <w:r w:rsidR="008C7627">
        <w:t xml:space="preserve">. </w:t>
      </w:r>
      <w:r>
        <w:t>The resulting FH expression for intra-slot FH is given as</w:t>
      </w:r>
    </w:p>
    <w:p w14:paraId="0A74F9CA" w14:textId="77777777" w:rsidR="003D0BD7" w:rsidRDefault="003D0BD7" w:rsidP="00F54534">
      <w:pPr>
        <w:spacing w:after="0"/>
        <w:jc w:val="both"/>
      </w:pPr>
    </w:p>
    <w:p w14:paraId="347714E3" w14:textId="37CC64BF" w:rsidR="003D0BD7" w:rsidRPr="003D0BD7" w:rsidRDefault="00000000" w:rsidP="00F54534">
      <w:pPr>
        <w:spacing w:after="0"/>
        <w:jc w:val="both"/>
        <w:rPr>
          <w:iCs/>
          <w:color w:val="000000" w:themeColor="text1"/>
          <w:kern w:val="24"/>
        </w:rPr>
      </w:pPr>
      <m:oMathPara>
        <m:oMath>
          <m:sSub>
            <m:sSubPr>
              <m:ctrlPr>
                <w:rPr>
                  <w:rFonts w:ascii="Cambria Math" w:hAnsi="Cambria Math"/>
                  <w:i/>
                  <w:iCs/>
                  <w:color w:val="000000" w:themeColor="text1"/>
                  <w:kern w:val="24"/>
                </w:rPr>
              </m:ctrlPr>
            </m:sSubPr>
            <m:e>
              <m:r>
                <w:rPr>
                  <w:rFonts w:ascii="Cambria Math" w:hAnsi="Cambria Math"/>
                  <w:color w:val="000000" w:themeColor="text1"/>
                  <w:kern w:val="24"/>
                </w:rPr>
                <m:t>RB</m:t>
              </m:r>
            </m:e>
            <m:sub>
              <m:r>
                <w:rPr>
                  <w:rFonts w:ascii="Cambria Math" w:hAnsi="Cambria Math"/>
                  <w:color w:val="000000" w:themeColor="text1"/>
                  <w:kern w:val="24"/>
                </w:rPr>
                <m:t>start</m:t>
              </m:r>
            </m:sub>
          </m:sSub>
          <m:r>
            <w:rPr>
              <w:rFonts w:ascii="Cambria Math" w:hAnsi="Cambria Math"/>
              <w:color w:val="000000" w:themeColor="text1"/>
              <w:kern w:val="24"/>
            </w:rPr>
            <m:t>=</m:t>
          </m:r>
          <m:d>
            <m:dPr>
              <m:begChr m:val="{"/>
              <m:endChr m:val=""/>
              <m:ctrlPr>
                <w:rPr>
                  <w:rFonts w:ascii="Cambria Math" w:hAnsi="Cambria Math"/>
                  <w:i/>
                  <w:iCs/>
                  <w:color w:val="000000" w:themeColor="text1"/>
                  <w:kern w:val="24"/>
                </w:rPr>
              </m:ctrlPr>
            </m:dPr>
            <m:e>
              <m:eqArr>
                <m:eqArrPr>
                  <m:ctrlPr>
                    <w:rPr>
                      <w:rFonts w:ascii="Cambria Math" w:hAnsi="Cambria Math"/>
                      <w:i/>
                      <w:iCs/>
                      <w:color w:val="000000" w:themeColor="text1"/>
                      <w:kern w:val="24"/>
                    </w:rPr>
                  </m:ctrlPr>
                </m:eqArrPr>
                <m:e>
                  <m:sSub>
                    <m:sSubPr>
                      <m:ctrlPr>
                        <w:rPr>
                          <w:rFonts w:ascii="Cambria Math" w:hAnsi="Cambria Math"/>
                          <w:i/>
                          <w:iCs/>
                          <w:color w:val="000000" w:themeColor="text1"/>
                          <w:kern w:val="24"/>
                        </w:rPr>
                      </m:ctrlPr>
                    </m:sSubPr>
                    <m:e>
                      <m:r>
                        <w:rPr>
                          <w:rFonts w:ascii="Cambria Math" w:hAnsi="Cambria Math"/>
                          <w:color w:val="000000" w:themeColor="text1"/>
                          <w:kern w:val="24"/>
                        </w:rPr>
                        <m:t>RB</m:t>
                      </m:r>
                    </m:e>
                    <m:sub>
                      <m:r>
                        <w:rPr>
                          <w:rFonts w:ascii="Cambria Math" w:hAnsi="Cambria Math"/>
                          <w:color w:val="000000" w:themeColor="text1"/>
                          <w:kern w:val="24"/>
                        </w:rPr>
                        <m:t>start</m:t>
                      </m:r>
                    </m:sub>
                  </m:sSub>
                  <m:r>
                    <w:rPr>
                      <w:rFonts w:ascii="Cambria Math" w:hAnsi="Cambria Math"/>
                      <w:color w:val="000000" w:themeColor="text1"/>
                      <w:kern w:val="24"/>
                    </w:rPr>
                    <m:t>                                                                                i=0</m:t>
                  </m:r>
                </m:e>
                <m:e>
                  <m:sSub>
                    <m:sSubPr>
                      <m:ctrlPr>
                        <w:rPr>
                          <w:rFonts w:ascii="Cambria Math" w:hAnsi="Cambria Math"/>
                          <w:i/>
                          <w:iCs/>
                          <w:color w:val="000000" w:themeColor="text1"/>
                          <w:kern w:val="24"/>
                        </w:rPr>
                      </m:ctrlPr>
                    </m:sSubPr>
                    <m:e>
                      <m:r>
                        <w:rPr>
                          <w:rFonts w:ascii="Cambria Math" w:hAnsi="Cambria Math"/>
                          <w:color w:val="000000" w:themeColor="text1"/>
                          <w:kern w:val="24"/>
                        </w:rPr>
                        <m:t>(RB</m:t>
                      </m:r>
                    </m:e>
                    <m:sub>
                      <m:r>
                        <w:rPr>
                          <w:rFonts w:ascii="Cambria Math" w:hAnsi="Cambria Math"/>
                          <w:color w:val="000000" w:themeColor="text1"/>
                          <w:kern w:val="24"/>
                        </w:rPr>
                        <m:t>start</m:t>
                      </m:r>
                    </m:sub>
                  </m:sSub>
                  <m:r>
                    <w:rPr>
                      <w:rFonts w:ascii="Cambria Math" w:hAnsi="Cambria Math"/>
                      <w:color w:val="000000" w:themeColor="text1"/>
                      <w:kern w:val="24"/>
                    </w:rPr>
                    <m:t>+</m:t>
                  </m:r>
                  <m:sSub>
                    <m:sSubPr>
                      <m:ctrlPr>
                        <w:rPr>
                          <w:rFonts w:ascii="Cambria Math" w:hAnsi="Cambria Math"/>
                          <w:i/>
                          <w:iCs/>
                          <w:color w:val="000000" w:themeColor="text1"/>
                          <w:kern w:val="24"/>
                        </w:rPr>
                      </m:ctrlPr>
                    </m:sSubPr>
                    <m:e>
                      <m:r>
                        <w:rPr>
                          <w:rFonts w:ascii="Cambria Math" w:hAnsi="Cambria Math"/>
                          <w:color w:val="000000" w:themeColor="text1"/>
                          <w:kern w:val="24"/>
                        </w:rPr>
                        <m:t>RB</m:t>
                      </m:r>
                    </m:e>
                    <m:sub>
                      <m:r>
                        <w:rPr>
                          <w:rFonts w:ascii="Cambria Math" w:hAnsi="Cambria Math"/>
                          <w:color w:val="000000" w:themeColor="text1"/>
                          <w:kern w:val="24"/>
                        </w:rPr>
                        <m:t>offset</m:t>
                      </m:r>
                    </m:sub>
                  </m:sSub>
                  <m:r>
                    <w:rPr>
                      <w:rFonts w:ascii="Cambria Math" w:hAnsi="Cambria Math"/>
                      <w:color w:val="000000" w:themeColor="text1"/>
                      <w:kern w:val="24"/>
                    </w:rPr>
                    <m:t>)mod </m:t>
                  </m:r>
                  <m:sSubSup>
                    <m:sSubSupPr>
                      <m:ctrlPr>
                        <w:rPr>
                          <w:rFonts w:ascii="Cambria Math" w:hAnsi="Cambria Math"/>
                          <w:i/>
                          <w:iCs/>
                          <w:color w:val="000000" w:themeColor="text1"/>
                          <w:kern w:val="24"/>
                        </w:rPr>
                      </m:ctrlPr>
                    </m:sSubSupPr>
                    <m:e>
                      <m:r>
                        <w:rPr>
                          <w:rFonts w:ascii="Cambria Math" w:hAnsi="Cambria Math"/>
                          <w:color w:val="000000" w:themeColor="text1"/>
                          <w:kern w:val="24"/>
                        </w:rPr>
                        <m:t>N</m:t>
                      </m:r>
                    </m:e>
                    <m:sub>
                      <m:r>
                        <w:rPr>
                          <w:rFonts w:ascii="Cambria Math" w:hAnsi="Cambria Math"/>
                          <w:color w:val="000000" w:themeColor="text1"/>
                          <w:kern w:val="24"/>
                        </w:rPr>
                        <m:t>RB</m:t>
                      </m:r>
                    </m:sub>
                    <m:sup>
                      <m:r>
                        <w:rPr>
                          <w:rFonts w:ascii="Cambria Math" w:hAnsi="Cambria Math"/>
                          <w:color w:val="000000" w:themeColor="text1"/>
                          <w:kern w:val="24"/>
                        </w:rPr>
                        <m:t>size</m:t>
                      </m:r>
                    </m:sup>
                  </m:sSubSup>
                  <m:d>
                    <m:dPr>
                      <m:ctrlPr>
                        <w:rPr>
                          <w:rFonts w:ascii="Cambria Math" w:hAnsi="Cambria Math"/>
                          <w:i/>
                          <w:iCs/>
                          <w:color w:val="000000" w:themeColor="text1"/>
                          <w:kern w:val="24"/>
                        </w:rPr>
                      </m:ctrlPr>
                    </m:dPr>
                    <m:e>
                      <m:r>
                        <w:rPr>
                          <w:rFonts w:ascii="Cambria Math" w:hAnsi="Cambria Math"/>
                          <w:color w:val="000000" w:themeColor="text1"/>
                          <w:kern w:val="24"/>
                        </w:rPr>
                        <m:t>j</m:t>
                      </m:r>
                    </m:e>
                  </m:d>
                  <m:r>
                    <w:rPr>
                      <w:rFonts w:ascii="Cambria Math" w:hAnsi="Cambria Math"/>
                      <w:color w:val="000000" w:themeColor="text1"/>
                      <w:kern w:val="24"/>
                    </w:rPr>
                    <m:t>                             i=1</m:t>
                  </m:r>
                </m:e>
              </m:eqArr>
            </m:e>
          </m:d>
        </m:oMath>
      </m:oMathPara>
    </w:p>
    <w:p w14:paraId="5820D8F5" w14:textId="73D55559" w:rsidR="00FB3BF3" w:rsidRDefault="00FB3BF3" w:rsidP="00F54534">
      <w:pPr>
        <w:spacing w:after="0" w:line="216" w:lineRule="auto"/>
        <w:contextualSpacing/>
        <w:jc w:val="both"/>
        <w:rPr>
          <w:color w:val="000000" w:themeColor="text1"/>
          <w:kern w:val="24"/>
          <w:lang w:val="en-US"/>
        </w:rPr>
      </w:pPr>
      <w:r w:rsidRPr="002452A0">
        <w:rPr>
          <w:color w:val="000000" w:themeColor="text1"/>
          <w:kern w:val="24"/>
          <w:lang w:val="en-US"/>
        </w:rPr>
        <w:t>W</w:t>
      </w:r>
      <w:r w:rsidR="003D0BD7" w:rsidRPr="002452A0">
        <w:rPr>
          <w:color w:val="000000" w:themeColor="text1"/>
          <w:kern w:val="24"/>
          <w:lang w:val="en-US"/>
        </w:rPr>
        <w:t>here</w:t>
      </w:r>
    </w:p>
    <w:p w14:paraId="38221005" w14:textId="06A251C2" w:rsidR="00FB3BF3" w:rsidRPr="00FB3BF3" w:rsidRDefault="00000000" w:rsidP="00FC0A9D">
      <w:pPr>
        <w:pStyle w:val="af6"/>
        <w:numPr>
          <w:ilvl w:val="0"/>
          <w:numId w:val="21"/>
        </w:numPr>
        <w:spacing w:line="216" w:lineRule="auto"/>
        <w:jc w:val="both"/>
        <w:rPr>
          <w:color w:val="000000" w:themeColor="text1"/>
          <w:kern w:val="24"/>
          <w:lang w:val="en-US"/>
        </w:rPr>
      </w:pPr>
      <m:oMath>
        <m:sSub>
          <m:sSubPr>
            <m:ctrlPr>
              <w:rPr>
                <w:rFonts w:ascii="Cambria Math" w:hAnsi="Cambria Math"/>
                <w:i/>
                <w:iCs/>
                <w:color w:val="000000" w:themeColor="text1"/>
                <w:kern w:val="24"/>
                <w:sz w:val="20"/>
                <w:szCs w:val="20"/>
              </w:rPr>
            </m:ctrlPr>
          </m:sSubPr>
          <m:e>
            <m:r>
              <w:rPr>
                <w:rFonts w:ascii="Cambria Math" w:hAnsi="Cambria Math"/>
                <w:color w:val="000000" w:themeColor="text1"/>
                <w:kern w:val="24"/>
                <w:sz w:val="20"/>
                <w:szCs w:val="20"/>
              </w:rPr>
              <m:t>RB</m:t>
            </m:r>
          </m:e>
          <m:sub>
            <m:r>
              <w:rPr>
                <w:rFonts w:ascii="Cambria Math" w:hAnsi="Cambria Math"/>
                <w:color w:val="000000" w:themeColor="text1"/>
                <w:kern w:val="24"/>
                <w:sz w:val="20"/>
                <w:szCs w:val="20"/>
              </w:rPr>
              <m:t>start</m:t>
            </m:r>
          </m:sub>
        </m:sSub>
      </m:oMath>
      <w:r w:rsidR="003D0BD7" w:rsidRPr="00FB3BF3">
        <w:rPr>
          <w:color w:val="000000" w:themeColor="text1"/>
          <w:kern w:val="24"/>
          <w:sz w:val="20"/>
          <w:szCs w:val="20"/>
          <w:lang w:val="en-US"/>
        </w:rPr>
        <w:t xml:space="preserve"> is the starting RB based on FDRA</w:t>
      </w:r>
      <w:r w:rsidR="00FB3BF3" w:rsidRPr="00FB3BF3">
        <w:rPr>
          <w:color w:val="000000" w:themeColor="text1"/>
          <w:kern w:val="24"/>
          <w:sz w:val="20"/>
          <w:szCs w:val="20"/>
          <w:lang w:val="en-US"/>
        </w:rPr>
        <w:t xml:space="preserve"> (</w:t>
      </w:r>
      <w:r w:rsidR="006D72F0">
        <w:rPr>
          <w:color w:val="000000" w:themeColor="text1"/>
          <w:kern w:val="24"/>
          <w:sz w:val="20"/>
          <w:szCs w:val="20"/>
          <w:lang w:val="en-US"/>
        </w:rPr>
        <w:t>N</w:t>
      </w:r>
      <w:r w:rsidR="00FB3BF3" w:rsidRPr="00FB3BF3">
        <w:rPr>
          <w:color w:val="000000" w:themeColor="text1"/>
          <w:kern w:val="24"/>
          <w:sz w:val="20"/>
          <w:szCs w:val="20"/>
          <w:lang w:val="en-US"/>
        </w:rPr>
        <w:t>etwork ensure</w:t>
      </w:r>
      <w:r w:rsidR="00624838">
        <w:rPr>
          <w:color w:val="000000" w:themeColor="text1"/>
          <w:kern w:val="24"/>
          <w:sz w:val="20"/>
          <w:szCs w:val="20"/>
          <w:lang w:val="en-US"/>
        </w:rPr>
        <w:t xml:space="preserve">s that </w:t>
      </w:r>
      <m:oMath>
        <m:sSub>
          <m:sSubPr>
            <m:ctrlPr>
              <w:rPr>
                <w:rFonts w:ascii="Cambria Math" w:hAnsi="Cambria Math"/>
                <w:i/>
                <w:iCs/>
                <w:color w:val="000000" w:themeColor="text1"/>
                <w:kern w:val="24"/>
                <w:sz w:val="20"/>
                <w:szCs w:val="20"/>
              </w:rPr>
            </m:ctrlPr>
          </m:sSubPr>
          <m:e>
            <m:r>
              <w:rPr>
                <w:rFonts w:ascii="Cambria Math" w:hAnsi="Cambria Math"/>
                <w:color w:val="000000" w:themeColor="text1"/>
                <w:kern w:val="24"/>
                <w:sz w:val="20"/>
                <w:szCs w:val="20"/>
              </w:rPr>
              <m:t>RB</m:t>
            </m:r>
          </m:e>
          <m:sub>
            <m:r>
              <w:rPr>
                <w:rFonts w:ascii="Cambria Math" w:hAnsi="Cambria Math"/>
                <w:color w:val="000000" w:themeColor="text1"/>
                <w:kern w:val="24"/>
                <w:sz w:val="20"/>
                <w:szCs w:val="20"/>
              </w:rPr>
              <m:t>start</m:t>
            </m:r>
          </m:sub>
        </m:sSub>
      </m:oMath>
      <w:r w:rsidR="00624838">
        <w:rPr>
          <w:color w:val="000000" w:themeColor="text1"/>
          <w:kern w:val="24"/>
          <w:sz w:val="20"/>
          <w:szCs w:val="20"/>
          <w:lang w:val="en-US"/>
        </w:rPr>
        <w:t xml:space="preserve"> occurs in UL usable PRBs</w:t>
      </w:r>
      <w:r w:rsidR="00FB3BF3" w:rsidRPr="00FB3BF3">
        <w:rPr>
          <w:color w:val="000000" w:themeColor="text1"/>
          <w:kern w:val="24"/>
          <w:sz w:val="20"/>
          <w:szCs w:val="20"/>
          <w:lang w:val="en-US"/>
        </w:rPr>
        <w:t>)</w:t>
      </w:r>
    </w:p>
    <w:p w14:paraId="70C38117" w14:textId="77777777" w:rsidR="006E215C" w:rsidRPr="006E215C" w:rsidRDefault="00000000" w:rsidP="00FC0A9D">
      <w:pPr>
        <w:pStyle w:val="af6"/>
        <w:numPr>
          <w:ilvl w:val="0"/>
          <w:numId w:val="21"/>
        </w:numPr>
        <w:spacing w:line="216" w:lineRule="auto"/>
        <w:jc w:val="both"/>
        <w:rPr>
          <w:color w:val="000000" w:themeColor="text1"/>
          <w:kern w:val="24"/>
          <w:lang w:val="en-US"/>
        </w:rPr>
      </w:pPr>
      <m:oMath>
        <m:sSub>
          <m:sSubPr>
            <m:ctrlPr>
              <w:rPr>
                <w:rFonts w:ascii="Cambria Math" w:hAnsi="Cambria Math"/>
                <w:i/>
                <w:iCs/>
                <w:color w:val="000000" w:themeColor="text1"/>
                <w:kern w:val="24"/>
                <w:sz w:val="20"/>
                <w:szCs w:val="20"/>
              </w:rPr>
            </m:ctrlPr>
          </m:sSubPr>
          <m:e>
            <m:r>
              <w:rPr>
                <w:rFonts w:ascii="Cambria Math" w:hAnsi="Cambria Math"/>
                <w:color w:val="000000" w:themeColor="text1"/>
                <w:kern w:val="24"/>
                <w:sz w:val="20"/>
                <w:szCs w:val="20"/>
              </w:rPr>
              <m:t>RB</m:t>
            </m:r>
          </m:e>
          <m:sub>
            <m:r>
              <w:rPr>
                <w:rFonts w:ascii="Cambria Math" w:hAnsi="Cambria Math"/>
                <w:color w:val="000000" w:themeColor="text1"/>
                <w:kern w:val="24"/>
                <w:sz w:val="20"/>
                <w:szCs w:val="20"/>
              </w:rPr>
              <m:t>offset</m:t>
            </m:r>
          </m:sub>
        </m:sSub>
      </m:oMath>
      <w:r w:rsidR="003D0BD7" w:rsidRPr="00FB3BF3">
        <w:rPr>
          <w:color w:val="000000" w:themeColor="text1"/>
          <w:kern w:val="24"/>
          <w:sz w:val="20"/>
          <w:szCs w:val="20"/>
          <w:lang w:val="en-US"/>
        </w:rPr>
        <w:t xml:space="preserve"> is the frequency hopping offset,</w:t>
      </w:r>
    </w:p>
    <w:p w14:paraId="0631CC9F" w14:textId="173C3CFA" w:rsidR="00FB3BF3" w:rsidRPr="00FB3BF3" w:rsidRDefault="003D0BD7" w:rsidP="00FC0A9D">
      <w:pPr>
        <w:pStyle w:val="af6"/>
        <w:numPr>
          <w:ilvl w:val="0"/>
          <w:numId w:val="21"/>
        </w:numPr>
        <w:spacing w:line="216" w:lineRule="auto"/>
        <w:jc w:val="both"/>
        <w:rPr>
          <w:color w:val="000000" w:themeColor="text1"/>
          <w:kern w:val="24"/>
          <w:lang w:val="en-US"/>
        </w:rPr>
      </w:pPr>
      <m:oMath>
        <m:r>
          <w:rPr>
            <w:rFonts w:ascii="Cambria Math" w:hAnsi="Cambria Math"/>
            <w:color w:val="000000" w:themeColor="text1"/>
            <w:kern w:val="24"/>
            <w:sz w:val="20"/>
            <w:szCs w:val="20"/>
          </w:rPr>
          <m:t>i=0</m:t>
        </m:r>
      </m:oMath>
      <w:r w:rsidRPr="00FB3BF3">
        <w:rPr>
          <w:color w:val="000000" w:themeColor="text1"/>
          <w:kern w:val="24"/>
          <w:sz w:val="20"/>
          <w:szCs w:val="20"/>
          <w:lang w:val="en-US"/>
        </w:rPr>
        <w:t xml:space="preserve"> and </w:t>
      </w:r>
      <m:oMath>
        <m:r>
          <w:rPr>
            <w:rFonts w:ascii="Cambria Math" w:hAnsi="Cambria Math"/>
            <w:color w:val="000000" w:themeColor="text1"/>
            <w:kern w:val="24"/>
            <w:sz w:val="20"/>
            <w:szCs w:val="20"/>
          </w:rPr>
          <m:t>i</m:t>
        </m:r>
        <m:r>
          <m:rPr>
            <m:sty m:val="p"/>
          </m:rPr>
          <w:rPr>
            <w:rFonts w:ascii="Cambria Math" w:hAnsi="Cambria Math"/>
            <w:color w:val="000000" w:themeColor="text1"/>
            <w:kern w:val="24"/>
            <w:sz w:val="20"/>
            <w:szCs w:val="20"/>
          </w:rPr>
          <m:t>=1</m:t>
        </m:r>
      </m:oMath>
      <w:r w:rsidRPr="00FB3BF3">
        <w:rPr>
          <w:color w:val="000000" w:themeColor="text1"/>
          <w:kern w:val="24"/>
          <w:sz w:val="20"/>
          <w:szCs w:val="20"/>
          <w:lang w:val="en-US"/>
        </w:rPr>
        <w:t xml:space="preserve"> are the first hop and second hop, respectively,</w:t>
      </w:r>
    </w:p>
    <w:p w14:paraId="6688CD47" w14:textId="66987936" w:rsidR="003D0BD7" w:rsidRDefault="00000000" w:rsidP="00FC0A9D">
      <w:pPr>
        <w:pStyle w:val="af6"/>
        <w:numPr>
          <w:ilvl w:val="0"/>
          <w:numId w:val="21"/>
        </w:numPr>
        <w:spacing w:line="216" w:lineRule="auto"/>
        <w:jc w:val="both"/>
        <w:rPr>
          <w:color w:val="000000" w:themeColor="text1"/>
          <w:kern w:val="24"/>
          <w:lang w:val="en-US"/>
        </w:rPr>
      </w:pPr>
      <m:oMath>
        <m:sSubSup>
          <m:sSubSupPr>
            <m:ctrlPr>
              <w:rPr>
                <w:rFonts w:ascii="Cambria Math" w:hAnsi="Cambria Math"/>
                <w:i/>
                <w:iCs/>
                <w:color w:val="000000" w:themeColor="text1"/>
                <w:kern w:val="24"/>
                <w:sz w:val="20"/>
                <w:szCs w:val="20"/>
              </w:rPr>
            </m:ctrlPr>
          </m:sSubSupPr>
          <m:e>
            <m:r>
              <w:rPr>
                <w:rFonts w:ascii="Cambria Math" w:hAnsi="Cambria Math"/>
                <w:color w:val="000000" w:themeColor="text1"/>
                <w:kern w:val="24"/>
                <w:sz w:val="20"/>
                <w:szCs w:val="20"/>
              </w:rPr>
              <m:t>N</m:t>
            </m:r>
          </m:e>
          <m:sub>
            <m:r>
              <w:rPr>
                <w:rFonts w:ascii="Cambria Math" w:hAnsi="Cambria Math"/>
                <w:color w:val="000000" w:themeColor="text1"/>
                <w:kern w:val="24"/>
                <w:sz w:val="20"/>
                <w:szCs w:val="20"/>
              </w:rPr>
              <m:t>RB</m:t>
            </m:r>
          </m:sub>
          <m:sup>
            <m:r>
              <w:rPr>
                <w:rFonts w:ascii="Cambria Math" w:hAnsi="Cambria Math"/>
                <w:color w:val="000000" w:themeColor="text1"/>
                <w:kern w:val="24"/>
                <w:sz w:val="20"/>
                <w:szCs w:val="20"/>
              </w:rPr>
              <m:t>size</m:t>
            </m:r>
          </m:sup>
        </m:sSubSup>
        <m:d>
          <m:dPr>
            <m:ctrlPr>
              <w:rPr>
                <w:rFonts w:ascii="Cambria Math" w:hAnsi="Cambria Math"/>
                <w:i/>
                <w:iCs/>
                <w:color w:val="000000" w:themeColor="text1"/>
                <w:kern w:val="24"/>
                <w:sz w:val="20"/>
                <w:szCs w:val="20"/>
              </w:rPr>
            </m:ctrlPr>
          </m:dPr>
          <m:e>
            <m:r>
              <w:rPr>
                <w:rFonts w:ascii="Cambria Math" w:hAnsi="Cambria Math"/>
                <w:color w:val="000000" w:themeColor="text1"/>
                <w:kern w:val="24"/>
                <w:sz w:val="20"/>
                <w:szCs w:val="20"/>
              </w:rPr>
              <m:t>j</m:t>
            </m:r>
          </m:e>
        </m:d>
      </m:oMath>
      <w:r w:rsidR="003D0BD7" w:rsidRPr="00FB3BF3">
        <w:rPr>
          <w:color w:val="000000" w:themeColor="text1"/>
          <w:kern w:val="24"/>
          <w:sz w:val="20"/>
          <w:szCs w:val="20"/>
          <w:lang w:val="en-US"/>
        </w:rPr>
        <w:t xml:space="preserve"> is the maximum number of RBs for the set of slots with index </w:t>
      </w:r>
      <w:r w:rsidR="003D0BD7" w:rsidRPr="00FB3BF3">
        <w:rPr>
          <w:i/>
          <w:iCs/>
          <w:color w:val="000000" w:themeColor="text1"/>
          <w:kern w:val="24"/>
          <w:sz w:val="20"/>
          <w:szCs w:val="20"/>
          <w:lang w:val="en-US"/>
        </w:rPr>
        <w:t>j</w:t>
      </w:r>
      <w:r w:rsidR="003D0BD7" w:rsidRPr="00FB3BF3">
        <w:rPr>
          <w:color w:val="000000" w:themeColor="text1"/>
          <w:kern w:val="24"/>
          <w:sz w:val="20"/>
          <w:szCs w:val="20"/>
          <w:lang w:val="en-US"/>
        </w:rPr>
        <w:t xml:space="preserve">, </w:t>
      </w:r>
      <m:oMath>
        <m:r>
          <w:rPr>
            <w:rFonts w:ascii="Cambria Math" w:hAnsi="Cambria Math"/>
            <w:color w:val="000000" w:themeColor="text1"/>
            <w:kern w:val="24"/>
            <w:sz w:val="20"/>
            <w:szCs w:val="20"/>
            <w:lang w:val="en-US"/>
          </w:rPr>
          <m:t>j</m:t>
        </m:r>
        <m:r>
          <m:rPr>
            <m:sty m:val="p"/>
          </m:rPr>
          <w:rPr>
            <w:rFonts w:ascii="Cambria Math" w:hAnsi="Cambria Math"/>
            <w:color w:val="000000" w:themeColor="text1"/>
            <w:kern w:val="24"/>
            <w:sz w:val="20"/>
            <w:szCs w:val="20"/>
          </w:rPr>
          <m:t>∈</m:t>
        </m:r>
        <m:d>
          <m:dPr>
            <m:begChr m:val="{"/>
            <m:endChr m:val="}"/>
            <m:ctrlPr>
              <w:rPr>
                <w:rFonts w:ascii="Cambria Math" w:eastAsia="Cambria Math" w:hAnsi="Cambria Math"/>
                <w:color w:val="000000" w:themeColor="text1"/>
                <w:kern w:val="24"/>
                <w:sz w:val="20"/>
                <w:szCs w:val="20"/>
              </w:rPr>
            </m:ctrlPr>
          </m:dPr>
          <m:e>
            <m:r>
              <m:rPr>
                <m:sty m:val="p"/>
              </m:rPr>
              <w:rPr>
                <w:rFonts w:ascii="Cambria Math" w:eastAsia="Cambria Math" w:hAnsi="Cambria Math"/>
                <w:color w:val="000000" w:themeColor="text1"/>
                <w:kern w:val="24"/>
                <w:sz w:val="20"/>
                <w:szCs w:val="20"/>
              </w:rPr>
              <m:t>0,1</m:t>
            </m:r>
          </m:e>
        </m:d>
      </m:oMath>
      <w:r w:rsidR="003D0BD7" w:rsidRPr="00FB3BF3">
        <w:rPr>
          <w:color w:val="000000" w:themeColor="text1"/>
          <w:kern w:val="24"/>
          <w:lang w:val="en-US"/>
        </w:rPr>
        <w:t xml:space="preserve">.  </w:t>
      </w:r>
    </w:p>
    <w:p w14:paraId="6D68E223" w14:textId="60F435F3" w:rsidR="006E215C" w:rsidRPr="006E215C" w:rsidRDefault="006E215C" w:rsidP="00FC0A9D">
      <w:pPr>
        <w:pStyle w:val="af6"/>
        <w:numPr>
          <w:ilvl w:val="1"/>
          <w:numId w:val="21"/>
        </w:numPr>
        <w:spacing w:line="216" w:lineRule="auto"/>
        <w:jc w:val="both"/>
        <w:rPr>
          <w:color w:val="000000" w:themeColor="text1"/>
          <w:kern w:val="24"/>
          <w:lang w:val="en-US"/>
        </w:rPr>
      </w:pPr>
      <m:oMath>
        <m:r>
          <w:rPr>
            <w:rFonts w:ascii="Cambria Math" w:hAnsi="Cambria Math"/>
            <w:color w:val="000000" w:themeColor="text1"/>
            <w:kern w:val="24"/>
            <w:sz w:val="20"/>
            <w:szCs w:val="20"/>
          </w:rPr>
          <m:t>j=0</m:t>
        </m:r>
      </m:oMath>
      <w:r>
        <w:rPr>
          <w:iCs/>
          <w:color w:val="000000" w:themeColor="text1"/>
          <w:kern w:val="24"/>
          <w:sz w:val="20"/>
          <w:szCs w:val="20"/>
        </w:rPr>
        <w:t xml:space="preserve"> for non-SBFD slots/symbols - </w:t>
      </w:r>
      <m:oMath>
        <m:sSubSup>
          <m:sSubSupPr>
            <m:ctrlPr>
              <w:rPr>
                <w:rFonts w:ascii="Cambria Math" w:hAnsi="Cambria Math"/>
                <w:i/>
                <w:iCs/>
                <w:color w:val="000000" w:themeColor="text1"/>
                <w:kern w:val="24"/>
                <w:sz w:val="20"/>
                <w:szCs w:val="20"/>
              </w:rPr>
            </m:ctrlPr>
          </m:sSubSupPr>
          <m:e>
            <m:r>
              <w:rPr>
                <w:rFonts w:ascii="Cambria Math" w:hAnsi="Cambria Math"/>
                <w:color w:val="000000" w:themeColor="text1"/>
                <w:kern w:val="24"/>
                <w:sz w:val="20"/>
                <w:szCs w:val="20"/>
              </w:rPr>
              <m:t>N</m:t>
            </m:r>
          </m:e>
          <m:sub>
            <m:r>
              <w:rPr>
                <w:rFonts w:ascii="Cambria Math" w:hAnsi="Cambria Math"/>
                <w:color w:val="000000" w:themeColor="text1"/>
                <w:kern w:val="24"/>
                <w:sz w:val="20"/>
                <w:szCs w:val="20"/>
              </w:rPr>
              <m:t>RB</m:t>
            </m:r>
          </m:sub>
          <m:sup>
            <m:r>
              <w:rPr>
                <w:rFonts w:ascii="Cambria Math" w:hAnsi="Cambria Math"/>
                <w:color w:val="000000" w:themeColor="text1"/>
                <w:kern w:val="24"/>
                <w:sz w:val="20"/>
                <w:szCs w:val="20"/>
              </w:rPr>
              <m:t>size</m:t>
            </m:r>
          </m:sup>
        </m:sSubSup>
        <m:d>
          <m:dPr>
            <m:ctrlPr>
              <w:rPr>
                <w:rFonts w:ascii="Cambria Math" w:hAnsi="Cambria Math"/>
                <w:i/>
                <w:iCs/>
                <w:color w:val="000000" w:themeColor="text1"/>
                <w:kern w:val="24"/>
                <w:sz w:val="20"/>
                <w:szCs w:val="20"/>
              </w:rPr>
            </m:ctrlPr>
          </m:dPr>
          <m:e>
            <m:r>
              <w:rPr>
                <w:rFonts w:ascii="Cambria Math" w:hAnsi="Cambria Math"/>
                <w:color w:val="000000" w:themeColor="text1"/>
                <w:kern w:val="24"/>
                <w:sz w:val="20"/>
                <w:szCs w:val="20"/>
              </w:rPr>
              <m:t>0</m:t>
            </m:r>
          </m:e>
        </m:d>
        <m:r>
          <w:rPr>
            <w:rFonts w:ascii="Cambria Math" w:hAnsi="Cambria Math"/>
            <w:color w:val="000000" w:themeColor="text1"/>
            <w:kern w:val="24"/>
            <w:sz w:val="20"/>
            <w:szCs w:val="20"/>
          </w:rPr>
          <m:t xml:space="preserve">= </m:t>
        </m:r>
      </m:oMath>
      <w:r>
        <w:rPr>
          <w:iCs/>
          <w:color w:val="000000" w:themeColor="text1"/>
          <w:kern w:val="24"/>
          <w:sz w:val="20"/>
          <w:szCs w:val="20"/>
        </w:rPr>
        <w:t xml:space="preserve">total RBs of UL BWP   </w:t>
      </w:r>
    </w:p>
    <w:p w14:paraId="21C5E1B5" w14:textId="25AE685D" w:rsidR="006E215C" w:rsidRPr="006E215C" w:rsidRDefault="006E215C" w:rsidP="00FC0A9D">
      <w:pPr>
        <w:pStyle w:val="af6"/>
        <w:numPr>
          <w:ilvl w:val="1"/>
          <w:numId w:val="21"/>
        </w:numPr>
        <w:spacing w:line="216" w:lineRule="auto"/>
        <w:jc w:val="both"/>
        <w:rPr>
          <w:color w:val="000000" w:themeColor="text1"/>
          <w:kern w:val="24"/>
          <w:lang w:val="en-US"/>
        </w:rPr>
      </w:pPr>
      <m:oMath>
        <m:r>
          <w:rPr>
            <w:rFonts w:ascii="Cambria Math" w:hAnsi="Cambria Math"/>
            <w:color w:val="000000" w:themeColor="text1"/>
            <w:kern w:val="24"/>
            <w:sz w:val="20"/>
            <w:szCs w:val="20"/>
          </w:rPr>
          <m:t>j=1</m:t>
        </m:r>
      </m:oMath>
      <w:r>
        <w:rPr>
          <w:iCs/>
          <w:color w:val="000000" w:themeColor="text1"/>
          <w:kern w:val="24"/>
          <w:sz w:val="20"/>
          <w:szCs w:val="20"/>
        </w:rPr>
        <w:t xml:space="preserve"> for SBFD slots/symbols - </w:t>
      </w:r>
      <m:oMath>
        <m:sSubSup>
          <m:sSubSupPr>
            <m:ctrlPr>
              <w:rPr>
                <w:rFonts w:ascii="Cambria Math" w:hAnsi="Cambria Math"/>
                <w:i/>
                <w:iCs/>
                <w:color w:val="000000" w:themeColor="text1"/>
                <w:kern w:val="24"/>
                <w:sz w:val="20"/>
                <w:szCs w:val="20"/>
              </w:rPr>
            </m:ctrlPr>
          </m:sSubSupPr>
          <m:e>
            <m:r>
              <w:rPr>
                <w:rFonts w:ascii="Cambria Math" w:hAnsi="Cambria Math"/>
                <w:color w:val="000000" w:themeColor="text1"/>
                <w:kern w:val="24"/>
                <w:sz w:val="20"/>
                <w:szCs w:val="20"/>
              </w:rPr>
              <m:t>N</m:t>
            </m:r>
          </m:e>
          <m:sub>
            <m:r>
              <w:rPr>
                <w:rFonts w:ascii="Cambria Math" w:hAnsi="Cambria Math"/>
                <w:color w:val="000000" w:themeColor="text1"/>
                <w:kern w:val="24"/>
                <w:sz w:val="20"/>
                <w:szCs w:val="20"/>
              </w:rPr>
              <m:t>RB</m:t>
            </m:r>
          </m:sub>
          <m:sup>
            <m:r>
              <w:rPr>
                <w:rFonts w:ascii="Cambria Math" w:hAnsi="Cambria Math"/>
                <w:color w:val="000000" w:themeColor="text1"/>
                <w:kern w:val="24"/>
                <w:sz w:val="20"/>
                <w:szCs w:val="20"/>
              </w:rPr>
              <m:t>size</m:t>
            </m:r>
          </m:sup>
        </m:sSubSup>
        <m:d>
          <m:dPr>
            <m:ctrlPr>
              <w:rPr>
                <w:rFonts w:ascii="Cambria Math" w:hAnsi="Cambria Math"/>
                <w:i/>
                <w:iCs/>
                <w:color w:val="000000" w:themeColor="text1"/>
                <w:kern w:val="24"/>
                <w:sz w:val="20"/>
                <w:szCs w:val="20"/>
              </w:rPr>
            </m:ctrlPr>
          </m:dPr>
          <m:e>
            <m:r>
              <w:rPr>
                <w:rFonts w:ascii="Cambria Math" w:hAnsi="Cambria Math"/>
                <w:color w:val="000000" w:themeColor="text1"/>
                <w:kern w:val="24"/>
                <w:sz w:val="20"/>
                <w:szCs w:val="20"/>
              </w:rPr>
              <m:t>1</m:t>
            </m:r>
          </m:e>
        </m:d>
        <m:r>
          <w:rPr>
            <w:rFonts w:ascii="Cambria Math" w:hAnsi="Cambria Math"/>
            <w:color w:val="000000" w:themeColor="text1"/>
            <w:kern w:val="24"/>
            <w:sz w:val="20"/>
            <w:szCs w:val="20"/>
          </w:rPr>
          <m:t xml:space="preserve">= </m:t>
        </m:r>
      </m:oMath>
      <w:r>
        <w:rPr>
          <w:iCs/>
          <w:color w:val="000000" w:themeColor="text1"/>
          <w:kern w:val="24"/>
          <w:sz w:val="20"/>
          <w:szCs w:val="20"/>
        </w:rPr>
        <w:t xml:space="preserve">total RBs of UL usable PRBs </w:t>
      </w:r>
    </w:p>
    <w:p w14:paraId="47E6C8BC" w14:textId="77777777" w:rsidR="00DC5ADC" w:rsidRDefault="00DC5ADC" w:rsidP="00F54534">
      <w:pPr>
        <w:spacing w:after="0"/>
        <w:jc w:val="both"/>
      </w:pPr>
    </w:p>
    <w:p w14:paraId="4432D4FB" w14:textId="7BAFBB52" w:rsidR="008C7627" w:rsidRDefault="008C7627" w:rsidP="00F54534">
      <w:pPr>
        <w:spacing w:after="0"/>
        <w:jc w:val="both"/>
      </w:pPr>
      <w:r>
        <w:t>In the case of int</w:t>
      </w:r>
      <w:r w:rsidR="004D7BEE">
        <w:t>er</w:t>
      </w:r>
      <w:r>
        <w:t>-slot FH, the FH calculation can be update by</w:t>
      </w:r>
    </w:p>
    <w:p w14:paraId="6D218450" w14:textId="3B84D7D1" w:rsidR="008C7627" w:rsidRPr="007C1FCD" w:rsidRDefault="008C7627" w:rsidP="00FC0A9D">
      <w:pPr>
        <w:pStyle w:val="af6"/>
        <w:numPr>
          <w:ilvl w:val="0"/>
          <w:numId w:val="20"/>
        </w:numPr>
        <w:jc w:val="both"/>
        <w:rPr>
          <w:sz w:val="20"/>
          <w:szCs w:val="20"/>
        </w:rPr>
      </w:pPr>
      <w:r>
        <w:rPr>
          <w:sz w:val="20"/>
          <w:szCs w:val="20"/>
        </w:rPr>
        <w:t>S</w:t>
      </w:r>
      <w:r w:rsidRPr="007C1FCD">
        <w:rPr>
          <w:sz w:val="20"/>
          <w:szCs w:val="20"/>
        </w:rPr>
        <w:t xml:space="preserve">etting </w:t>
      </w:r>
      <w:r w:rsidR="007C1FCD" w:rsidRPr="007C1FCD">
        <w:rPr>
          <w:sz w:val="20"/>
          <w:szCs w:val="20"/>
        </w:rPr>
        <w:t xml:space="preserve">the number of RBs used in the modulo expression for determining the frequency position of the second hop </w:t>
      </w:r>
      <w:r w:rsidRPr="007C1FCD">
        <w:rPr>
          <w:sz w:val="20"/>
          <w:szCs w:val="20"/>
        </w:rPr>
        <w:t>to the total number of UL usable PRBs</w:t>
      </w:r>
    </w:p>
    <w:p w14:paraId="39DDD6D1" w14:textId="4EB5A202" w:rsidR="008C7627" w:rsidRPr="003D0BD7" w:rsidRDefault="008C7627" w:rsidP="00FC0A9D">
      <w:pPr>
        <w:pStyle w:val="af6"/>
        <w:numPr>
          <w:ilvl w:val="0"/>
          <w:numId w:val="20"/>
        </w:numPr>
        <w:jc w:val="both"/>
        <w:rPr>
          <w:sz w:val="20"/>
          <w:szCs w:val="20"/>
        </w:rPr>
      </w:pPr>
      <w:r>
        <w:rPr>
          <w:sz w:val="20"/>
          <w:szCs w:val="20"/>
        </w:rPr>
        <w:t xml:space="preserve">Including an offset which points to the lowest RB index of </w:t>
      </w:r>
      <w:r w:rsidR="00B9341D">
        <w:rPr>
          <w:sz w:val="20"/>
          <w:szCs w:val="20"/>
        </w:rPr>
        <w:t xml:space="preserve">the corresponding slot type </w:t>
      </w:r>
    </w:p>
    <w:p w14:paraId="78DE7F6E" w14:textId="664D708F" w:rsidR="00B9341D" w:rsidRDefault="00B9341D" w:rsidP="00B9341D">
      <w:pPr>
        <w:jc w:val="both"/>
      </w:pPr>
      <w:r>
        <w:t>The resulting FH expression for int</w:t>
      </w:r>
      <w:r w:rsidR="00715A17">
        <w:t>er</w:t>
      </w:r>
      <w:r>
        <w:t>-slot FH is given as</w:t>
      </w:r>
    </w:p>
    <w:p w14:paraId="0CEB8317" w14:textId="77777777" w:rsidR="00B9341D" w:rsidRPr="002452A0" w:rsidRDefault="00000000" w:rsidP="00B9341D">
      <w:pPr>
        <w:spacing w:after="120"/>
        <w:jc w:val="both"/>
        <w:rPr>
          <w:rFonts w:ascii="Arial" w:eastAsia="Times New Roman" w:hAnsi="Arial"/>
          <w:iCs/>
          <w:color w:val="000000" w:themeColor="text1"/>
          <w:kern w:val="24"/>
        </w:rPr>
      </w:pPr>
      <m:oMathPara>
        <m:oMath>
          <m:sSub>
            <m:sSubPr>
              <m:ctrlPr>
                <w:rPr>
                  <w:rFonts w:ascii="Cambria Math" w:hAnsi="Cambria Math"/>
                  <w:i/>
                  <w:iCs/>
                  <w:color w:val="000000" w:themeColor="text1"/>
                  <w:kern w:val="24"/>
                </w:rPr>
              </m:ctrlPr>
            </m:sSubPr>
            <m:e>
              <m:r>
                <w:rPr>
                  <w:rFonts w:ascii="Cambria Math" w:hAnsi="Cambria Math"/>
                  <w:color w:val="000000" w:themeColor="text1"/>
                  <w:kern w:val="24"/>
                </w:rPr>
                <m:t>RB</m:t>
              </m:r>
            </m:e>
            <m:sub>
              <m:r>
                <w:rPr>
                  <w:rFonts w:ascii="Cambria Math" w:hAnsi="Cambria Math"/>
                  <w:color w:val="000000" w:themeColor="text1"/>
                  <w:kern w:val="24"/>
                </w:rPr>
                <m:t>start</m:t>
              </m:r>
            </m:sub>
          </m:sSub>
          <m:d>
            <m:dPr>
              <m:ctrlPr>
                <w:rPr>
                  <w:rFonts w:ascii="Cambria Math" w:hAnsi="Cambria Math"/>
                  <w:i/>
                  <w:iCs/>
                  <w:color w:val="000000" w:themeColor="text1"/>
                  <w:kern w:val="24"/>
                </w:rPr>
              </m:ctrlPr>
            </m:dPr>
            <m:e>
              <m:r>
                <w:rPr>
                  <w:rFonts w:ascii="Cambria Math" w:hAnsi="Cambria Math"/>
                  <w:color w:val="000000" w:themeColor="text1"/>
                  <w:kern w:val="24"/>
                </w:rPr>
                <m:t>n</m:t>
              </m:r>
            </m:e>
          </m:d>
          <m:r>
            <w:rPr>
              <w:rFonts w:ascii="Cambria Math" w:hAnsi="Cambria Math"/>
              <w:color w:val="000000" w:themeColor="text1"/>
              <w:kern w:val="24"/>
            </w:rPr>
            <m:t>=</m:t>
          </m:r>
          <m:d>
            <m:dPr>
              <m:begChr m:val="{"/>
              <m:endChr m:val=""/>
              <m:ctrlPr>
                <w:rPr>
                  <w:rFonts w:ascii="Cambria Math" w:hAnsi="Cambria Math"/>
                  <w:i/>
                  <w:iCs/>
                  <w:color w:val="000000" w:themeColor="text1"/>
                  <w:kern w:val="24"/>
                </w:rPr>
              </m:ctrlPr>
            </m:dPr>
            <m:e>
              <m:eqArr>
                <m:eqArrPr>
                  <m:ctrlPr>
                    <w:rPr>
                      <w:rFonts w:ascii="Cambria Math" w:hAnsi="Cambria Math"/>
                      <w:i/>
                      <w:iCs/>
                      <w:color w:val="000000" w:themeColor="text1"/>
                      <w:kern w:val="24"/>
                    </w:rPr>
                  </m:ctrlPr>
                </m:eqArrPr>
                <m:e>
                  <m:sSub>
                    <m:sSubPr>
                      <m:ctrlPr>
                        <w:rPr>
                          <w:rFonts w:ascii="Cambria Math" w:hAnsi="Cambria Math"/>
                          <w:i/>
                          <w:iCs/>
                          <w:color w:val="000000" w:themeColor="text1"/>
                          <w:kern w:val="24"/>
                        </w:rPr>
                      </m:ctrlPr>
                    </m:sSubPr>
                    <m:e>
                      <m:r>
                        <w:rPr>
                          <w:rFonts w:ascii="Cambria Math" w:hAnsi="Cambria Math"/>
                          <w:color w:val="000000" w:themeColor="text1"/>
                          <w:kern w:val="24"/>
                        </w:rPr>
                        <m:t>RB</m:t>
                      </m:r>
                    </m:e>
                    <m:sub>
                      <m:r>
                        <w:rPr>
                          <w:rFonts w:ascii="Cambria Math" w:hAnsi="Cambria Math"/>
                          <w:color w:val="000000" w:themeColor="text1"/>
                          <w:kern w:val="24"/>
                        </w:rPr>
                        <m:t>start</m:t>
                      </m:r>
                    </m:sub>
                  </m:sSub>
                  <m:r>
                    <w:rPr>
                      <w:rFonts w:ascii="Cambria Math" w:hAnsi="Cambria Math"/>
                      <w:color w:val="000000" w:themeColor="text1"/>
                      <w:kern w:val="24"/>
                    </w:rPr>
                    <m:t>                                                                              n mod 2=0</m:t>
                  </m:r>
                </m:e>
                <m:e>
                  <m:sSub>
                    <m:sSubPr>
                      <m:ctrlPr>
                        <w:rPr>
                          <w:rFonts w:ascii="Cambria Math" w:hAnsi="Cambria Math"/>
                          <w:i/>
                          <w:iCs/>
                          <w:color w:val="000000" w:themeColor="text1"/>
                          <w:kern w:val="24"/>
                        </w:rPr>
                      </m:ctrlPr>
                    </m:sSubPr>
                    <m:e>
                      <m:r>
                        <w:rPr>
                          <w:rFonts w:ascii="Cambria Math" w:hAnsi="Cambria Math"/>
                          <w:color w:val="000000" w:themeColor="text1"/>
                          <w:kern w:val="24"/>
                        </w:rPr>
                        <m:t>(RB</m:t>
                      </m:r>
                    </m:e>
                    <m:sub>
                      <m:r>
                        <w:rPr>
                          <w:rFonts w:ascii="Cambria Math" w:hAnsi="Cambria Math"/>
                          <w:color w:val="000000" w:themeColor="text1"/>
                          <w:kern w:val="24"/>
                        </w:rPr>
                        <m:t>start</m:t>
                      </m:r>
                    </m:sub>
                  </m:sSub>
                  <m:r>
                    <w:rPr>
                      <w:rFonts w:ascii="Cambria Math" w:hAnsi="Cambria Math"/>
                      <w:color w:val="000000" w:themeColor="text1"/>
                      <w:kern w:val="24"/>
                    </w:rPr>
                    <m:t>+</m:t>
                  </m:r>
                  <m:sSub>
                    <m:sSubPr>
                      <m:ctrlPr>
                        <w:rPr>
                          <w:rFonts w:ascii="Cambria Math" w:hAnsi="Cambria Math"/>
                          <w:i/>
                          <w:iCs/>
                          <w:color w:val="000000" w:themeColor="text1"/>
                          <w:kern w:val="24"/>
                        </w:rPr>
                      </m:ctrlPr>
                    </m:sSubPr>
                    <m:e>
                      <m:r>
                        <w:rPr>
                          <w:rFonts w:ascii="Cambria Math" w:hAnsi="Cambria Math"/>
                          <w:color w:val="000000" w:themeColor="text1"/>
                          <w:kern w:val="24"/>
                        </w:rPr>
                        <m:t>RB</m:t>
                      </m:r>
                    </m:e>
                    <m:sub>
                      <m:r>
                        <w:rPr>
                          <w:rFonts w:ascii="Cambria Math" w:hAnsi="Cambria Math"/>
                          <w:color w:val="000000" w:themeColor="text1"/>
                          <w:kern w:val="24"/>
                        </w:rPr>
                        <m:t>offset</m:t>
                      </m:r>
                    </m:sub>
                  </m:sSub>
                  <m:r>
                    <w:rPr>
                      <w:rFonts w:ascii="Cambria Math" w:hAnsi="Cambria Math"/>
                      <w:color w:val="000000" w:themeColor="text1"/>
                      <w:kern w:val="24"/>
                    </w:rPr>
                    <m:t>)mod </m:t>
                  </m:r>
                  <m:sSubSup>
                    <m:sSubSupPr>
                      <m:ctrlPr>
                        <w:rPr>
                          <w:rFonts w:ascii="Cambria Math" w:hAnsi="Cambria Math"/>
                          <w:i/>
                          <w:iCs/>
                          <w:color w:val="000000" w:themeColor="text1"/>
                          <w:kern w:val="24"/>
                        </w:rPr>
                      </m:ctrlPr>
                    </m:sSubSupPr>
                    <m:e>
                      <m:r>
                        <w:rPr>
                          <w:rFonts w:ascii="Cambria Math" w:hAnsi="Cambria Math"/>
                          <w:color w:val="000000" w:themeColor="text1"/>
                          <w:kern w:val="24"/>
                        </w:rPr>
                        <m:t>N</m:t>
                      </m:r>
                    </m:e>
                    <m:sub>
                      <m:r>
                        <w:rPr>
                          <w:rFonts w:ascii="Cambria Math" w:hAnsi="Cambria Math"/>
                          <w:color w:val="000000" w:themeColor="text1"/>
                          <w:kern w:val="24"/>
                        </w:rPr>
                        <m:t>RB</m:t>
                      </m:r>
                    </m:sub>
                    <m:sup>
                      <m:r>
                        <w:rPr>
                          <w:rFonts w:ascii="Cambria Math" w:hAnsi="Cambria Math"/>
                          <w:color w:val="000000" w:themeColor="text1"/>
                          <w:kern w:val="24"/>
                        </w:rPr>
                        <m:t>size</m:t>
                      </m:r>
                    </m:sup>
                  </m:sSubSup>
                  <m:d>
                    <m:dPr>
                      <m:ctrlPr>
                        <w:rPr>
                          <w:rFonts w:ascii="Cambria Math" w:hAnsi="Cambria Math"/>
                          <w:i/>
                          <w:iCs/>
                          <w:color w:val="000000" w:themeColor="text1"/>
                          <w:kern w:val="24"/>
                        </w:rPr>
                      </m:ctrlPr>
                    </m:dPr>
                    <m:e>
                      <m:r>
                        <w:rPr>
                          <w:rFonts w:ascii="Cambria Math" w:hAnsi="Cambria Math"/>
                          <w:color w:val="000000" w:themeColor="text1"/>
                          <w:kern w:val="24"/>
                        </w:rPr>
                        <m:t>j</m:t>
                      </m:r>
                    </m:e>
                  </m:d>
                  <m:r>
                    <w:rPr>
                      <w:rFonts w:ascii="Cambria Math" w:hAnsi="Cambria Math"/>
                      <w:color w:val="000000" w:themeColor="text1"/>
                      <w:kern w:val="24"/>
                    </w:rPr>
                    <m:t>+</m:t>
                  </m:r>
                  <m:sSub>
                    <m:sSubPr>
                      <m:ctrlPr>
                        <w:rPr>
                          <w:rFonts w:ascii="Cambria Math" w:hAnsi="Cambria Math"/>
                          <w:i/>
                          <w:iCs/>
                          <w:color w:val="000000" w:themeColor="text1"/>
                          <w:kern w:val="24"/>
                        </w:rPr>
                      </m:ctrlPr>
                    </m:sSubPr>
                    <m:e>
                      <m:r>
                        <w:rPr>
                          <w:rFonts w:ascii="Cambria Math" w:hAnsi="Cambria Math"/>
                          <w:color w:val="000000" w:themeColor="text1"/>
                          <w:kern w:val="24"/>
                        </w:rPr>
                        <m:t>RB</m:t>
                      </m:r>
                    </m:e>
                    <m:sub>
                      <m:r>
                        <w:rPr>
                          <w:rFonts w:ascii="Cambria Math" w:hAnsi="Cambria Math"/>
                          <w:color w:val="000000" w:themeColor="text1"/>
                          <w:kern w:val="24"/>
                        </w:rPr>
                        <m:t>first</m:t>
                      </m:r>
                    </m:sub>
                  </m:sSub>
                  <m:d>
                    <m:dPr>
                      <m:ctrlPr>
                        <w:rPr>
                          <w:rFonts w:ascii="Cambria Math" w:hAnsi="Cambria Math"/>
                          <w:i/>
                          <w:iCs/>
                          <w:color w:val="000000" w:themeColor="text1"/>
                          <w:kern w:val="24"/>
                        </w:rPr>
                      </m:ctrlPr>
                    </m:dPr>
                    <m:e>
                      <m:r>
                        <w:rPr>
                          <w:rFonts w:ascii="Cambria Math" w:hAnsi="Cambria Math"/>
                          <w:color w:val="000000" w:themeColor="text1"/>
                          <w:kern w:val="24"/>
                        </w:rPr>
                        <m:t>j</m:t>
                      </m:r>
                    </m:e>
                  </m:d>
                  <m:r>
                    <w:rPr>
                      <w:rFonts w:ascii="Cambria Math" w:hAnsi="Cambria Math"/>
                      <w:color w:val="000000" w:themeColor="text1"/>
                      <w:kern w:val="24"/>
                    </w:rPr>
                    <m:t>   n mod 2=1</m:t>
                  </m:r>
                </m:e>
              </m:eqArr>
            </m:e>
          </m:d>
        </m:oMath>
      </m:oMathPara>
    </w:p>
    <w:p w14:paraId="750B7663" w14:textId="23E6C004" w:rsidR="003D0BD7" w:rsidRDefault="00B9341D" w:rsidP="0092260F">
      <w:pPr>
        <w:spacing w:after="0"/>
        <w:jc w:val="both"/>
        <w:rPr>
          <w:lang w:val="fi-FI"/>
        </w:rPr>
      </w:pPr>
      <w:r>
        <w:rPr>
          <w:lang w:val="fi-FI"/>
        </w:rPr>
        <w:lastRenderedPageBreak/>
        <w:t xml:space="preserve">Where </w:t>
      </w:r>
    </w:p>
    <w:p w14:paraId="3775A630" w14:textId="10AE409F" w:rsidR="00B9341D" w:rsidRPr="00B9341D" w:rsidRDefault="00000000" w:rsidP="00FC0A9D">
      <w:pPr>
        <w:pStyle w:val="af6"/>
        <w:numPr>
          <w:ilvl w:val="0"/>
          <w:numId w:val="22"/>
        </w:numPr>
        <w:jc w:val="both"/>
        <w:rPr>
          <w:sz w:val="20"/>
          <w:szCs w:val="20"/>
        </w:rPr>
      </w:pPr>
      <m:oMath>
        <m:sSub>
          <m:sSubPr>
            <m:ctrlPr>
              <w:rPr>
                <w:rFonts w:ascii="Cambria Math" w:hAnsi="Cambria Math"/>
                <w:i/>
                <w:iCs/>
                <w:color w:val="000000" w:themeColor="text1"/>
                <w:kern w:val="24"/>
                <w:sz w:val="20"/>
                <w:szCs w:val="20"/>
              </w:rPr>
            </m:ctrlPr>
          </m:sSubPr>
          <m:e>
            <m:r>
              <w:rPr>
                <w:rFonts w:ascii="Cambria Math" w:hAnsi="Cambria Math"/>
                <w:color w:val="000000" w:themeColor="text1"/>
                <w:kern w:val="24"/>
                <w:sz w:val="20"/>
                <w:szCs w:val="20"/>
              </w:rPr>
              <m:t>RB</m:t>
            </m:r>
          </m:e>
          <m:sub>
            <m:r>
              <w:rPr>
                <w:rFonts w:ascii="Cambria Math" w:hAnsi="Cambria Math"/>
                <w:color w:val="000000" w:themeColor="text1"/>
                <w:kern w:val="24"/>
                <w:sz w:val="20"/>
                <w:szCs w:val="20"/>
              </w:rPr>
              <m:t>first</m:t>
            </m:r>
          </m:sub>
        </m:sSub>
        <m:d>
          <m:dPr>
            <m:ctrlPr>
              <w:rPr>
                <w:rFonts w:ascii="Cambria Math" w:hAnsi="Cambria Math"/>
                <w:i/>
                <w:iCs/>
                <w:color w:val="000000" w:themeColor="text1"/>
                <w:kern w:val="24"/>
                <w:sz w:val="20"/>
                <w:szCs w:val="20"/>
              </w:rPr>
            </m:ctrlPr>
          </m:dPr>
          <m:e>
            <m:r>
              <w:rPr>
                <w:rFonts w:ascii="Cambria Math" w:hAnsi="Cambria Math"/>
                <w:color w:val="000000" w:themeColor="text1"/>
                <w:kern w:val="24"/>
                <w:sz w:val="20"/>
                <w:szCs w:val="20"/>
              </w:rPr>
              <m:t>j</m:t>
            </m:r>
          </m:e>
        </m:d>
      </m:oMath>
      <w:r w:rsidR="00B9341D" w:rsidRPr="00B9341D">
        <w:rPr>
          <w:color w:val="000000" w:themeColor="text1"/>
          <w:kern w:val="24"/>
          <w:sz w:val="20"/>
          <w:szCs w:val="20"/>
          <w:lang w:val="en-US"/>
        </w:rPr>
        <w:t xml:space="preserve"> is the </w:t>
      </w:r>
      <w:r w:rsidR="00B9341D">
        <w:rPr>
          <w:color w:val="000000" w:themeColor="text1"/>
          <w:kern w:val="24"/>
          <w:sz w:val="20"/>
          <w:szCs w:val="20"/>
          <w:lang w:val="en-US"/>
        </w:rPr>
        <w:t>lowest</w:t>
      </w:r>
      <w:r w:rsidR="00B9341D" w:rsidRPr="00B9341D">
        <w:rPr>
          <w:color w:val="000000" w:themeColor="text1"/>
          <w:kern w:val="24"/>
          <w:sz w:val="20"/>
          <w:szCs w:val="20"/>
          <w:lang w:val="en-US"/>
        </w:rPr>
        <w:t xml:space="preserve"> RB </w:t>
      </w:r>
      <w:r w:rsidR="00B9341D">
        <w:rPr>
          <w:color w:val="000000" w:themeColor="text1"/>
          <w:kern w:val="24"/>
          <w:sz w:val="20"/>
          <w:szCs w:val="20"/>
          <w:lang w:val="en-US"/>
        </w:rPr>
        <w:t xml:space="preserve">index </w:t>
      </w:r>
      <w:r w:rsidR="00B9341D" w:rsidRPr="00B9341D">
        <w:rPr>
          <w:color w:val="000000" w:themeColor="text1"/>
          <w:kern w:val="24"/>
          <w:sz w:val="20"/>
          <w:szCs w:val="20"/>
          <w:lang w:val="en-US"/>
        </w:rPr>
        <w:t xml:space="preserve">for the set of slots with index </w:t>
      </w:r>
      <w:r w:rsidR="00B9341D" w:rsidRPr="00B9341D">
        <w:rPr>
          <w:i/>
          <w:iCs/>
          <w:color w:val="000000" w:themeColor="text1"/>
          <w:kern w:val="24"/>
          <w:sz w:val="20"/>
          <w:szCs w:val="20"/>
          <w:lang w:val="en-US"/>
        </w:rPr>
        <w:t>j</w:t>
      </w:r>
      <w:r w:rsidR="00B9341D">
        <w:rPr>
          <w:i/>
          <w:iCs/>
          <w:color w:val="000000" w:themeColor="text1"/>
          <w:kern w:val="24"/>
          <w:sz w:val="20"/>
          <w:szCs w:val="20"/>
          <w:lang w:val="en-US"/>
        </w:rPr>
        <w:t>,</w:t>
      </w:r>
      <w:r w:rsidR="00B9341D" w:rsidRPr="00B9341D">
        <w:rPr>
          <w:rFonts w:ascii="Cambria Math" w:hAnsi="Cambria Math"/>
          <w:i/>
          <w:color w:val="000000" w:themeColor="text1"/>
          <w:kern w:val="24"/>
          <w:sz w:val="20"/>
          <w:szCs w:val="20"/>
          <w:lang w:val="en-US"/>
        </w:rPr>
        <w:t xml:space="preserve"> </w:t>
      </w:r>
      <m:oMath>
        <m:r>
          <w:rPr>
            <w:rFonts w:ascii="Cambria Math" w:hAnsi="Cambria Math"/>
            <w:color w:val="000000" w:themeColor="text1"/>
            <w:kern w:val="24"/>
            <w:sz w:val="20"/>
            <w:szCs w:val="20"/>
            <w:lang w:val="en-US"/>
          </w:rPr>
          <m:t>j</m:t>
        </m:r>
        <m:r>
          <m:rPr>
            <m:sty m:val="p"/>
          </m:rPr>
          <w:rPr>
            <w:rFonts w:ascii="Cambria Math" w:hAnsi="Cambria Math"/>
            <w:color w:val="000000" w:themeColor="text1"/>
            <w:kern w:val="24"/>
            <w:sz w:val="20"/>
            <w:szCs w:val="20"/>
          </w:rPr>
          <m:t>∈</m:t>
        </m:r>
        <m:d>
          <m:dPr>
            <m:begChr m:val="{"/>
            <m:endChr m:val="}"/>
            <m:ctrlPr>
              <w:rPr>
                <w:rFonts w:ascii="Cambria Math" w:eastAsia="Cambria Math" w:hAnsi="Cambria Math"/>
                <w:color w:val="000000" w:themeColor="text1"/>
                <w:kern w:val="24"/>
                <w:sz w:val="20"/>
                <w:szCs w:val="20"/>
              </w:rPr>
            </m:ctrlPr>
          </m:dPr>
          <m:e>
            <m:r>
              <m:rPr>
                <m:sty m:val="p"/>
              </m:rPr>
              <w:rPr>
                <w:rFonts w:ascii="Cambria Math" w:eastAsia="Cambria Math" w:hAnsi="Cambria Math"/>
                <w:color w:val="000000" w:themeColor="text1"/>
                <w:kern w:val="24"/>
                <w:sz w:val="20"/>
                <w:szCs w:val="20"/>
              </w:rPr>
              <m:t>0,1</m:t>
            </m:r>
          </m:e>
        </m:d>
      </m:oMath>
      <w:r w:rsidR="00B9341D" w:rsidRPr="00FB3BF3">
        <w:rPr>
          <w:color w:val="000000" w:themeColor="text1"/>
          <w:kern w:val="24"/>
          <w:lang w:val="en-US"/>
        </w:rPr>
        <w:t xml:space="preserve">.  </w:t>
      </w:r>
    </w:p>
    <w:p w14:paraId="34B91F6F" w14:textId="4B99039B" w:rsidR="00B9341D" w:rsidRPr="00B9341D" w:rsidRDefault="00B9341D" w:rsidP="00FC0A9D">
      <w:pPr>
        <w:pStyle w:val="af6"/>
        <w:numPr>
          <w:ilvl w:val="1"/>
          <w:numId w:val="22"/>
        </w:numPr>
        <w:spacing w:after="120" w:line="216" w:lineRule="auto"/>
        <w:jc w:val="both"/>
        <w:rPr>
          <w:color w:val="000000" w:themeColor="text1"/>
          <w:kern w:val="24"/>
          <w:lang w:val="en-US"/>
        </w:rPr>
      </w:pPr>
      <m:oMath>
        <m:r>
          <w:rPr>
            <w:rFonts w:ascii="Cambria Math" w:hAnsi="Cambria Math"/>
            <w:color w:val="000000" w:themeColor="text1"/>
            <w:kern w:val="24"/>
            <w:sz w:val="20"/>
            <w:szCs w:val="20"/>
          </w:rPr>
          <m:t>j=0</m:t>
        </m:r>
      </m:oMath>
      <w:r w:rsidRPr="00B9341D">
        <w:rPr>
          <w:iCs/>
          <w:color w:val="000000" w:themeColor="text1"/>
          <w:kern w:val="24"/>
          <w:sz w:val="20"/>
          <w:szCs w:val="20"/>
        </w:rPr>
        <w:t xml:space="preserve"> for non-SBFD slots/symbols - </w:t>
      </w:r>
      <m:oMath>
        <m:sSub>
          <m:sSubPr>
            <m:ctrlPr>
              <w:rPr>
                <w:rFonts w:ascii="Cambria Math" w:hAnsi="Cambria Math"/>
                <w:i/>
                <w:iCs/>
                <w:color w:val="000000" w:themeColor="text1"/>
                <w:kern w:val="24"/>
                <w:sz w:val="20"/>
                <w:szCs w:val="20"/>
              </w:rPr>
            </m:ctrlPr>
          </m:sSubPr>
          <m:e>
            <m:r>
              <w:rPr>
                <w:rFonts w:ascii="Cambria Math" w:hAnsi="Cambria Math"/>
                <w:color w:val="000000" w:themeColor="text1"/>
                <w:kern w:val="24"/>
                <w:sz w:val="20"/>
                <w:szCs w:val="20"/>
              </w:rPr>
              <m:t>RB</m:t>
            </m:r>
          </m:e>
          <m:sub>
            <m:r>
              <w:rPr>
                <w:rFonts w:ascii="Cambria Math" w:hAnsi="Cambria Math"/>
                <w:color w:val="000000" w:themeColor="text1"/>
                <w:kern w:val="24"/>
                <w:sz w:val="20"/>
                <w:szCs w:val="20"/>
              </w:rPr>
              <m:t>first</m:t>
            </m:r>
          </m:sub>
        </m:sSub>
        <m:d>
          <m:dPr>
            <m:ctrlPr>
              <w:rPr>
                <w:rFonts w:ascii="Cambria Math" w:hAnsi="Cambria Math"/>
                <w:i/>
                <w:iCs/>
                <w:color w:val="000000" w:themeColor="text1"/>
                <w:kern w:val="24"/>
                <w:sz w:val="20"/>
                <w:szCs w:val="20"/>
              </w:rPr>
            </m:ctrlPr>
          </m:dPr>
          <m:e>
            <m:r>
              <w:rPr>
                <w:rFonts w:ascii="Cambria Math" w:hAnsi="Cambria Math"/>
                <w:color w:val="000000" w:themeColor="text1"/>
                <w:kern w:val="24"/>
                <w:sz w:val="20"/>
                <w:szCs w:val="20"/>
              </w:rPr>
              <m:t>0</m:t>
            </m:r>
          </m:e>
        </m:d>
        <m:r>
          <w:rPr>
            <w:rFonts w:ascii="Cambria Math" w:hAnsi="Cambria Math"/>
            <w:color w:val="000000" w:themeColor="text1"/>
            <w:kern w:val="24"/>
            <w:sz w:val="20"/>
            <w:szCs w:val="20"/>
          </w:rPr>
          <m:t xml:space="preserve">= </m:t>
        </m:r>
      </m:oMath>
      <w:r w:rsidRPr="00655300">
        <w:rPr>
          <w:iCs/>
          <w:color w:val="000000" w:themeColor="text1"/>
          <w:kern w:val="24"/>
          <w:sz w:val="20"/>
          <w:szCs w:val="20"/>
        </w:rPr>
        <w:t>l</w:t>
      </w:r>
      <w:r>
        <w:rPr>
          <w:iCs/>
          <w:color w:val="000000" w:themeColor="text1"/>
          <w:kern w:val="24"/>
          <w:sz w:val="20"/>
          <w:szCs w:val="20"/>
        </w:rPr>
        <w:t xml:space="preserve">owest </w:t>
      </w:r>
      <w:r w:rsidRPr="00B9341D">
        <w:rPr>
          <w:iCs/>
          <w:color w:val="000000" w:themeColor="text1"/>
          <w:kern w:val="24"/>
          <w:sz w:val="20"/>
          <w:szCs w:val="20"/>
        </w:rPr>
        <w:t>RB</w:t>
      </w:r>
      <w:r>
        <w:rPr>
          <w:iCs/>
          <w:color w:val="000000" w:themeColor="text1"/>
          <w:kern w:val="24"/>
          <w:sz w:val="20"/>
          <w:szCs w:val="20"/>
        </w:rPr>
        <w:t xml:space="preserve"> index</w:t>
      </w:r>
      <w:r w:rsidRPr="00B9341D">
        <w:rPr>
          <w:iCs/>
          <w:color w:val="000000" w:themeColor="text1"/>
          <w:kern w:val="24"/>
          <w:sz w:val="20"/>
          <w:szCs w:val="20"/>
        </w:rPr>
        <w:t xml:space="preserve"> of UL BWP   </w:t>
      </w:r>
    </w:p>
    <w:p w14:paraId="610338EF" w14:textId="52215991" w:rsidR="00655300" w:rsidRPr="00655300" w:rsidRDefault="00B9341D" w:rsidP="00FC0A9D">
      <w:pPr>
        <w:pStyle w:val="af6"/>
        <w:numPr>
          <w:ilvl w:val="1"/>
          <w:numId w:val="22"/>
        </w:numPr>
        <w:spacing w:after="120" w:line="216" w:lineRule="auto"/>
        <w:jc w:val="both"/>
        <w:rPr>
          <w:color w:val="000000" w:themeColor="text1"/>
          <w:kern w:val="24"/>
          <w:sz w:val="28"/>
          <w:szCs w:val="28"/>
          <w:lang w:val="en-US"/>
        </w:rPr>
      </w:pPr>
      <m:oMath>
        <m:r>
          <w:rPr>
            <w:rFonts w:ascii="Cambria Math" w:hAnsi="Cambria Math"/>
            <w:color w:val="000000" w:themeColor="text1"/>
            <w:kern w:val="24"/>
            <w:sz w:val="20"/>
            <w:szCs w:val="20"/>
          </w:rPr>
          <m:t>j=1</m:t>
        </m:r>
      </m:oMath>
      <w:r w:rsidRPr="00B9341D">
        <w:rPr>
          <w:iCs/>
          <w:color w:val="000000" w:themeColor="text1"/>
          <w:kern w:val="24"/>
          <w:sz w:val="20"/>
          <w:szCs w:val="20"/>
        </w:rPr>
        <w:t xml:space="preserve"> for SBFD slots/symbols - </w:t>
      </w:r>
      <m:oMath>
        <m:sSub>
          <m:sSubPr>
            <m:ctrlPr>
              <w:rPr>
                <w:rFonts w:ascii="Cambria Math" w:hAnsi="Cambria Math"/>
                <w:i/>
                <w:iCs/>
                <w:color w:val="000000" w:themeColor="text1"/>
                <w:kern w:val="24"/>
                <w:sz w:val="20"/>
                <w:szCs w:val="20"/>
              </w:rPr>
            </m:ctrlPr>
          </m:sSubPr>
          <m:e>
            <m:r>
              <w:rPr>
                <w:rFonts w:ascii="Cambria Math" w:hAnsi="Cambria Math"/>
                <w:color w:val="000000" w:themeColor="text1"/>
                <w:kern w:val="24"/>
                <w:sz w:val="20"/>
                <w:szCs w:val="20"/>
              </w:rPr>
              <m:t>RB</m:t>
            </m:r>
          </m:e>
          <m:sub>
            <m:r>
              <w:rPr>
                <w:rFonts w:ascii="Cambria Math" w:hAnsi="Cambria Math"/>
                <w:color w:val="000000" w:themeColor="text1"/>
                <w:kern w:val="24"/>
                <w:sz w:val="20"/>
                <w:szCs w:val="20"/>
              </w:rPr>
              <m:t>first</m:t>
            </m:r>
          </m:sub>
        </m:sSub>
        <m:d>
          <m:dPr>
            <m:ctrlPr>
              <w:rPr>
                <w:rFonts w:ascii="Cambria Math" w:hAnsi="Cambria Math"/>
                <w:i/>
                <w:iCs/>
                <w:color w:val="000000" w:themeColor="text1"/>
                <w:kern w:val="24"/>
                <w:sz w:val="20"/>
                <w:szCs w:val="20"/>
              </w:rPr>
            </m:ctrlPr>
          </m:dPr>
          <m:e>
            <m:r>
              <w:rPr>
                <w:rFonts w:ascii="Cambria Math" w:hAnsi="Cambria Math"/>
                <w:color w:val="000000" w:themeColor="text1"/>
                <w:kern w:val="24"/>
                <w:sz w:val="20"/>
                <w:szCs w:val="20"/>
              </w:rPr>
              <m:t>1</m:t>
            </m:r>
          </m:e>
        </m:d>
        <m:r>
          <w:rPr>
            <w:rFonts w:ascii="Cambria Math" w:hAnsi="Cambria Math"/>
            <w:color w:val="000000" w:themeColor="text1"/>
            <w:kern w:val="24"/>
            <w:sz w:val="20"/>
            <w:szCs w:val="20"/>
          </w:rPr>
          <m:t xml:space="preserve">= </m:t>
        </m:r>
      </m:oMath>
      <w:r>
        <w:rPr>
          <w:iCs/>
          <w:color w:val="000000" w:themeColor="text1"/>
          <w:kern w:val="24"/>
          <w:sz w:val="20"/>
          <w:szCs w:val="20"/>
        </w:rPr>
        <w:t xml:space="preserve">lowest </w:t>
      </w:r>
      <w:r w:rsidRPr="00B9341D">
        <w:rPr>
          <w:iCs/>
          <w:color w:val="000000" w:themeColor="text1"/>
          <w:kern w:val="24"/>
          <w:sz w:val="20"/>
          <w:szCs w:val="20"/>
        </w:rPr>
        <w:t>RB</w:t>
      </w:r>
      <w:r>
        <w:rPr>
          <w:iCs/>
          <w:color w:val="000000" w:themeColor="text1"/>
          <w:kern w:val="24"/>
          <w:sz w:val="20"/>
          <w:szCs w:val="20"/>
        </w:rPr>
        <w:t xml:space="preserve"> index</w:t>
      </w:r>
      <w:r w:rsidRPr="00B9341D">
        <w:rPr>
          <w:iCs/>
          <w:color w:val="000000" w:themeColor="text1"/>
          <w:kern w:val="24"/>
          <w:sz w:val="20"/>
          <w:szCs w:val="20"/>
        </w:rPr>
        <w:t xml:space="preserve"> of UL usable PRBs</w:t>
      </w:r>
      <w:r w:rsidRPr="00B9341D">
        <w:rPr>
          <w:iCs/>
          <w:color w:val="000000" w:themeColor="text1"/>
          <w:kern w:val="24"/>
          <w:sz w:val="22"/>
          <w:szCs w:val="22"/>
        </w:rPr>
        <w:t xml:space="preserve"> </w:t>
      </w:r>
    </w:p>
    <w:p w14:paraId="081B65C8" w14:textId="2AB4739B" w:rsidR="00417B32" w:rsidRPr="003B2D25" w:rsidRDefault="00C31D14" w:rsidP="00FC0A9D">
      <w:pPr>
        <w:pStyle w:val="af6"/>
        <w:numPr>
          <w:ilvl w:val="0"/>
          <w:numId w:val="22"/>
        </w:numPr>
        <w:jc w:val="both"/>
        <w:rPr>
          <w:sz w:val="16"/>
          <w:szCs w:val="16"/>
        </w:rPr>
      </w:pPr>
      <w:r w:rsidRPr="00C31D14">
        <w:rPr>
          <w:i/>
          <w:iCs/>
          <w:color w:val="000000" w:themeColor="text1"/>
          <w:kern w:val="24"/>
          <w:sz w:val="20"/>
          <w:szCs w:val="20"/>
          <w:lang w:val="en-US"/>
        </w:rPr>
        <w:t>n</w:t>
      </w:r>
      <w:r w:rsidRPr="00C31D14">
        <w:rPr>
          <w:color w:val="000000" w:themeColor="text1"/>
          <w:kern w:val="24"/>
          <w:sz w:val="20"/>
          <w:szCs w:val="20"/>
          <w:lang w:val="en-US"/>
        </w:rPr>
        <w:t xml:space="preserve"> is the current slot number within a system radio frame</w:t>
      </w:r>
    </w:p>
    <w:p w14:paraId="70938D34" w14:textId="77777777" w:rsidR="003B2D25" w:rsidRPr="003B2D25" w:rsidRDefault="003B2D25" w:rsidP="003B2D25">
      <w:pPr>
        <w:pStyle w:val="af6"/>
        <w:jc w:val="both"/>
        <w:rPr>
          <w:sz w:val="16"/>
          <w:szCs w:val="16"/>
        </w:rPr>
      </w:pPr>
    </w:p>
    <w:p w14:paraId="02A14868" w14:textId="33588AF9" w:rsidR="00417B32" w:rsidRDefault="00C8759E" w:rsidP="00FC0A9D">
      <w:pPr>
        <w:pStyle w:val="af6"/>
        <w:numPr>
          <w:ilvl w:val="0"/>
          <w:numId w:val="9"/>
        </w:numPr>
        <w:jc w:val="both"/>
        <w:rPr>
          <w:b/>
          <w:bCs/>
          <w:i/>
          <w:iCs/>
          <w:sz w:val="20"/>
          <w:szCs w:val="20"/>
          <w:lang w:val="en-GB"/>
        </w:rPr>
      </w:pPr>
      <w:bookmarkStart w:id="13" w:name="_Ref159007941"/>
      <w:r>
        <w:rPr>
          <w:b/>
          <w:bCs/>
          <w:i/>
          <w:iCs/>
          <w:sz w:val="20"/>
          <w:szCs w:val="20"/>
          <w:lang w:val="en-GB"/>
        </w:rPr>
        <w:t xml:space="preserve">For intra-slot FH on SBFD slot </w:t>
      </w:r>
      <w:r w:rsidR="00417B32">
        <w:rPr>
          <w:b/>
          <w:bCs/>
          <w:i/>
          <w:iCs/>
          <w:sz w:val="20"/>
          <w:szCs w:val="20"/>
          <w:lang w:val="en-GB"/>
        </w:rPr>
        <w:t>update FH hopping calculation as follows.</w:t>
      </w:r>
    </w:p>
    <w:p w14:paraId="3A69767B" w14:textId="37B798F3" w:rsidR="00C8759E" w:rsidRDefault="00417B32" w:rsidP="00FC0A9D">
      <w:pPr>
        <w:pStyle w:val="af6"/>
        <w:numPr>
          <w:ilvl w:val="0"/>
          <w:numId w:val="24"/>
        </w:numPr>
        <w:jc w:val="both"/>
        <w:rPr>
          <w:b/>
          <w:bCs/>
          <w:i/>
          <w:iCs/>
          <w:sz w:val="20"/>
          <w:szCs w:val="20"/>
          <w:lang w:val="en-GB"/>
        </w:rPr>
      </w:pPr>
      <w:r>
        <w:rPr>
          <w:b/>
          <w:bCs/>
          <w:i/>
          <w:iCs/>
          <w:sz w:val="20"/>
          <w:szCs w:val="20"/>
          <w:lang w:val="en-GB"/>
        </w:rPr>
        <w:t>S</w:t>
      </w:r>
      <w:r w:rsidR="00C8759E">
        <w:rPr>
          <w:b/>
          <w:bCs/>
          <w:i/>
          <w:iCs/>
          <w:sz w:val="20"/>
          <w:szCs w:val="20"/>
          <w:lang w:val="en-GB"/>
        </w:rPr>
        <w:t>et number of RBs used in modulo expression to total number of symbols in UL usable PRBs, when determining position of second frequency hop</w:t>
      </w:r>
      <w:r w:rsidR="005833DB" w:rsidRPr="008A290F">
        <w:rPr>
          <w:b/>
          <w:bCs/>
          <w:i/>
          <w:iCs/>
          <w:sz w:val="20"/>
          <w:szCs w:val="20"/>
          <w:lang w:val="en-GB"/>
        </w:rPr>
        <w:t>.</w:t>
      </w:r>
    </w:p>
    <w:p w14:paraId="503F3118" w14:textId="77777777" w:rsidR="00C8759E" w:rsidRDefault="00C8759E" w:rsidP="00FC0A9D">
      <w:pPr>
        <w:pStyle w:val="af6"/>
        <w:numPr>
          <w:ilvl w:val="0"/>
          <w:numId w:val="9"/>
        </w:numPr>
        <w:jc w:val="both"/>
        <w:rPr>
          <w:b/>
          <w:bCs/>
          <w:i/>
          <w:iCs/>
          <w:sz w:val="20"/>
          <w:szCs w:val="20"/>
          <w:lang w:val="en-GB"/>
        </w:rPr>
      </w:pPr>
      <w:r>
        <w:rPr>
          <w:b/>
          <w:bCs/>
          <w:i/>
          <w:iCs/>
          <w:sz w:val="20"/>
          <w:szCs w:val="20"/>
          <w:lang w:val="en-GB"/>
        </w:rPr>
        <w:t>For inter-slot frequency hopping update FH hopping calculation as follows.</w:t>
      </w:r>
    </w:p>
    <w:p w14:paraId="75BF9991" w14:textId="02E8F86D" w:rsidR="00C8759E" w:rsidRPr="00C8759E" w:rsidRDefault="00BC2F7D" w:rsidP="00FC0A9D">
      <w:pPr>
        <w:pStyle w:val="af6"/>
        <w:numPr>
          <w:ilvl w:val="0"/>
          <w:numId w:val="23"/>
        </w:numPr>
        <w:jc w:val="both"/>
        <w:rPr>
          <w:b/>
          <w:bCs/>
          <w:i/>
          <w:iCs/>
          <w:sz w:val="20"/>
          <w:szCs w:val="20"/>
          <w:lang w:val="en-GB"/>
        </w:rPr>
      </w:pPr>
      <w:r>
        <w:rPr>
          <w:b/>
          <w:bCs/>
          <w:i/>
          <w:iCs/>
          <w:sz w:val="20"/>
          <w:szCs w:val="20"/>
          <w:lang w:val="en-GB"/>
        </w:rPr>
        <w:t>On SBFD slots s</w:t>
      </w:r>
      <w:r w:rsidR="00C8759E" w:rsidRPr="00C8759E">
        <w:rPr>
          <w:b/>
          <w:bCs/>
          <w:i/>
          <w:iCs/>
          <w:sz w:val="20"/>
          <w:szCs w:val="20"/>
          <w:lang w:val="en-GB"/>
        </w:rPr>
        <w:t>et the number of RBs used in modulo expression to the total number of RBs of UL usable PRB</w:t>
      </w:r>
      <w:r w:rsidR="00C8759E">
        <w:rPr>
          <w:b/>
          <w:bCs/>
          <w:i/>
          <w:iCs/>
          <w:sz w:val="20"/>
          <w:szCs w:val="20"/>
          <w:lang w:val="en-GB"/>
        </w:rPr>
        <w:t xml:space="preserve">, when </w:t>
      </w:r>
      <w:r w:rsidR="00C8759E" w:rsidRPr="00C8759E">
        <w:rPr>
          <w:b/>
          <w:bCs/>
          <w:i/>
          <w:iCs/>
          <w:sz w:val="20"/>
          <w:szCs w:val="20"/>
          <w:lang w:val="en-GB"/>
        </w:rPr>
        <w:t>determining position of the second</w:t>
      </w:r>
      <w:r w:rsidR="00C8759E">
        <w:rPr>
          <w:b/>
          <w:bCs/>
          <w:i/>
          <w:iCs/>
          <w:sz w:val="20"/>
          <w:szCs w:val="20"/>
          <w:lang w:val="en-GB"/>
        </w:rPr>
        <w:t xml:space="preserve"> frequency</w:t>
      </w:r>
      <w:r w:rsidR="00C8759E" w:rsidRPr="00C8759E">
        <w:rPr>
          <w:b/>
          <w:bCs/>
          <w:i/>
          <w:iCs/>
          <w:sz w:val="20"/>
          <w:szCs w:val="20"/>
          <w:lang w:val="en-GB"/>
        </w:rPr>
        <w:t xml:space="preserve"> hop</w:t>
      </w:r>
    </w:p>
    <w:p w14:paraId="62BD1CC0" w14:textId="6DF92928" w:rsidR="005833DB" w:rsidRPr="00BC2F7D" w:rsidRDefault="00C8759E" w:rsidP="00FC0A9D">
      <w:pPr>
        <w:pStyle w:val="af6"/>
        <w:numPr>
          <w:ilvl w:val="0"/>
          <w:numId w:val="23"/>
        </w:numPr>
        <w:jc w:val="both"/>
        <w:rPr>
          <w:b/>
          <w:bCs/>
          <w:i/>
          <w:iCs/>
          <w:sz w:val="20"/>
          <w:szCs w:val="20"/>
          <w:lang w:val="en-GB"/>
        </w:rPr>
      </w:pPr>
      <w:r w:rsidRPr="00C8759E">
        <w:rPr>
          <w:b/>
          <w:bCs/>
          <w:i/>
          <w:iCs/>
          <w:sz w:val="20"/>
          <w:szCs w:val="20"/>
          <w:lang w:val="en-GB"/>
        </w:rPr>
        <w:t>Includ</w:t>
      </w:r>
      <w:r w:rsidR="001A0E0A">
        <w:rPr>
          <w:b/>
          <w:bCs/>
          <w:i/>
          <w:iCs/>
          <w:sz w:val="20"/>
          <w:szCs w:val="20"/>
          <w:lang w:val="en-GB"/>
        </w:rPr>
        <w:t>e</w:t>
      </w:r>
      <w:r w:rsidRPr="00C8759E">
        <w:rPr>
          <w:b/>
          <w:bCs/>
          <w:i/>
          <w:iCs/>
          <w:sz w:val="20"/>
          <w:szCs w:val="20"/>
          <w:lang w:val="en-GB"/>
        </w:rPr>
        <w:t xml:space="preserve"> an offset which points to the lowest RB index of the corresponding slot type</w:t>
      </w:r>
      <w:r w:rsidR="00BC2F7D">
        <w:rPr>
          <w:b/>
          <w:bCs/>
          <w:i/>
          <w:iCs/>
          <w:sz w:val="20"/>
          <w:szCs w:val="20"/>
          <w:lang w:val="en-GB"/>
        </w:rPr>
        <w:t xml:space="preserve">. </w:t>
      </w:r>
      <w:r w:rsidRPr="00C8759E">
        <w:rPr>
          <w:b/>
          <w:bCs/>
          <w:i/>
          <w:iCs/>
          <w:sz w:val="20"/>
          <w:szCs w:val="20"/>
          <w:lang w:val="en-GB"/>
        </w:rPr>
        <w:t xml:space="preserve"> </w:t>
      </w:r>
    </w:p>
    <w:bookmarkEnd w:id="13"/>
    <w:p w14:paraId="7A186932" w14:textId="6EA44A64" w:rsidR="00460996" w:rsidRPr="008A290F" w:rsidRDefault="00460996" w:rsidP="00284153">
      <w:pPr>
        <w:pStyle w:val="3"/>
      </w:pPr>
      <w:r w:rsidRPr="008A290F">
        <w:t>SBFD Operation in SSB Symbols</w:t>
      </w:r>
      <w:r w:rsidR="00035768">
        <w:t xml:space="preserve"> </w:t>
      </w:r>
    </w:p>
    <w:tbl>
      <w:tblPr>
        <w:tblStyle w:val="afb"/>
        <w:tblW w:w="0" w:type="auto"/>
        <w:tblInd w:w="250" w:type="dxa"/>
        <w:tblLook w:val="04A0" w:firstRow="1" w:lastRow="0" w:firstColumn="1" w:lastColumn="0" w:noHBand="0" w:noVBand="1"/>
      </w:tblPr>
      <w:tblGrid>
        <w:gridCol w:w="9379"/>
      </w:tblGrid>
      <w:tr w:rsidR="0022137C" w:rsidRPr="008A290F" w14:paraId="15C9071D" w14:textId="77777777" w:rsidTr="00117004">
        <w:tc>
          <w:tcPr>
            <w:tcW w:w="9379" w:type="dxa"/>
          </w:tcPr>
          <w:p w14:paraId="32307C00" w14:textId="77777777" w:rsidR="0022137C" w:rsidRPr="00D50E68" w:rsidRDefault="0022137C" w:rsidP="0022137C">
            <w:pPr>
              <w:spacing w:after="0"/>
              <w:rPr>
                <w:b/>
                <w:bCs/>
                <w:lang w:eastAsia="ko-KR"/>
              </w:rPr>
            </w:pPr>
            <w:r w:rsidRPr="00D50E68">
              <w:rPr>
                <w:b/>
                <w:bCs/>
                <w:highlight w:val="green"/>
                <w:lang w:eastAsia="ko-KR"/>
              </w:rPr>
              <w:t>Agreement</w:t>
            </w:r>
          </w:p>
          <w:p w14:paraId="0911DD27" w14:textId="0CFC13A1" w:rsidR="0022137C" w:rsidRPr="00741747" w:rsidRDefault="0022137C" w:rsidP="0022137C">
            <w:pPr>
              <w:spacing w:after="0"/>
              <w:rPr>
                <w:rFonts w:eastAsia="Malgun Gothic"/>
              </w:rPr>
            </w:pPr>
            <w:r w:rsidRPr="00741747">
              <w:rPr>
                <w:rFonts w:eastAsiaTheme="minorEastAsia"/>
                <w:lang w:eastAsia="zh-CN"/>
              </w:rPr>
              <w:t>R</w:t>
            </w:r>
            <w:r w:rsidRPr="00741747">
              <w:t>e-use the existing collision handling principles for NR TDD that SSB is prioritized over configured UL transmission</w:t>
            </w:r>
            <w:r w:rsidRPr="00741747">
              <w:rPr>
                <w:rFonts w:eastAsiaTheme="minorEastAsia"/>
                <w:lang w:eastAsia="zh-CN"/>
              </w:rPr>
              <w:t xml:space="preserve"> and </w:t>
            </w:r>
            <w:r w:rsidRPr="00741747">
              <w:rPr>
                <w:rFonts w:eastAsia="MS PGothic"/>
                <w:color w:val="000000"/>
                <w:lang w:eastAsia="zh-CN"/>
              </w:rPr>
              <w:t>dynamically scheduled UL transmission</w:t>
            </w:r>
            <w:r>
              <w:rPr>
                <w:rFonts w:eastAsia="MS PGothic"/>
                <w:color w:val="000000"/>
                <w:lang w:eastAsia="zh-CN"/>
              </w:rPr>
              <w:t>.</w:t>
            </w:r>
          </w:p>
          <w:p w14:paraId="37B0D430" w14:textId="11232982" w:rsidR="0022137C" w:rsidRPr="0022137C" w:rsidRDefault="0022137C" w:rsidP="00FC0A9D">
            <w:pPr>
              <w:numPr>
                <w:ilvl w:val="0"/>
                <w:numId w:val="19"/>
              </w:numPr>
              <w:overflowPunct/>
              <w:autoSpaceDE/>
              <w:autoSpaceDN/>
              <w:adjustRightInd/>
              <w:spacing w:after="0"/>
              <w:rPr>
                <w:rFonts w:eastAsia="Malgun Gothic"/>
              </w:rPr>
            </w:pPr>
            <w:r w:rsidRPr="00741747">
              <w:rPr>
                <w:rFonts w:eastAsiaTheme="minorEastAsia" w:hint="eastAsia"/>
                <w:lang w:eastAsia="zh-CN"/>
              </w:rPr>
              <w:t>FFS whether a slot consisting of SSB symbols is considered as a full DL slot</w:t>
            </w:r>
            <w:r w:rsidRPr="005B3859">
              <w:rPr>
                <w:rFonts w:eastAsiaTheme="minorEastAsia" w:hint="eastAsia"/>
                <w:lang w:eastAsia="zh-CN"/>
              </w:rPr>
              <w:t xml:space="preserve"> or SSB symbols configured with SBFD subbands are SBFD symbols and only DL receptions within DL usable PRBs are allowed for SBFD aware UEs.</w:t>
            </w:r>
          </w:p>
        </w:tc>
      </w:tr>
    </w:tbl>
    <w:p w14:paraId="06A56861" w14:textId="2D7B38D3" w:rsidR="004E2A84" w:rsidRDefault="008A7E69" w:rsidP="008A7E69">
      <w:pPr>
        <w:spacing w:before="120" w:after="120"/>
        <w:jc w:val="both"/>
        <w:rPr>
          <w:rFonts w:eastAsiaTheme="minorEastAsia"/>
          <w:lang w:eastAsia="zh-CN"/>
        </w:rPr>
      </w:pPr>
      <w:r>
        <w:t xml:space="preserve">In RAN1#117, RAN1 agreed to prioritize SSB measurement </w:t>
      </w:r>
      <w:r w:rsidR="00DC2135">
        <w:t>over</w:t>
      </w:r>
      <w:r>
        <w:t xml:space="preserve"> </w:t>
      </w:r>
      <w:r w:rsidRPr="00741747">
        <w:t>configured UL transmission</w:t>
      </w:r>
      <w:r w:rsidRPr="00741747">
        <w:rPr>
          <w:rFonts w:eastAsiaTheme="minorEastAsia"/>
          <w:lang w:eastAsia="zh-CN"/>
        </w:rPr>
        <w:t xml:space="preserve"> and </w:t>
      </w:r>
      <w:r w:rsidRPr="00741747">
        <w:rPr>
          <w:rFonts w:eastAsia="MS PGothic"/>
          <w:color w:val="000000"/>
          <w:lang w:eastAsia="zh-CN"/>
        </w:rPr>
        <w:t>dynamically scheduled UL transmission</w:t>
      </w:r>
      <w:r>
        <w:rPr>
          <w:rFonts w:eastAsia="MS PGothic"/>
          <w:color w:val="000000"/>
          <w:lang w:eastAsia="zh-CN"/>
        </w:rPr>
        <w:t xml:space="preserve"> in SBFD symbols. I</w:t>
      </w:r>
      <w:r w:rsidR="008D5330">
        <w:rPr>
          <w:rFonts w:eastAsia="MS PGothic"/>
          <w:color w:val="000000"/>
          <w:lang w:eastAsia="zh-CN"/>
        </w:rPr>
        <w:t>t</w:t>
      </w:r>
      <w:r>
        <w:rPr>
          <w:rFonts w:eastAsia="MS PGothic"/>
          <w:color w:val="000000"/>
          <w:lang w:eastAsia="zh-CN"/>
        </w:rPr>
        <w:t xml:space="preserve"> needs to be determined whether a slot consisting </w:t>
      </w:r>
      <w:r w:rsidRPr="00741747">
        <w:rPr>
          <w:rFonts w:eastAsiaTheme="minorEastAsia" w:hint="eastAsia"/>
          <w:lang w:eastAsia="zh-CN"/>
        </w:rPr>
        <w:t>of SSB symbols is considered as a full DL slot</w:t>
      </w:r>
      <w:r>
        <w:rPr>
          <w:rFonts w:eastAsiaTheme="minorEastAsia"/>
          <w:lang w:eastAsia="zh-CN"/>
        </w:rPr>
        <w:t xml:space="preserve"> or not. </w:t>
      </w:r>
      <w:r w:rsidR="00422FA2">
        <w:rPr>
          <w:rFonts w:eastAsiaTheme="minorEastAsia"/>
          <w:lang w:eastAsia="zh-CN"/>
        </w:rPr>
        <w:t xml:space="preserve">Based on the above agreement, UL resources of SBFD slots containing SSBs will be wasted if not converted to full DL slots. On each such slot, as high as 20 MHz of </w:t>
      </w:r>
      <w:r w:rsidR="004E2A84">
        <w:rPr>
          <w:rFonts w:eastAsiaTheme="minorEastAsia"/>
          <w:lang w:eastAsia="zh-CN"/>
        </w:rPr>
        <w:t xml:space="preserve">frequency </w:t>
      </w:r>
      <w:r w:rsidR="00422FA2">
        <w:rPr>
          <w:rFonts w:eastAsiaTheme="minorEastAsia"/>
          <w:lang w:eastAsia="zh-CN"/>
        </w:rPr>
        <w:t xml:space="preserve">resources could be wasted. For configuration with high number of SSBs within an SSB burst, the resource wastage may be significant. </w:t>
      </w:r>
    </w:p>
    <w:p w14:paraId="06F0B520" w14:textId="11F5400F" w:rsidR="000566EE" w:rsidRDefault="004E2A84" w:rsidP="008A7E69">
      <w:pPr>
        <w:spacing w:before="120" w:after="120"/>
        <w:jc w:val="both"/>
        <w:rPr>
          <w:rFonts w:eastAsiaTheme="minorEastAsia"/>
          <w:lang w:eastAsia="zh-CN"/>
        </w:rPr>
      </w:pPr>
      <w:r>
        <w:rPr>
          <w:rFonts w:eastAsiaTheme="minorEastAsia"/>
          <w:lang w:eastAsia="zh-CN"/>
        </w:rPr>
        <w:t>Therefore, to avoid any waste of frequency resources</w:t>
      </w:r>
      <w:r w:rsidR="00DC2135">
        <w:rPr>
          <w:rFonts w:eastAsiaTheme="minorEastAsia"/>
          <w:lang w:eastAsia="zh-CN"/>
        </w:rPr>
        <w:t xml:space="preserve">, </w:t>
      </w:r>
      <w:r>
        <w:rPr>
          <w:rFonts w:eastAsiaTheme="minorEastAsia"/>
          <w:lang w:eastAsia="zh-CN"/>
        </w:rPr>
        <w:t xml:space="preserve">SBFD slots consisting of SSBs can be considered as full DL slots. </w:t>
      </w:r>
      <w:r w:rsidR="00363C2E">
        <w:rPr>
          <w:rFonts w:eastAsiaTheme="minorEastAsia"/>
          <w:lang w:eastAsia="zh-CN"/>
        </w:rPr>
        <w:t>The</w:t>
      </w:r>
      <w:r>
        <w:rPr>
          <w:rFonts w:eastAsiaTheme="minorEastAsia"/>
          <w:lang w:eastAsia="zh-CN"/>
        </w:rPr>
        <w:t xml:space="preserve"> UE can use the combination of TDD configuration, SBFD configuration and SSB configuration to determine which slots within </w:t>
      </w:r>
      <w:r w:rsidR="00DC2135">
        <w:rPr>
          <w:rFonts w:eastAsiaTheme="minorEastAsia"/>
          <w:lang w:eastAsia="zh-CN"/>
        </w:rPr>
        <w:t xml:space="preserve">a TDD </w:t>
      </w:r>
      <w:r>
        <w:rPr>
          <w:rFonts w:eastAsiaTheme="minorEastAsia"/>
          <w:lang w:eastAsia="zh-CN"/>
        </w:rPr>
        <w:t>pattern are actual SBFD slots.</w:t>
      </w:r>
      <w:r w:rsidR="00363C2E">
        <w:rPr>
          <w:rFonts w:eastAsiaTheme="minorEastAsia"/>
          <w:lang w:eastAsia="zh-CN"/>
        </w:rPr>
        <w:t xml:space="preserve"> </w:t>
      </w:r>
      <w:r w:rsidR="00CE79FE">
        <w:rPr>
          <w:rFonts w:eastAsiaTheme="minorEastAsia"/>
          <w:lang w:eastAsia="zh-CN"/>
        </w:rPr>
        <w:t>Following</w:t>
      </w:r>
      <w:r w:rsidR="00363C2E">
        <w:rPr>
          <w:rFonts w:eastAsiaTheme="minorEastAsia"/>
          <w:lang w:eastAsia="zh-CN"/>
        </w:rPr>
        <w:t xml:space="preserve"> the existing configuration, </w:t>
      </w:r>
      <w:r>
        <w:rPr>
          <w:rFonts w:eastAsiaTheme="minorEastAsia"/>
          <w:lang w:eastAsia="zh-CN"/>
        </w:rPr>
        <w:t>SSBs may occur on non-contiguous slots (</w:t>
      </w:r>
      <w:r w:rsidR="00363C2E">
        <w:rPr>
          <w:rFonts w:eastAsiaTheme="minorEastAsia"/>
          <w:lang w:eastAsia="zh-CN"/>
        </w:rPr>
        <w:t>based on</w:t>
      </w:r>
      <w:r>
        <w:rPr>
          <w:rFonts w:eastAsiaTheme="minorEastAsia"/>
          <w:lang w:eastAsia="zh-CN"/>
        </w:rPr>
        <w:t xml:space="preserve"> the higher layer parameter</w:t>
      </w:r>
      <w:r w:rsidRPr="004E2A84">
        <w:t xml:space="preserve"> </w:t>
      </w:r>
      <w:proofErr w:type="spellStart"/>
      <w:r w:rsidRPr="004E2A84">
        <w:rPr>
          <w:rFonts w:eastAsiaTheme="minorEastAsia"/>
          <w:i/>
          <w:iCs/>
          <w:lang w:eastAsia="zh-CN"/>
        </w:rPr>
        <w:t>ssb-PositionsInBurst</w:t>
      </w:r>
      <w:proofErr w:type="spellEnd"/>
      <w:r>
        <w:rPr>
          <w:rFonts w:eastAsiaTheme="minorEastAsia"/>
          <w:lang w:eastAsia="zh-CN"/>
        </w:rPr>
        <w:t xml:space="preserve">). </w:t>
      </w:r>
      <w:r w:rsidR="006054D8">
        <w:rPr>
          <w:rFonts w:eastAsiaTheme="minorEastAsia"/>
          <w:lang w:eastAsia="zh-CN"/>
        </w:rPr>
        <w:t>However, RAN1 agreed in previous meetings that (</w:t>
      </w:r>
      <w:proofErr w:type="spellStart"/>
      <w:r w:rsidR="006054D8">
        <w:rPr>
          <w:rFonts w:eastAsiaTheme="minorEastAsia"/>
          <w:lang w:eastAsia="zh-CN"/>
        </w:rPr>
        <w:t>i</w:t>
      </w:r>
      <w:proofErr w:type="spellEnd"/>
      <w:r w:rsidR="006054D8">
        <w:rPr>
          <w:rFonts w:eastAsiaTheme="minorEastAsia"/>
          <w:lang w:eastAsia="zh-CN"/>
        </w:rPr>
        <w:t xml:space="preserve">) </w:t>
      </w:r>
      <w:r w:rsidR="006054D8" w:rsidRPr="006054D8">
        <w:rPr>
          <w:rFonts w:eastAsiaTheme="minorEastAsia"/>
          <w:lang w:eastAsia="zh-CN"/>
        </w:rPr>
        <w:t>SBFD symbols are consecutive within a TDD pattern</w:t>
      </w:r>
      <w:r w:rsidR="006054D8">
        <w:rPr>
          <w:rFonts w:eastAsiaTheme="minorEastAsia"/>
          <w:lang w:eastAsia="zh-CN"/>
        </w:rPr>
        <w:t xml:space="preserve"> (ii) t</w:t>
      </w:r>
      <w:r w:rsidR="006054D8" w:rsidRPr="006054D8">
        <w:rPr>
          <w:rFonts w:eastAsiaTheme="minorEastAsia"/>
          <w:lang w:eastAsia="zh-CN"/>
        </w:rPr>
        <w:t>here is a maximum of  2 transition points between SBFD symbols and non-SBFD symbols within a TDD pattern</w:t>
      </w:r>
      <w:r w:rsidR="000566EE">
        <w:rPr>
          <w:rFonts w:eastAsiaTheme="minorEastAsia"/>
          <w:lang w:eastAsia="zh-CN"/>
        </w:rPr>
        <w:t xml:space="preserve">. </w:t>
      </w:r>
    </w:p>
    <w:p w14:paraId="74E5715A" w14:textId="18F21952" w:rsidR="000566EE" w:rsidRDefault="000566EE" w:rsidP="008A7E69">
      <w:pPr>
        <w:spacing w:before="120" w:after="120"/>
        <w:jc w:val="both"/>
        <w:rPr>
          <w:rFonts w:eastAsiaTheme="minorEastAsia"/>
          <w:lang w:eastAsia="zh-CN"/>
        </w:rPr>
      </w:pPr>
      <w:r>
        <w:rPr>
          <w:rFonts w:eastAsiaTheme="minorEastAsia"/>
          <w:lang w:eastAsia="zh-CN"/>
        </w:rPr>
        <w:t>It must be ensured that the above rules are not violated when SBFD slots consisting of SSBs are converted to full DL slots. As such, within a half radio frame containing S</w:t>
      </w:r>
      <w:r w:rsidR="00564BE3">
        <w:rPr>
          <w:rFonts w:eastAsiaTheme="minorEastAsia"/>
          <w:lang w:eastAsia="zh-CN"/>
        </w:rPr>
        <w:t>S</w:t>
      </w:r>
      <w:r>
        <w:rPr>
          <w:rFonts w:eastAsiaTheme="minorEastAsia"/>
          <w:lang w:eastAsia="zh-CN"/>
        </w:rPr>
        <w:t xml:space="preserve">Bs, the UE can determine a “reference slot” as the slot on which the last SSB within </w:t>
      </w:r>
      <w:r w:rsidR="008D5330">
        <w:rPr>
          <w:rFonts w:eastAsiaTheme="minorEastAsia"/>
          <w:lang w:eastAsia="zh-CN"/>
        </w:rPr>
        <w:t>an</w:t>
      </w:r>
      <w:r>
        <w:rPr>
          <w:rFonts w:eastAsiaTheme="minorEastAsia"/>
          <w:lang w:eastAsia="zh-CN"/>
        </w:rPr>
        <w:t xml:space="preserve"> SSB burst occurs, as shown in </w:t>
      </w:r>
      <w:r w:rsidR="00DC2135">
        <w:rPr>
          <w:rFonts w:eastAsiaTheme="minorEastAsia"/>
          <w:lang w:eastAsia="zh-CN"/>
        </w:rPr>
        <w:fldChar w:fldCharType="begin"/>
      </w:r>
      <w:r w:rsidR="00DC2135">
        <w:rPr>
          <w:rFonts w:eastAsiaTheme="minorEastAsia"/>
          <w:lang w:eastAsia="zh-CN"/>
        </w:rPr>
        <w:instrText xml:space="preserve"> REF _Ref173962718 \h </w:instrText>
      </w:r>
      <w:r w:rsidR="00DC2135">
        <w:rPr>
          <w:rFonts w:eastAsiaTheme="minorEastAsia"/>
          <w:lang w:eastAsia="zh-CN"/>
        </w:rPr>
      </w:r>
      <w:r w:rsidR="00DC2135">
        <w:rPr>
          <w:rFonts w:eastAsiaTheme="minorEastAsia"/>
          <w:lang w:eastAsia="zh-CN"/>
        </w:rPr>
        <w:fldChar w:fldCharType="separate"/>
      </w:r>
      <w:r w:rsidR="00D77008" w:rsidRPr="008A290F">
        <w:rPr>
          <w:bdr w:val="none" w:sz="0" w:space="0" w:color="auto" w:frame="1"/>
        </w:rPr>
        <w:t xml:space="preserve">Figure </w:t>
      </w:r>
      <w:r w:rsidR="00D77008">
        <w:rPr>
          <w:noProof/>
        </w:rPr>
        <w:t>3</w:t>
      </w:r>
      <w:r w:rsidR="00DC2135">
        <w:rPr>
          <w:rFonts w:eastAsiaTheme="minorEastAsia"/>
          <w:lang w:eastAsia="zh-CN"/>
        </w:rPr>
        <w:fldChar w:fldCharType="end"/>
      </w:r>
      <w:r>
        <w:rPr>
          <w:rFonts w:eastAsiaTheme="minorEastAsia"/>
          <w:lang w:eastAsia="zh-CN"/>
        </w:rPr>
        <w:t xml:space="preserve">. </w:t>
      </w:r>
      <w:r w:rsidR="008D5330">
        <w:rPr>
          <w:rFonts w:eastAsiaTheme="minorEastAsia"/>
          <w:lang w:eastAsia="zh-CN"/>
        </w:rPr>
        <w:t>A</w:t>
      </w:r>
      <w:r>
        <w:rPr>
          <w:rFonts w:eastAsiaTheme="minorEastAsia"/>
          <w:lang w:eastAsia="zh-CN"/>
        </w:rPr>
        <w:t xml:space="preserve">ll SBFD slots </w:t>
      </w:r>
      <w:r w:rsidR="00564BE3">
        <w:rPr>
          <w:rFonts w:eastAsiaTheme="minorEastAsia"/>
          <w:lang w:eastAsia="zh-CN"/>
        </w:rPr>
        <w:t>before and including</w:t>
      </w:r>
      <w:r>
        <w:rPr>
          <w:rFonts w:eastAsiaTheme="minorEastAsia"/>
          <w:lang w:eastAsia="zh-CN"/>
        </w:rPr>
        <w:t xml:space="preserve"> the given reference slot</w:t>
      </w:r>
      <w:r w:rsidR="008D5330">
        <w:rPr>
          <w:rFonts w:eastAsiaTheme="minorEastAsia"/>
          <w:lang w:eastAsia="zh-CN"/>
        </w:rPr>
        <w:t xml:space="preserve"> can be considered</w:t>
      </w:r>
      <w:r>
        <w:rPr>
          <w:rFonts w:eastAsiaTheme="minorEastAsia"/>
          <w:lang w:eastAsia="zh-CN"/>
        </w:rPr>
        <w:t xml:space="preserve"> as full DL slots. Since the reference slot contains the last SSB occurrence in </w:t>
      </w:r>
      <w:r w:rsidR="008D5330">
        <w:rPr>
          <w:rFonts w:eastAsiaTheme="minorEastAsia"/>
          <w:lang w:eastAsia="zh-CN"/>
        </w:rPr>
        <w:t>a</w:t>
      </w:r>
      <w:r>
        <w:rPr>
          <w:rFonts w:eastAsiaTheme="minorEastAsia"/>
          <w:lang w:eastAsia="zh-CN"/>
        </w:rPr>
        <w:t xml:space="preserve"> half frame, all SBFD slots after the reference slot are guaranteed not to contain any SSBs. </w:t>
      </w:r>
      <w:r w:rsidR="008D5330">
        <w:rPr>
          <w:rFonts w:eastAsiaTheme="minorEastAsia"/>
          <w:lang w:eastAsia="zh-CN"/>
        </w:rPr>
        <w:t>T</w:t>
      </w:r>
      <w:r>
        <w:rPr>
          <w:rFonts w:eastAsiaTheme="minorEastAsia"/>
          <w:lang w:eastAsia="zh-CN"/>
        </w:rPr>
        <w:t xml:space="preserve">hese SBFD slots </w:t>
      </w:r>
      <w:r w:rsidR="008D5330">
        <w:rPr>
          <w:rFonts w:eastAsiaTheme="minorEastAsia"/>
          <w:lang w:eastAsia="zh-CN"/>
        </w:rPr>
        <w:t>are not converted to</w:t>
      </w:r>
      <w:r>
        <w:rPr>
          <w:rFonts w:eastAsiaTheme="minorEastAsia"/>
          <w:lang w:eastAsia="zh-CN"/>
        </w:rPr>
        <w:t xml:space="preserve"> full DL slot.</w:t>
      </w:r>
      <w:r w:rsidR="008D5330">
        <w:rPr>
          <w:rFonts w:eastAsiaTheme="minorEastAsia"/>
          <w:lang w:eastAsia="zh-CN"/>
        </w:rPr>
        <w:t xml:space="preserve"> Note that conversion of SBFD slots to full DL slots occurs only within half radio frames containing SSBs.</w:t>
      </w:r>
      <w:r>
        <w:rPr>
          <w:rFonts w:eastAsiaTheme="minorEastAsia"/>
          <w:lang w:eastAsia="zh-CN"/>
        </w:rPr>
        <w:t xml:space="preserve"> This approach ensures that starting from the reference slot, SBFD symbols will be consecutive. </w:t>
      </w:r>
    </w:p>
    <w:p w14:paraId="119F0EAE" w14:textId="6F73B889" w:rsidR="000566EE" w:rsidRPr="000566EE" w:rsidRDefault="000566EE" w:rsidP="001907F1">
      <w:pPr>
        <w:spacing w:before="120" w:after="0"/>
        <w:jc w:val="center"/>
        <w:rPr>
          <w:rFonts w:eastAsiaTheme="minorEastAsia"/>
          <w:lang w:eastAsia="zh-CN"/>
        </w:rPr>
      </w:pPr>
      <w:r>
        <w:rPr>
          <w:rFonts w:eastAsiaTheme="minorEastAsia"/>
          <w:noProof/>
          <w:lang w:eastAsia="zh-CN"/>
        </w:rPr>
        <w:drawing>
          <wp:inline distT="0" distB="0" distL="0" distR="0" wp14:anchorId="2A81B542" wp14:editId="0B77332F">
            <wp:extent cx="3487846" cy="21478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b="2606"/>
                    <a:stretch/>
                  </pic:blipFill>
                  <pic:spPr bwMode="auto">
                    <a:xfrm>
                      <a:off x="0" y="0"/>
                      <a:ext cx="3495330" cy="2152496"/>
                    </a:xfrm>
                    <a:prstGeom prst="rect">
                      <a:avLst/>
                    </a:prstGeom>
                    <a:noFill/>
                    <a:ln>
                      <a:noFill/>
                    </a:ln>
                    <a:extLst>
                      <a:ext uri="{53640926-AAD7-44D8-BBD7-CCE9431645EC}">
                        <a14:shadowObscured xmlns:a14="http://schemas.microsoft.com/office/drawing/2010/main"/>
                      </a:ext>
                    </a:extLst>
                  </pic:spPr>
                </pic:pic>
              </a:graphicData>
            </a:graphic>
          </wp:inline>
        </w:drawing>
      </w:r>
    </w:p>
    <w:p w14:paraId="1C4F2C74" w14:textId="687F4610" w:rsidR="008A7E69" w:rsidRDefault="000566EE" w:rsidP="000566EE">
      <w:pPr>
        <w:jc w:val="center"/>
      </w:pPr>
      <w:bookmarkStart w:id="14" w:name="_Ref173962718"/>
      <w:r w:rsidRPr="008A290F">
        <w:rPr>
          <w:bdr w:val="none" w:sz="0" w:space="0" w:color="auto" w:frame="1"/>
        </w:rPr>
        <w:t xml:space="preserve">Figure </w:t>
      </w:r>
      <w:r w:rsidRPr="008A290F">
        <w:fldChar w:fldCharType="begin"/>
      </w:r>
      <w:r w:rsidRPr="008A290F">
        <w:instrText xml:space="preserve"> SEQ Figure \* ARABIC </w:instrText>
      </w:r>
      <w:r w:rsidRPr="008A290F">
        <w:fldChar w:fldCharType="separate"/>
      </w:r>
      <w:r w:rsidR="00D77008">
        <w:rPr>
          <w:noProof/>
        </w:rPr>
        <w:t>3</w:t>
      </w:r>
      <w:r w:rsidRPr="008A290F">
        <w:rPr>
          <w:noProof/>
        </w:rPr>
        <w:fldChar w:fldCharType="end"/>
      </w:r>
      <w:bookmarkEnd w:id="14"/>
      <w:r w:rsidRPr="008A290F">
        <w:rPr>
          <w:bdr w:val="none" w:sz="0" w:space="0" w:color="auto" w:frame="1"/>
        </w:rPr>
        <w:t xml:space="preserve">: </w:t>
      </w:r>
      <w:r>
        <w:t>Convert SBFD slots before reference slot to full DL slots</w:t>
      </w:r>
      <w:r w:rsidRPr="008A290F">
        <w:t>.</w:t>
      </w:r>
    </w:p>
    <w:p w14:paraId="2DB4C01B" w14:textId="11DD5DB5" w:rsidR="00572381" w:rsidRPr="008A290F" w:rsidRDefault="007948B2" w:rsidP="00FC0A9D">
      <w:pPr>
        <w:pStyle w:val="af6"/>
        <w:numPr>
          <w:ilvl w:val="0"/>
          <w:numId w:val="10"/>
        </w:numPr>
        <w:spacing w:after="60"/>
        <w:contextualSpacing w:val="0"/>
        <w:jc w:val="both"/>
        <w:rPr>
          <w:b/>
          <w:bCs/>
          <w:i/>
          <w:iCs/>
          <w:color w:val="000000" w:themeColor="text1"/>
          <w:sz w:val="20"/>
          <w:szCs w:val="20"/>
          <w:lang w:val="en-GB"/>
        </w:rPr>
      </w:pPr>
      <w:r w:rsidRPr="007948B2">
        <w:rPr>
          <w:b/>
          <w:bCs/>
          <w:i/>
          <w:iCs/>
          <w:color w:val="000000" w:themeColor="text1"/>
          <w:sz w:val="20"/>
          <w:szCs w:val="20"/>
          <w:lang w:val="en-GB"/>
        </w:rPr>
        <w:t>UL resources of SBFD slots containing SSBs will be wasted if not converted to full DL slots</w:t>
      </w:r>
      <w:r>
        <w:rPr>
          <w:b/>
          <w:bCs/>
          <w:i/>
          <w:iCs/>
          <w:color w:val="000000" w:themeColor="text1"/>
          <w:sz w:val="20"/>
          <w:szCs w:val="20"/>
          <w:lang w:val="en-GB"/>
        </w:rPr>
        <w:t xml:space="preserve">. </w:t>
      </w:r>
      <w:r w:rsidRPr="007948B2">
        <w:rPr>
          <w:b/>
          <w:bCs/>
          <w:i/>
          <w:iCs/>
          <w:color w:val="000000" w:themeColor="text1"/>
          <w:sz w:val="20"/>
          <w:szCs w:val="20"/>
          <w:lang w:val="en-GB"/>
        </w:rPr>
        <w:t>For configuration with high number of SSBs within an SSB burst, the resource wastage may be significant.</w:t>
      </w:r>
      <w:r>
        <w:rPr>
          <w:b/>
          <w:bCs/>
          <w:i/>
          <w:iCs/>
          <w:color w:val="000000" w:themeColor="text1"/>
          <w:sz w:val="20"/>
          <w:szCs w:val="20"/>
          <w:lang w:val="en-GB"/>
        </w:rPr>
        <w:t xml:space="preserve"> </w:t>
      </w:r>
    </w:p>
    <w:p w14:paraId="2415A225" w14:textId="5C89DCDA" w:rsidR="00F65DF6" w:rsidRPr="005E05F9" w:rsidRDefault="005E05F9" w:rsidP="00FC0A9D">
      <w:pPr>
        <w:pStyle w:val="af6"/>
        <w:numPr>
          <w:ilvl w:val="0"/>
          <w:numId w:val="9"/>
        </w:numPr>
        <w:jc w:val="both"/>
        <w:rPr>
          <w:b/>
          <w:bCs/>
          <w:i/>
          <w:iCs/>
          <w:sz w:val="20"/>
          <w:szCs w:val="20"/>
          <w:lang w:val="en-GB"/>
        </w:rPr>
      </w:pPr>
      <w:bookmarkStart w:id="15" w:name="_Ref159007718"/>
      <w:r>
        <w:rPr>
          <w:rFonts w:cstheme="minorHAnsi"/>
          <w:b/>
          <w:bCs/>
          <w:i/>
          <w:iCs/>
          <w:sz w:val="20"/>
          <w:szCs w:val="20"/>
          <w:lang w:val="en-GB"/>
        </w:rPr>
        <w:lastRenderedPageBreak/>
        <w:t>SBFD slot consisting of SSBs symbols are considered as full DL symbol</w:t>
      </w:r>
      <w:r w:rsidR="00F65DF6" w:rsidRPr="008A290F">
        <w:rPr>
          <w:rFonts w:cstheme="minorHAnsi"/>
          <w:b/>
          <w:bCs/>
          <w:i/>
          <w:iCs/>
          <w:sz w:val="20"/>
          <w:szCs w:val="20"/>
          <w:lang w:val="en-GB"/>
        </w:rPr>
        <w:t xml:space="preserve">. </w:t>
      </w:r>
    </w:p>
    <w:p w14:paraId="6CC16523" w14:textId="33803E68" w:rsidR="005E05F9" w:rsidRPr="008A290F" w:rsidRDefault="005E05F9" w:rsidP="00FC0A9D">
      <w:pPr>
        <w:pStyle w:val="af6"/>
        <w:numPr>
          <w:ilvl w:val="0"/>
          <w:numId w:val="9"/>
        </w:numPr>
        <w:jc w:val="both"/>
        <w:rPr>
          <w:b/>
          <w:bCs/>
          <w:i/>
          <w:iCs/>
          <w:sz w:val="20"/>
          <w:szCs w:val="20"/>
          <w:lang w:val="en-GB"/>
        </w:rPr>
      </w:pPr>
      <w:r w:rsidRPr="005E05F9">
        <w:rPr>
          <w:b/>
          <w:bCs/>
          <w:i/>
          <w:iCs/>
          <w:sz w:val="20"/>
          <w:szCs w:val="20"/>
          <w:lang w:val="en-GB"/>
        </w:rPr>
        <w:t>Within a half radio frame containing SS</w:t>
      </w:r>
      <w:r>
        <w:rPr>
          <w:b/>
          <w:bCs/>
          <w:i/>
          <w:iCs/>
          <w:sz w:val="20"/>
          <w:szCs w:val="20"/>
          <w:lang w:val="en-GB"/>
        </w:rPr>
        <w:t>Bs</w:t>
      </w:r>
      <w:r w:rsidRPr="005E05F9">
        <w:rPr>
          <w:b/>
          <w:bCs/>
          <w:i/>
          <w:iCs/>
          <w:sz w:val="20"/>
          <w:szCs w:val="20"/>
          <w:lang w:val="en-GB"/>
        </w:rPr>
        <w:t>, all SBFD slots</w:t>
      </w:r>
      <w:r>
        <w:rPr>
          <w:b/>
          <w:bCs/>
          <w:i/>
          <w:iCs/>
          <w:sz w:val="20"/>
          <w:szCs w:val="20"/>
          <w:lang w:val="en-GB"/>
        </w:rPr>
        <w:t xml:space="preserve"> </w:t>
      </w:r>
      <w:r w:rsidRPr="005E05F9">
        <w:rPr>
          <w:b/>
          <w:bCs/>
          <w:i/>
          <w:iCs/>
          <w:sz w:val="20"/>
          <w:szCs w:val="20"/>
          <w:lang w:val="en-GB"/>
        </w:rPr>
        <w:t>up to a “reference slot”</w:t>
      </w:r>
      <w:r>
        <w:rPr>
          <w:b/>
          <w:bCs/>
          <w:i/>
          <w:iCs/>
          <w:sz w:val="20"/>
          <w:szCs w:val="20"/>
          <w:lang w:val="en-GB"/>
        </w:rPr>
        <w:t xml:space="preserve"> are considered as</w:t>
      </w:r>
      <w:r w:rsidRPr="005E05F9">
        <w:rPr>
          <w:b/>
          <w:bCs/>
          <w:i/>
          <w:iCs/>
          <w:sz w:val="20"/>
          <w:szCs w:val="20"/>
          <w:lang w:val="en-GB"/>
        </w:rPr>
        <w:t xml:space="preserve"> full downlink slots</w:t>
      </w:r>
      <w:r>
        <w:rPr>
          <w:b/>
          <w:bCs/>
          <w:i/>
          <w:iCs/>
          <w:sz w:val="20"/>
          <w:szCs w:val="20"/>
          <w:lang w:val="en-GB"/>
        </w:rPr>
        <w:t xml:space="preserve">. The reference slot overlaps with the slot containing the last SSB within the half frame. </w:t>
      </w:r>
      <w:r w:rsidRPr="005E05F9">
        <w:rPr>
          <w:b/>
          <w:bCs/>
          <w:i/>
          <w:iCs/>
          <w:sz w:val="20"/>
          <w:szCs w:val="20"/>
          <w:lang w:val="en-GB"/>
        </w:rPr>
        <w:t xml:space="preserve">   </w:t>
      </w:r>
    </w:p>
    <w:bookmarkEnd w:id="15"/>
    <w:p w14:paraId="773DE212" w14:textId="64B054E6" w:rsidR="0099307C" w:rsidRPr="008A290F" w:rsidRDefault="0099307C" w:rsidP="005D664D">
      <w:pPr>
        <w:pStyle w:val="1"/>
        <w:jc w:val="both"/>
      </w:pPr>
      <w:r w:rsidRPr="008A290F">
        <w:t>Conclusion</w:t>
      </w:r>
    </w:p>
    <w:p w14:paraId="3A19D090" w14:textId="4284450E" w:rsidR="00AA5D66" w:rsidRPr="008A290F" w:rsidRDefault="00777AB2" w:rsidP="005D664D">
      <w:pPr>
        <w:jc w:val="both"/>
        <w:rPr>
          <w:rStyle w:val="normaltextrun"/>
          <w:shd w:val="clear" w:color="auto" w:fill="FFFFFF"/>
        </w:rPr>
      </w:pPr>
      <w:r w:rsidRPr="008A290F">
        <w:rPr>
          <w:rStyle w:val="normaltextrun"/>
          <w:shd w:val="clear" w:color="auto" w:fill="FFFFFF"/>
        </w:rPr>
        <w:t>In this contribution, we discussed</w:t>
      </w:r>
      <w:r w:rsidR="00F31AC9" w:rsidRPr="008A290F">
        <w:rPr>
          <w:rStyle w:val="normaltextrun"/>
          <w:shd w:val="clear" w:color="auto" w:fill="FFFFFF"/>
        </w:rPr>
        <w:t xml:space="preserve"> indication of time/frequency location of SBFD subbands. We also provided our views on SBFD-aware UE behaviour in SBFD symbols. </w:t>
      </w:r>
    </w:p>
    <w:p w14:paraId="7123D4E7" w14:textId="5E937810" w:rsidR="00626E59" w:rsidRPr="008A290F" w:rsidRDefault="00626E59" w:rsidP="00FF4218">
      <w:pPr>
        <w:pStyle w:val="af6"/>
        <w:numPr>
          <w:ilvl w:val="0"/>
          <w:numId w:val="14"/>
        </w:numPr>
        <w:spacing w:after="60"/>
        <w:contextualSpacing w:val="0"/>
        <w:jc w:val="both"/>
        <w:rPr>
          <w:b/>
          <w:bCs/>
          <w:i/>
          <w:iCs/>
          <w:sz w:val="20"/>
          <w:szCs w:val="20"/>
          <w:lang w:val="en-GB" w:eastAsia="ko-KR"/>
        </w:rPr>
      </w:pPr>
      <w:r w:rsidRPr="008A290F">
        <w:rPr>
          <w:b/>
          <w:bCs/>
          <w:i/>
          <w:iCs/>
          <w:sz w:val="20"/>
          <w:szCs w:val="20"/>
          <w:lang w:val="en-GB" w:eastAsia="en-US"/>
        </w:rPr>
        <w:t xml:space="preserve">SBFD aware UE can implicitly determine the time location of SBFD symbols sandwiched between the first and last SBFD symbols within a TDD pattern from the combination of {startSlot, </w:t>
      </w:r>
      <w:r w:rsidR="005756C3" w:rsidRPr="008A290F">
        <w:rPr>
          <w:b/>
          <w:bCs/>
          <w:i/>
          <w:iCs/>
          <w:sz w:val="20"/>
          <w:szCs w:val="20"/>
          <w:lang w:val="en-GB" w:eastAsia="en-US"/>
        </w:rPr>
        <w:t>endSlot</w:t>
      </w:r>
      <w:r w:rsidRPr="008A290F">
        <w:rPr>
          <w:b/>
          <w:bCs/>
          <w:i/>
          <w:iCs/>
          <w:sz w:val="20"/>
          <w:szCs w:val="20"/>
          <w:lang w:val="en-GB" w:eastAsia="en-US"/>
        </w:rPr>
        <w:t>} and {</w:t>
      </w:r>
      <w:r w:rsidR="005756C3" w:rsidRPr="008A290F">
        <w:rPr>
          <w:b/>
          <w:bCs/>
          <w:i/>
          <w:iCs/>
          <w:sz w:val="20"/>
          <w:szCs w:val="20"/>
          <w:lang w:val="en-GB" w:eastAsia="en-US"/>
        </w:rPr>
        <w:t>startSymbo</w:t>
      </w:r>
      <w:r w:rsidR="005756C3">
        <w:rPr>
          <w:b/>
          <w:bCs/>
          <w:i/>
          <w:iCs/>
          <w:sz w:val="20"/>
          <w:szCs w:val="20"/>
          <w:lang w:val="en-GB" w:eastAsia="en-US"/>
        </w:rPr>
        <w:t>l</w:t>
      </w:r>
      <w:r w:rsidRPr="008A290F">
        <w:rPr>
          <w:b/>
          <w:bCs/>
          <w:i/>
          <w:iCs/>
          <w:sz w:val="20"/>
          <w:szCs w:val="20"/>
          <w:lang w:val="en-GB" w:eastAsia="en-US"/>
        </w:rPr>
        <w:t>, endSymbol}.</w:t>
      </w:r>
    </w:p>
    <w:p w14:paraId="5B0ACDE2" w14:textId="77777777" w:rsidR="00110E83" w:rsidRPr="008A290F" w:rsidRDefault="00C26F8F" w:rsidP="00FF4218">
      <w:pPr>
        <w:pStyle w:val="af6"/>
        <w:numPr>
          <w:ilvl w:val="0"/>
          <w:numId w:val="14"/>
        </w:numPr>
        <w:spacing w:after="60"/>
        <w:contextualSpacing w:val="0"/>
        <w:jc w:val="both"/>
        <w:rPr>
          <w:b/>
          <w:bCs/>
          <w:i/>
          <w:iCs/>
          <w:sz w:val="20"/>
          <w:szCs w:val="20"/>
          <w:lang w:val="en-GB" w:eastAsia="ko-KR"/>
        </w:rPr>
      </w:pPr>
      <w:r w:rsidRPr="00110E83">
        <w:rPr>
          <w:b/>
          <w:bCs/>
          <w:i/>
          <w:iCs/>
          <w:sz w:val="20"/>
          <w:szCs w:val="20"/>
          <w:lang w:val="en-GB" w:eastAsia="en-US"/>
        </w:rPr>
        <w:t>Option 2</w:t>
      </w:r>
      <w:r w:rsidR="00110E83" w:rsidRPr="00110E83">
        <w:rPr>
          <w:b/>
          <w:bCs/>
          <w:i/>
          <w:iCs/>
          <w:sz w:val="20"/>
          <w:szCs w:val="20"/>
          <w:lang w:val="en-GB" w:eastAsia="en-US"/>
        </w:rPr>
        <w:t xml:space="preserve">, </w:t>
      </w:r>
      <w:r w:rsidR="00110E83" w:rsidRPr="00110E83">
        <w:rPr>
          <w:rFonts w:eastAsia="Malgun Gothic"/>
          <w:b/>
          <w:bCs/>
          <w:i/>
          <w:iCs/>
          <w:sz w:val="20"/>
          <w:szCs w:val="20"/>
          <w:lang w:val="en-GB" w:eastAsia="ko-KR"/>
        </w:rPr>
        <w:t xml:space="preserve">which provides an </w:t>
      </w:r>
      <w:r w:rsidR="00110E83" w:rsidRPr="00110E83">
        <w:rPr>
          <w:b/>
          <w:bCs/>
          <w:i/>
          <w:iCs/>
          <w:sz w:val="20"/>
          <w:szCs w:val="20"/>
          <w:lang w:val="en-GB" w:eastAsia="en-US"/>
        </w:rPr>
        <w:t>explicit link direction indication,</w:t>
      </w:r>
      <w:r w:rsidRPr="00110E83">
        <w:rPr>
          <w:b/>
          <w:bCs/>
          <w:i/>
          <w:iCs/>
          <w:sz w:val="20"/>
          <w:szCs w:val="20"/>
          <w:lang w:val="en-GB" w:eastAsia="en-US"/>
        </w:rPr>
        <w:t xml:space="preserve"> </w:t>
      </w:r>
      <w:r w:rsidR="00110E83" w:rsidRPr="008A290F">
        <w:rPr>
          <w:rFonts w:eastAsia="Malgun Gothic"/>
          <w:b/>
          <w:bCs/>
          <w:i/>
          <w:iCs/>
          <w:sz w:val="20"/>
          <w:szCs w:val="20"/>
          <w:lang w:val="en-GB" w:eastAsia="ko-KR"/>
        </w:rPr>
        <w:t xml:space="preserve">enables low-complexity UE implementation for operations on SBFD symbols. </w:t>
      </w:r>
    </w:p>
    <w:p w14:paraId="7E8D1C33" w14:textId="2A3CFAFB" w:rsidR="00626E59" w:rsidRPr="00EE6B32" w:rsidRDefault="00C26F8F" w:rsidP="00FF4218">
      <w:pPr>
        <w:pStyle w:val="af6"/>
        <w:numPr>
          <w:ilvl w:val="0"/>
          <w:numId w:val="14"/>
        </w:numPr>
        <w:spacing w:after="60"/>
        <w:contextualSpacing w:val="0"/>
        <w:jc w:val="both"/>
        <w:rPr>
          <w:b/>
          <w:bCs/>
          <w:i/>
          <w:iCs/>
          <w:sz w:val="16"/>
          <w:szCs w:val="16"/>
          <w:lang w:val="en-GB" w:eastAsia="en-US"/>
        </w:rPr>
      </w:pPr>
      <w:r w:rsidRPr="00110E83">
        <w:rPr>
          <w:b/>
          <w:bCs/>
          <w:i/>
          <w:iCs/>
          <w:sz w:val="20"/>
          <w:szCs w:val="20"/>
          <w:lang w:val="en-GB" w:eastAsia="en-US"/>
        </w:rPr>
        <w:t xml:space="preserve">Explicit link direction indication (Option 2) can be achieved reusing the existing UE-specific </w:t>
      </w:r>
      <w:r w:rsidR="0090173B" w:rsidRPr="00110E83">
        <w:rPr>
          <w:b/>
          <w:bCs/>
          <w:i/>
          <w:iCs/>
          <w:sz w:val="20"/>
          <w:szCs w:val="20"/>
          <w:lang w:val="en-GB" w:eastAsia="en-US"/>
        </w:rPr>
        <w:t>signalling</w:t>
      </w:r>
      <w:r w:rsidRPr="00110E83">
        <w:rPr>
          <w:b/>
          <w:bCs/>
          <w:i/>
          <w:iCs/>
          <w:sz w:val="20"/>
          <w:szCs w:val="20"/>
          <w:lang w:val="en-GB" w:eastAsia="en-US"/>
        </w:rPr>
        <w:t xml:space="preserve"> for </w:t>
      </w:r>
      <w:r w:rsidRPr="00110E83">
        <w:rPr>
          <w:rFonts w:eastAsia="Malgun Gothic"/>
          <w:b/>
          <w:bCs/>
          <w:i/>
          <w:iCs/>
          <w:sz w:val="20"/>
          <w:szCs w:val="20"/>
          <w:lang w:val="en-GB" w:eastAsia="ko-KR"/>
        </w:rPr>
        <w:t>tdd-UL-DL-ConfigurationDedicated.</w:t>
      </w:r>
    </w:p>
    <w:p w14:paraId="04A8101A" w14:textId="4F0C6D71" w:rsidR="00907835" w:rsidRPr="00907835" w:rsidRDefault="00907835" w:rsidP="00FF4218">
      <w:pPr>
        <w:pStyle w:val="af6"/>
        <w:numPr>
          <w:ilvl w:val="0"/>
          <w:numId w:val="14"/>
        </w:numPr>
        <w:spacing w:after="60"/>
        <w:contextualSpacing w:val="0"/>
        <w:jc w:val="both"/>
        <w:rPr>
          <w:b/>
          <w:bCs/>
          <w:i/>
          <w:iCs/>
          <w:color w:val="000000" w:themeColor="text1"/>
          <w:sz w:val="20"/>
          <w:szCs w:val="20"/>
          <w:lang w:val="en-GB"/>
        </w:rPr>
      </w:pPr>
      <w:r w:rsidRPr="007948B2">
        <w:rPr>
          <w:b/>
          <w:bCs/>
          <w:i/>
          <w:iCs/>
          <w:color w:val="000000" w:themeColor="text1"/>
          <w:sz w:val="20"/>
          <w:szCs w:val="20"/>
          <w:lang w:val="en-GB"/>
        </w:rPr>
        <w:t>UL resources of SBFD slots containing SSBs will be wasted if not converted to full DL slots</w:t>
      </w:r>
      <w:r>
        <w:rPr>
          <w:b/>
          <w:bCs/>
          <w:i/>
          <w:iCs/>
          <w:color w:val="000000" w:themeColor="text1"/>
          <w:sz w:val="20"/>
          <w:szCs w:val="20"/>
          <w:lang w:val="en-GB"/>
        </w:rPr>
        <w:t xml:space="preserve">. </w:t>
      </w:r>
      <w:r w:rsidRPr="007948B2">
        <w:rPr>
          <w:b/>
          <w:bCs/>
          <w:i/>
          <w:iCs/>
          <w:color w:val="000000" w:themeColor="text1"/>
          <w:sz w:val="20"/>
          <w:szCs w:val="20"/>
          <w:lang w:val="en-GB"/>
        </w:rPr>
        <w:t>For configuration with high number of SSBs within an SSB burst, the resource wastage may be significant.</w:t>
      </w:r>
      <w:r>
        <w:rPr>
          <w:b/>
          <w:bCs/>
          <w:i/>
          <w:iCs/>
          <w:color w:val="000000" w:themeColor="text1"/>
          <w:sz w:val="20"/>
          <w:szCs w:val="20"/>
          <w:lang w:val="en-GB"/>
        </w:rPr>
        <w:t xml:space="preserve"> </w:t>
      </w:r>
    </w:p>
    <w:p w14:paraId="5B90003F" w14:textId="77777777" w:rsidR="009C41B3" w:rsidRPr="008A290F" w:rsidRDefault="009C41B3" w:rsidP="00011284">
      <w:pPr>
        <w:pStyle w:val="af6"/>
        <w:ind w:left="0"/>
        <w:jc w:val="both"/>
        <w:rPr>
          <w:b/>
          <w:bCs/>
          <w:i/>
          <w:iCs/>
          <w:sz w:val="20"/>
          <w:szCs w:val="20"/>
          <w:lang w:val="en-GB" w:eastAsia="ko-KR"/>
        </w:rPr>
      </w:pPr>
    </w:p>
    <w:p w14:paraId="36E445C3" w14:textId="20E38E27" w:rsidR="00151E58" w:rsidRPr="008A290F" w:rsidRDefault="00151E58" w:rsidP="00FF4218">
      <w:pPr>
        <w:numPr>
          <w:ilvl w:val="0"/>
          <w:numId w:val="11"/>
        </w:numPr>
        <w:overflowPunct/>
        <w:autoSpaceDE/>
        <w:autoSpaceDN/>
        <w:adjustRightInd/>
        <w:spacing w:after="60"/>
        <w:contextualSpacing/>
        <w:jc w:val="both"/>
        <w:rPr>
          <w:b/>
          <w:bCs/>
          <w:i/>
          <w:iCs/>
          <w:lang w:eastAsia="zh-CN"/>
        </w:rPr>
      </w:pPr>
      <w:r w:rsidRPr="008A290F">
        <w:rPr>
          <w:b/>
          <w:bCs/>
          <w:i/>
          <w:iCs/>
          <w:lang w:eastAsia="zh-CN"/>
        </w:rPr>
        <w:t xml:space="preserve">Provide a new cell-specific parameter to indicate time location of SBFD subbands to SBFD-aware </w:t>
      </w:r>
      <w:r w:rsidR="00361802" w:rsidRPr="008A290F">
        <w:rPr>
          <w:b/>
          <w:bCs/>
          <w:i/>
          <w:iCs/>
          <w:lang w:eastAsia="zh-CN"/>
        </w:rPr>
        <w:t>UE.</w:t>
      </w:r>
    </w:p>
    <w:p w14:paraId="6E551FEE" w14:textId="294423AE" w:rsidR="00151E58" w:rsidRPr="008A290F" w:rsidRDefault="00151E58" w:rsidP="00FF4218">
      <w:pPr>
        <w:numPr>
          <w:ilvl w:val="0"/>
          <w:numId w:val="8"/>
        </w:numPr>
        <w:overflowPunct/>
        <w:autoSpaceDE/>
        <w:autoSpaceDN/>
        <w:adjustRightInd/>
        <w:spacing w:after="60"/>
        <w:jc w:val="both"/>
        <w:rPr>
          <w:b/>
          <w:bCs/>
          <w:i/>
          <w:iCs/>
          <w:lang w:eastAsia="zh-CN"/>
        </w:rPr>
      </w:pPr>
      <w:r w:rsidRPr="008A290F">
        <w:rPr>
          <w:b/>
          <w:bCs/>
          <w:i/>
          <w:iCs/>
          <w:lang w:eastAsia="zh-CN"/>
        </w:rPr>
        <w:t xml:space="preserve">The new parameter can be configured as </w:t>
      </w:r>
      <w:r w:rsidR="00C4306E">
        <w:rPr>
          <w:b/>
          <w:bCs/>
          <w:i/>
          <w:iCs/>
          <w:lang w:eastAsia="zh-CN"/>
        </w:rPr>
        <w:t>two pairs</w:t>
      </w:r>
      <w:r w:rsidRPr="008A290F">
        <w:rPr>
          <w:b/>
          <w:bCs/>
          <w:i/>
          <w:iCs/>
          <w:lang w:eastAsia="zh-CN"/>
        </w:rPr>
        <w:t xml:space="preserve"> of integer values. </w:t>
      </w:r>
    </w:p>
    <w:p w14:paraId="52B6E259" w14:textId="3FEF11A2" w:rsidR="00151E58" w:rsidRPr="008A290F" w:rsidRDefault="00151E58" w:rsidP="00FF4218">
      <w:pPr>
        <w:numPr>
          <w:ilvl w:val="1"/>
          <w:numId w:val="8"/>
        </w:numPr>
        <w:overflowPunct/>
        <w:autoSpaceDE/>
        <w:autoSpaceDN/>
        <w:adjustRightInd/>
        <w:spacing w:after="60"/>
        <w:jc w:val="both"/>
        <w:rPr>
          <w:b/>
          <w:bCs/>
          <w:i/>
          <w:iCs/>
          <w:lang w:eastAsia="zh-CN"/>
        </w:rPr>
      </w:pPr>
      <w:r w:rsidRPr="008A290F">
        <w:rPr>
          <w:b/>
          <w:bCs/>
          <w:i/>
          <w:iCs/>
          <w:lang w:eastAsia="zh-CN"/>
        </w:rPr>
        <w:t>One pair of integer values indicate the first and last slots within a TDD pattern containing SBFD symbols</w:t>
      </w:r>
      <w:r w:rsidR="00011284" w:rsidRPr="008A290F">
        <w:rPr>
          <w:b/>
          <w:bCs/>
          <w:i/>
          <w:iCs/>
          <w:lang w:eastAsia="zh-CN"/>
        </w:rPr>
        <w:t>.</w:t>
      </w:r>
    </w:p>
    <w:p w14:paraId="4007F449" w14:textId="5184587B" w:rsidR="00151E58" w:rsidRPr="008A290F" w:rsidRDefault="00151E58" w:rsidP="00FF4218">
      <w:pPr>
        <w:numPr>
          <w:ilvl w:val="1"/>
          <w:numId w:val="8"/>
        </w:numPr>
        <w:overflowPunct/>
        <w:autoSpaceDE/>
        <w:autoSpaceDN/>
        <w:adjustRightInd/>
        <w:spacing w:after="60"/>
        <w:jc w:val="both"/>
        <w:rPr>
          <w:b/>
          <w:bCs/>
          <w:i/>
          <w:iCs/>
          <w:lang w:eastAsia="zh-CN"/>
        </w:rPr>
      </w:pPr>
      <w:r w:rsidRPr="008A290F">
        <w:rPr>
          <w:b/>
          <w:bCs/>
          <w:i/>
          <w:iCs/>
          <w:lang w:eastAsia="zh-CN"/>
        </w:rPr>
        <w:t>Another pair of integer values indicate the first and last SBFD symbols within a TDD pattern</w:t>
      </w:r>
      <w:r w:rsidR="00011284" w:rsidRPr="008A290F">
        <w:rPr>
          <w:b/>
          <w:bCs/>
          <w:i/>
          <w:iCs/>
          <w:lang w:eastAsia="zh-CN"/>
        </w:rPr>
        <w:t>.</w:t>
      </w:r>
    </w:p>
    <w:p w14:paraId="6D31E8CE" w14:textId="65A6E430" w:rsidR="00626E59" w:rsidRPr="008A290F" w:rsidRDefault="00151E58" w:rsidP="00FF4218">
      <w:pPr>
        <w:pStyle w:val="af6"/>
        <w:numPr>
          <w:ilvl w:val="0"/>
          <w:numId w:val="11"/>
        </w:numPr>
        <w:spacing w:after="60"/>
        <w:jc w:val="both"/>
        <w:rPr>
          <w:b/>
          <w:bCs/>
          <w:i/>
          <w:iCs/>
          <w:sz w:val="20"/>
          <w:szCs w:val="20"/>
          <w:lang w:val="en-GB" w:eastAsia="ko-KR"/>
        </w:rPr>
      </w:pPr>
      <w:r w:rsidRPr="008A290F">
        <w:rPr>
          <w:b/>
          <w:bCs/>
          <w:i/>
          <w:iCs/>
          <w:sz w:val="20"/>
          <w:szCs w:val="20"/>
          <w:lang w:val="en-GB"/>
        </w:rPr>
        <w:t>Provide new cell-specific parameters within FrequencyInfoDL-SIB or FrequencyInfoDL to indicate the frequency location of SBFD subbands for each configured cell-specific carrier</w:t>
      </w:r>
      <w:r w:rsidR="00011284" w:rsidRPr="008A290F">
        <w:rPr>
          <w:b/>
          <w:bCs/>
          <w:i/>
          <w:iCs/>
          <w:sz w:val="20"/>
          <w:szCs w:val="20"/>
          <w:lang w:val="en-GB"/>
        </w:rPr>
        <w:t>.</w:t>
      </w:r>
    </w:p>
    <w:p w14:paraId="6519B214" w14:textId="53650908" w:rsidR="0082776B" w:rsidRPr="008A290F" w:rsidRDefault="0082776B" w:rsidP="00FF4218">
      <w:pPr>
        <w:pStyle w:val="af6"/>
        <w:numPr>
          <w:ilvl w:val="0"/>
          <w:numId w:val="11"/>
        </w:numPr>
        <w:spacing w:after="60"/>
        <w:jc w:val="both"/>
        <w:rPr>
          <w:sz w:val="20"/>
          <w:szCs w:val="20"/>
          <w:lang w:val="en-GB" w:eastAsia="en-US"/>
        </w:rPr>
      </w:pPr>
      <w:r w:rsidRPr="008A290F">
        <w:rPr>
          <w:b/>
          <w:bCs/>
          <w:i/>
          <w:iCs/>
          <w:sz w:val="20"/>
          <w:szCs w:val="20"/>
          <w:lang w:val="en-GB" w:eastAsia="en-US"/>
        </w:rPr>
        <w:t xml:space="preserve">Support the use of existing UE-specific TDD </w:t>
      </w:r>
      <w:r w:rsidR="0090173B" w:rsidRPr="008A290F">
        <w:rPr>
          <w:b/>
          <w:bCs/>
          <w:i/>
          <w:iCs/>
          <w:sz w:val="20"/>
          <w:szCs w:val="20"/>
          <w:lang w:val="en-GB" w:eastAsia="en-US"/>
        </w:rPr>
        <w:t>signalling</w:t>
      </w:r>
      <w:r w:rsidRPr="008A290F">
        <w:rPr>
          <w:b/>
          <w:bCs/>
          <w:i/>
          <w:iCs/>
          <w:sz w:val="20"/>
          <w:szCs w:val="20"/>
          <w:lang w:val="en-GB" w:eastAsia="en-US"/>
        </w:rPr>
        <w:t xml:space="preserve"> (</w:t>
      </w:r>
      <w:r w:rsidRPr="008A290F">
        <w:rPr>
          <w:rFonts w:eastAsia="Malgun Gothic"/>
          <w:b/>
          <w:bCs/>
          <w:i/>
          <w:iCs/>
          <w:sz w:val="20"/>
          <w:szCs w:val="20"/>
          <w:lang w:val="en-GB" w:eastAsia="ko-KR"/>
        </w:rPr>
        <w:t>tdd-UL-DL-ConfigurationDedicated)</w:t>
      </w:r>
      <w:r w:rsidRPr="008A290F">
        <w:rPr>
          <w:b/>
          <w:bCs/>
          <w:i/>
          <w:iCs/>
          <w:sz w:val="16"/>
          <w:szCs w:val="16"/>
          <w:lang w:val="en-GB" w:eastAsia="en-US"/>
        </w:rPr>
        <w:t xml:space="preserve"> </w:t>
      </w:r>
      <w:r w:rsidRPr="008A290F">
        <w:rPr>
          <w:b/>
          <w:bCs/>
          <w:i/>
          <w:iCs/>
          <w:sz w:val="20"/>
          <w:szCs w:val="20"/>
          <w:lang w:val="en-GB" w:eastAsia="en-US"/>
        </w:rPr>
        <w:t>for transmission direction indication on SBFD symbols.</w:t>
      </w:r>
    </w:p>
    <w:p w14:paraId="326C4ED6" w14:textId="40822CA7" w:rsidR="00914CDA" w:rsidRPr="008A290F" w:rsidRDefault="007A6212" w:rsidP="00FF4218">
      <w:pPr>
        <w:pStyle w:val="af6"/>
        <w:numPr>
          <w:ilvl w:val="0"/>
          <w:numId w:val="11"/>
        </w:numPr>
        <w:spacing w:after="60"/>
        <w:jc w:val="both"/>
        <w:rPr>
          <w:b/>
          <w:bCs/>
          <w:i/>
          <w:iCs/>
          <w:sz w:val="20"/>
          <w:szCs w:val="20"/>
          <w:lang w:val="en-GB" w:eastAsia="en-US"/>
        </w:rPr>
      </w:pPr>
      <w:r w:rsidRPr="008A290F">
        <w:rPr>
          <w:b/>
          <w:bCs/>
          <w:i/>
          <w:iCs/>
          <w:sz w:val="20"/>
          <w:szCs w:val="20"/>
          <w:lang w:val="en-GB" w:eastAsia="en-US"/>
        </w:rPr>
        <w:t xml:space="preserve">Option 1 </w:t>
      </w:r>
      <w:r>
        <w:rPr>
          <w:b/>
          <w:bCs/>
          <w:i/>
          <w:iCs/>
          <w:sz w:val="20"/>
          <w:szCs w:val="20"/>
          <w:lang w:val="en-GB" w:eastAsia="en-US"/>
        </w:rPr>
        <w:t xml:space="preserve">of transmission direction indication </w:t>
      </w:r>
      <w:r w:rsidRPr="008A290F">
        <w:rPr>
          <w:b/>
          <w:bCs/>
          <w:i/>
          <w:iCs/>
          <w:sz w:val="20"/>
          <w:szCs w:val="20"/>
          <w:lang w:val="en-GB" w:eastAsia="en-US"/>
        </w:rPr>
        <w:t>can be supported based on UE capability</w:t>
      </w:r>
      <w:r w:rsidR="00914CDA" w:rsidRPr="008A290F">
        <w:rPr>
          <w:b/>
          <w:bCs/>
          <w:i/>
          <w:iCs/>
          <w:sz w:val="20"/>
          <w:szCs w:val="20"/>
          <w:lang w:val="en-GB" w:eastAsia="en-US"/>
        </w:rPr>
        <w:t>.</w:t>
      </w:r>
    </w:p>
    <w:p w14:paraId="7642E9C8" w14:textId="000F87AF" w:rsidR="008515F9" w:rsidRPr="00FC207C" w:rsidRDefault="008515F9" w:rsidP="00FF4218">
      <w:pPr>
        <w:pStyle w:val="af6"/>
        <w:numPr>
          <w:ilvl w:val="0"/>
          <w:numId w:val="11"/>
        </w:numPr>
        <w:shd w:val="clear" w:color="auto" w:fill="FFFFFF"/>
        <w:spacing w:after="60"/>
        <w:jc w:val="both"/>
        <w:rPr>
          <w:b/>
          <w:bCs/>
          <w:i/>
          <w:iCs/>
          <w:color w:val="000000" w:themeColor="text1"/>
          <w:sz w:val="20"/>
          <w:szCs w:val="20"/>
          <w:lang w:val="en-GB"/>
        </w:rPr>
      </w:pPr>
      <w:r>
        <w:rPr>
          <w:rFonts w:cstheme="minorHAnsi"/>
          <w:b/>
          <w:bCs/>
          <w:i/>
          <w:iCs/>
          <w:sz w:val="20"/>
          <w:szCs w:val="20"/>
          <w:lang w:val="en-GB"/>
        </w:rPr>
        <w:t>For partial PRG overlapping with RBs outside DL usable PRBs</w:t>
      </w:r>
      <w:r>
        <w:rPr>
          <w:b/>
          <w:bCs/>
          <w:i/>
          <w:iCs/>
          <w:sz w:val="20"/>
          <w:szCs w:val="20"/>
          <w:lang w:val="en-GB"/>
        </w:rPr>
        <w:t>, the PRGs inside DL usable PRBs is considered valid. UE performs channel estimation on the non-overlapping RBs</w:t>
      </w:r>
    </w:p>
    <w:p w14:paraId="4219855E" w14:textId="5767284F" w:rsidR="00FC207C" w:rsidRPr="00FC207C" w:rsidRDefault="00FC207C" w:rsidP="00FF4218">
      <w:pPr>
        <w:pStyle w:val="af6"/>
        <w:numPr>
          <w:ilvl w:val="0"/>
          <w:numId w:val="11"/>
        </w:numPr>
        <w:shd w:val="clear" w:color="auto" w:fill="FFFFFF"/>
        <w:spacing w:after="60"/>
        <w:jc w:val="both"/>
        <w:rPr>
          <w:b/>
          <w:bCs/>
          <w:i/>
          <w:iCs/>
          <w:color w:val="000000" w:themeColor="text1"/>
          <w:sz w:val="20"/>
          <w:szCs w:val="20"/>
          <w:lang w:val="en-GB"/>
        </w:rPr>
      </w:pPr>
      <w:r w:rsidRPr="008A290F">
        <w:rPr>
          <w:rFonts w:cstheme="minorHAnsi"/>
          <w:b/>
          <w:bCs/>
          <w:i/>
          <w:iCs/>
          <w:sz w:val="20"/>
          <w:szCs w:val="20"/>
          <w:lang w:val="en-GB"/>
        </w:rPr>
        <w:t xml:space="preserve">Further study the performance gain and UE impact of allowing “wideband” support </w:t>
      </w:r>
      <w:r w:rsidRPr="008A290F">
        <w:rPr>
          <w:b/>
          <w:bCs/>
          <w:i/>
          <w:iCs/>
          <w:sz w:val="20"/>
          <w:szCs w:val="20"/>
          <w:lang w:val="en-GB"/>
        </w:rPr>
        <w:t>non-contiguous frequency resources across downlink subbands.</w:t>
      </w:r>
    </w:p>
    <w:p w14:paraId="1BA32C1F" w14:textId="274B0FF8" w:rsidR="00D9195D" w:rsidRDefault="00D9195D" w:rsidP="00FF4218">
      <w:pPr>
        <w:pStyle w:val="af6"/>
        <w:numPr>
          <w:ilvl w:val="0"/>
          <w:numId w:val="11"/>
        </w:numPr>
        <w:spacing w:after="60"/>
        <w:jc w:val="both"/>
        <w:rPr>
          <w:b/>
          <w:bCs/>
          <w:i/>
          <w:iCs/>
          <w:sz w:val="20"/>
          <w:szCs w:val="20"/>
          <w:lang w:val="en-GB"/>
        </w:rPr>
      </w:pPr>
      <w:r>
        <w:rPr>
          <w:b/>
          <w:bCs/>
          <w:i/>
          <w:iCs/>
          <w:sz w:val="20"/>
          <w:szCs w:val="20"/>
          <w:lang w:val="en-GB"/>
        </w:rPr>
        <w:t>W</w:t>
      </w:r>
      <w:r w:rsidRPr="004147AB">
        <w:rPr>
          <w:b/>
          <w:bCs/>
          <w:i/>
          <w:iCs/>
          <w:sz w:val="20"/>
          <w:szCs w:val="20"/>
          <w:lang w:val="en-GB"/>
        </w:rPr>
        <w:t xml:space="preserve">hen UE computes a CSI report using CSI-RS resource(s) across two DL subbands, </w:t>
      </w:r>
      <w:r>
        <w:rPr>
          <w:b/>
          <w:bCs/>
          <w:i/>
          <w:iCs/>
          <w:sz w:val="20"/>
          <w:szCs w:val="20"/>
          <w:lang w:val="en-GB"/>
        </w:rPr>
        <w:t>RAN1 should adopt one of the following options</w:t>
      </w:r>
      <w:r w:rsidRPr="00CA77B3">
        <w:rPr>
          <w:b/>
          <w:bCs/>
          <w:i/>
          <w:iCs/>
          <w:sz w:val="20"/>
          <w:szCs w:val="20"/>
          <w:lang w:val="en-GB"/>
        </w:rPr>
        <w:t>.</w:t>
      </w:r>
    </w:p>
    <w:p w14:paraId="7D6F3632" w14:textId="4F415F6B" w:rsidR="00D9195D" w:rsidRPr="007359D3" w:rsidRDefault="00D9195D" w:rsidP="00FF4218">
      <w:pPr>
        <w:pStyle w:val="af6"/>
        <w:numPr>
          <w:ilvl w:val="0"/>
          <w:numId w:val="8"/>
        </w:numPr>
        <w:spacing w:after="60"/>
        <w:jc w:val="both"/>
        <w:rPr>
          <w:b/>
          <w:bCs/>
          <w:i/>
          <w:iCs/>
          <w:sz w:val="20"/>
          <w:szCs w:val="20"/>
          <w:lang w:val="en-GB"/>
        </w:rPr>
      </w:pPr>
      <w:r>
        <w:rPr>
          <w:b/>
          <w:bCs/>
          <w:i/>
          <w:iCs/>
          <w:sz w:val="20"/>
          <w:szCs w:val="20"/>
          <w:lang w:val="en-GB"/>
        </w:rPr>
        <w:t xml:space="preserve">Option#1: The </w:t>
      </w:r>
      <w:r w:rsidRPr="004147AB">
        <w:rPr>
          <w:b/>
          <w:bCs/>
          <w:i/>
          <w:iCs/>
          <w:sz w:val="20"/>
          <w:szCs w:val="20"/>
          <w:lang w:val="en-GB"/>
        </w:rPr>
        <w:t>CSI processing timeline is extended by X symbols</w:t>
      </w:r>
      <w:r w:rsidRPr="005F0BD6">
        <w:rPr>
          <w:b/>
          <w:bCs/>
          <w:i/>
          <w:iCs/>
          <w:sz w:val="20"/>
          <w:szCs w:val="20"/>
          <w:lang w:val="en-GB"/>
        </w:rPr>
        <w:t xml:space="preserve">. </w:t>
      </w:r>
      <w:r w:rsidRPr="005F0BD6">
        <w:rPr>
          <w:b/>
          <w:bCs/>
          <w:i/>
          <w:iCs/>
          <w:sz w:val="20"/>
          <w:szCs w:val="20"/>
        </w:rPr>
        <w:t>FFS the value(s) of X.</w:t>
      </w:r>
      <w:r w:rsidRPr="007359D3">
        <w:rPr>
          <w:b/>
          <w:bCs/>
          <w:i/>
          <w:iCs/>
        </w:rPr>
        <w:t xml:space="preserve">  </w:t>
      </w:r>
    </w:p>
    <w:p w14:paraId="20870278" w14:textId="5E18796D" w:rsidR="00D9195D" w:rsidRPr="00D9195D" w:rsidRDefault="00D9195D" w:rsidP="00FF4218">
      <w:pPr>
        <w:pStyle w:val="af6"/>
        <w:numPr>
          <w:ilvl w:val="0"/>
          <w:numId w:val="8"/>
        </w:numPr>
        <w:spacing w:after="60"/>
        <w:jc w:val="both"/>
        <w:rPr>
          <w:b/>
          <w:bCs/>
          <w:i/>
          <w:iCs/>
          <w:sz w:val="20"/>
          <w:szCs w:val="20"/>
          <w:lang w:val="en-GB"/>
        </w:rPr>
      </w:pPr>
      <w:r w:rsidRPr="005C058A">
        <w:rPr>
          <w:b/>
          <w:bCs/>
          <w:i/>
          <w:iCs/>
          <w:sz w:val="20"/>
          <w:szCs w:val="20"/>
          <w:lang w:val="en-GB"/>
        </w:rPr>
        <w:t>Option#2: The CPU count for computing the CSI report(s) is twice the CPUs required for computing the same CSI report(s) using contiguous CSI-RS resource(s).</w:t>
      </w:r>
    </w:p>
    <w:p w14:paraId="4BDCABA6" w14:textId="7F621120" w:rsidR="00FC207C" w:rsidRPr="00FC207C" w:rsidRDefault="008515F9" w:rsidP="00FF4218">
      <w:pPr>
        <w:pStyle w:val="af6"/>
        <w:numPr>
          <w:ilvl w:val="0"/>
          <w:numId w:val="11"/>
        </w:numPr>
        <w:spacing w:after="60"/>
        <w:jc w:val="both"/>
        <w:rPr>
          <w:i/>
          <w:iCs/>
          <w:lang w:val="en-GB"/>
        </w:rPr>
      </w:pPr>
      <w:r>
        <w:rPr>
          <w:b/>
          <w:bCs/>
          <w:i/>
          <w:iCs/>
          <w:sz w:val="20"/>
          <w:szCs w:val="20"/>
          <w:lang w:val="en-GB"/>
        </w:rPr>
        <w:t xml:space="preserve">Support Option A for </w:t>
      </w:r>
      <w:r w:rsidRPr="00EE7B0E">
        <w:rPr>
          <w:b/>
          <w:bCs/>
          <w:i/>
          <w:iCs/>
          <w:sz w:val="20"/>
          <w:szCs w:val="20"/>
          <w:lang w:val="en-GB"/>
        </w:rPr>
        <w:t>CSI report associated with periodic/semi-persistent CSI-RS</w:t>
      </w:r>
      <w:r w:rsidRPr="008A290F">
        <w:rPr>
          <w:b/>
          <w:bCs/>
          <w:i/>
          <w:iCs/>
          <w:lang w:val="en-GB"/>
        </w:rPr>
        <w:t xml:space="preserve">. </w:t>
      </w:r>
    </w:p>
    <w:p w14:paraId="4EF1793F" w14:textId="5596DEB1" w:rsidR="00FC207C" w:rsidRPr="00BD1781" w:rsidRDefault="00FC207C" w:rsidP="00FF4218">
      <w:pPr>
        <w:pStyle w:val="af6"/>
        <w:numPr>
          <w:ilvl w:val="0"/>
          <w:numId w:val="27"/>
        </w:numPr>
        <w:spacing w:after="60"/>
        <w:jc w:val="both"/>
        <w:rPr>
          <w:i/>
          <w:iCs/>
          <w:lang w:val="en-GB"/>
        </w:rPr>
      </w:pPr>
      <w:r>
        <w:rPr>
          <w:b/>
          <w:bCs/>
          <w:i/>
          <w:iCs/>
          <w:sz w:val="20"/>
          <w:szCs w:val="20"/>
          <w:lang w:val="en-GB"/>
        </w:rPr>
        <w:t>Support Option 4 as baseline for both SPS PDSCH without repetitions and CG PUSCH without repetitions if</w:t>
      </w:r>
      <w:r w:rsidRPr="00714CD5">
        <w:rPr>
          <w:b/>
          <w:bCs/>
          <w:i/>
          <w:iCs/>
          <w:sz w:val="20"/>
          <w:szCs w:val="20"/>
          <w:lang w:val="en-GB"/>
        </w:rPr>
        <w:t xml:space="preserve"> the reception</w:t>
      </w:r>
      <w:r>
        <w:rPr>
          <w:b/>
          <w:bCs/>
          <w:i/>
          <w:iCs/>
          <w:sz w:val="20"/>
          <w:szCs w:val="20"/>
          <w:lang w:val="en-GB"/>
        </w:rPr>
        <w:t>/transmission</w:t>
      </w:r>
      <w:r w:rsidRPr="00714CD5">
        <w:rPr>
          <w:b/>
          <w:bCs/>
          <w:i/>
          <w:iCs/>
          <w:sz w:val="20"/>
          <w:szCs w:val="20"/>
          <w:lang w:val="en-GB"/>
        </w:rPr>
        <w:t xml:space="preserve"> occasions are across SBFD symbols and non-SBFD symbols</w:t>
      </w:r>
      <w:r>
        <w:rPr>
          <w:b/>
          <w:bCs/>
          <w:i/>
          <w:iCs/>
          <w:sz w:val="20"/>
          <w:szCs w:val="20"/>
          <w:lang w:val="en-GB"/>
        </w:rPr>
        <w:t xml:space="preserve">. </w:t>
      </w:r>
    </w:p>
    <w:p w14:paraId="2145EDB8" w14:textId="511A93BD" w:rsidR="00FC207C" w:rsidRPr="00F7439F" w:rsidRDefault="00FC207C" w:rsidP="00FF4218">
      <w:pPr>
        <w:pStyle w:val="af6"/>
        <w:numPr>
          <w:ilvl w:val="0"/>
          <w:numId w:val="26"/>
        </w:numPr>
        <w:spacing w:after="60"/>
        <w:rPr>
          <w:b/>
          <w:bCs/>
          <w:i/>
          <w:iCs/>
          <w:sz w:val="20"/>
          <w:szCs w:val="20"/>
          <w:lang w:val="en-GB"/>
        </w:rPr>
      </w:pPr>
      <w:r w:rsidRPr="00BD1781">
        <w:rPr>
          <w:b/>
          <w:bCs/>
          <w:i/>
          <w:iCs/>
          <w:sz w:val="20"/>
          <w:szCs w:val="20"/>
          <w:lang w:val="en-GB"/>
        </w:rPr>
        <w:t>Option 4: Only SPS PDSCH</w:t>
      </w:r>
      <w:r>
        <w:rPr>
          <w:b/>
          <w:bCs/>
          <w:i/>
          <w:iCs/>
          <w:sz w:val="20"/>
          <w:szCs w:val="20"/>
          <w:lang w:val="en-GB"/>
        </w:rPr>
        <w:t>/CG PUSCH</w:t>
      </w:r>
      <w:r w:rsidRPr="00BD1781">
        <w:rPr>
          <w:b/>
          <w:bCs/>
          <w:i/>
          <w:iCs/>
          <w:sz w:val="20"/>
          <w:szCs w:val="20"/>
          <w:lang w:val="en-GB"/>
        </w:rPr>
        <w:t xml:space="preserve"> reception</w:t>
      </w:r>
      <w:r>
        <w:rPr>
          <w:b/>
          <w:bCs/>
          <w:i/>
          <w:iCs/>
          <w:sz w:val="20"/>
          <w:szCs w:val="20"/>
          <w:lang w:val="en-GB"/>
        </w:rPr>
        <w:t>/transmission</w:t>
      </w:r>
      <w:r w:rsidRPr="00BD1781">
        <w:rPr>
          <w:b/>
          <w:bCs/>
          <w:i/>
          <w:iCs/>
          <w:sz w:val="20"/>
          <w:szCs w:val="20"/>
          <w:lang w:val="en-GB"/>
        </w:rPr>
        <w:t xml:space="preserve"> occasion in one symbol type is valid and SPS PDSCH</w:t>
      </w:r>
      <w:r>
        <w:rPr>
          <w:b/>
          <w:bCs/>
          <w:i/>
          <w:iCs/>
          <w:sz w:val="20"/>
          <w:szCs w:val="20"/>
          <w:lang w:val="en-GB"/>
        </w:rPr>
        <w:t>/CG PUSCH</w:t>
      </w:r>
      <w:r w:rsidRPr="00BD1781">
        <w:rPr>
          <w:b/>
          <w:bCs/>
          <w:i/>
          <w:iCs/>
          <w:sz w:val="20"/>
          <w:szCs w:val="20"/>
          <w:lang w:val="en-GB"/>
        </w:rPr>
        <w:t xml:space="preserve"> reception</w:t>
      </w:r>
      <w:r>
        <w:rPr>
          <w:b/>
          <w:bCs/>
          <w:i/>
          <w:iCs/>
          <w:sz w:val="20"/>
          <w:szCs w:val="20"/>
          <w:lang w:val="en-GB"/>
        </w:rPr>
        <w:t>/transmission</w:t>
      </w:r>
      <w:r w:rsidRPr="00BD1781">
        <w:rPr>
          <w:b/>
          <w:bCs/>
          <w:i/>
          <w:iCs/>
          <w:sz w:val="20"/>
          <w:szCs w:val="20"/>
          <w:lang w:val="en-GB"/>
        </w:rPr>
        <w:t xml:space="preserve"> occasion in the other symbol type is invalid</w:t>
      </w:r>
      <w:r>
        <w:rPr>
          <w:b/>
          <w:bCs/>
          <w:i/>
          <w:iCs/>
          <w:sz w:val="20"/>
          <w:szCs w:val="20"/>
          <w:lang w:val="en-GB"/>
        </w:rPr>
        <w:t xml:space="preserve">. </w:t>
      </w:r>
      <w:r w:rsidRPr="00BD1781">
        <w:rPr>
          <w:b/>
          <w:bCs/>
          <w:i/>
          <w:iCs/>
          <w:sz w:val="20"/>
          <w:szCs w:val="20"/>
          <w:lang w:val="en-GB"/>
        </w:rPr>
        <w:t xml:space="preserve"> </w:t>
      </w:r>
    </w:p>
    <w:p w14:paraId="5F9AE798" w14:textId="77777777" w:rsidR="00F7439F" w:rsidRPr="007911F5" w:rsidRDefault="00F7439F" w:rsidP="00FF4218">
      <w:pPr>
        <w:pStyle w:val="af6"/>
        <w:numPr>
          <w:ilvl w:val="0"/>
          <w:numId w:val="28"/>
        </w:numPr>
        <w:spacing w:after="60"/>
        <w:jc w:val="both"/>
        <w:rPr>
          <w:i/>
          <w:iCs/>
          <w:lang w:val="en-GB"/>
        </w:rPr>
      </w:pPr>
      <w:r>
        <w:rPr>
          <w:b/>
          <w:bCs/>
          <w:i/>
          <w:iCs/>
          <w:sz w:val="20"/>
          <w:szCs w:val="20"/>
          <w:lang w:val="en-GB"/>
        </w:rPr>
        <w:t>Support Option 3 as baseline for PDSCH repetitions</w:t>
      </w:r>
      <w:r w:rsidRPr="007911F5">
        <w:t xml:space="preserve"> </w:t>
      </w:r>
      <w:r w:rsidRPr="007911F5">
        <w:rPr>
          <w:b/>
          <w:bCs/>
          <w:i/>
          <w:iCs/>
          <w:sz w:val="20"/>
          <w:szCs w:val="20"/>
          <w:lang w:val="en-GB"/>
        </w:rPr>
        <w:t>if the reception occasions are across SBFD symbols and non-SBFD symbols</w:t>
      </w:r>
      <w:r>
        <w:rPr>
          <w:b/>
          <w:bCs/>
          <w:i/>
          <w:iCs/>
          <w:sz w:val="20"/>
          <w:szCs w:val="20"/>
          <w:lang w:val="en-GB"/>
        </w:rPr>
        <w:t xml:space="preserve">. </w:t>
      </w:r>
    </w:p>
    <w:p w14:paraId="0A11A035" w14:textId="15E13ABB" w:rsidR="00F7439F" w:rsidRPr="00103AB1" w:rsidRDefault="00F7439F" w:rsidP="00FF4218">
      <w:pPr>
        <w:pStyle w:val="af6"/>
        <w:numPr>
          <w:ilvl w:val="0"/>
          <w:numId w:val="26"/>
        </w:numPr>
        <w:spacing w:after="60"/>
        <w:rPr>
          <w:b/>
          <w:bCs/>
          <w:i/>
          <w:iCs/>
          <w:sz w:val="20"/>
          <w:szCs w:val="20"/>
          <w:lang w:val="en-GB"/>
        </w:rPr>
      </w:pPr>
      <w:r w:rsidRPr="007911F5">
        <w:rPr>
          <w:b/>
          <w:bCs/>
          <w:i/>
          <w:iCs/>
          <w:sz w:val="20"/>
          <w:szCs w:val="20"/>
          <w:lang w:val="en-GB"/>
        </w:rPr>
        <w:t xml:space="preserve">Option </w:t>
      </w:r>
      <w:r>
        <w:rPr>
          <w:b/>
          <w:bCs/>
          <w:i/>
          <w:iCs/>
          <w:sz w:val="20"/>
          <w:szCs w:val="20"/>
          <w:lang w:val="en-GB"/>
        </w:rPr>
        <w:t>3</w:t>
      </w:r>
      <w:r w:rsidRPr="007911F5">
        <w:rPr>
          <w:b/>
          <w:bCs/>
          <w:i/>
          <w:iCs/>
          <w:sz w:val="20"/>
          <w:szCs w:val="20"/>
          <w:lang w:val="en-GB"/>
        </w:rPr>
        <w:t xml:space="preserve">: </w:t>
      </w:r>
      <w:r w:rsidRPr="009A28B1">
        <w:rPr>
          <w:b/>
          <w:bCs/>
          <w:i/>
          <w:iCs/>
          <w:sz w:val="20"/>
          <w:szCs w:val="20"/>
          <w:lang w:val="en-GB"/>
        </w:rPr>
        <w:t>A PDSCH in a slot overlapping with RBs outside DL usable PRBs in SBFD symbols is invalid, e.g.</w:t>
      </w:r>
      <w:r>
        <w:rPr>
          <w:b/>
          <w:bCs/>
          <w:i/>
          <w:iCs/>
          <w:sz w:val="20"/>
          <w:szCs w:val="20"/>
          <w:lang w:val="en-GB"/>
        </w:rPr>
        <w:t>,</w:t>
      </w:r>
      <w:r w:rsidRPr="009A28B1">
        <w:rPr>
          <w:b/>
          <w:bCs/>
          <w:i/>
          <w:iCs/>
          <w:sz w:val="20"/>
          <w:szCs w:val="20"/>
          <w:lang w:val="en-GB"/>
        </w:rPr>
        <w:t xml:space="preserve"> the PDSCH in the slot is dropped</w:t>
      </w:r>
      <w:r w:rsidRPr="007911F5">
        <w:rPr>
          <w:b/>
          <w:bCs/>
          <w:i/>
          <w:iCs/>
          <w:sz w:val="20"/>
          <w:szCs w:val="20"/>
          <w:lang w:val="en-GB"/>
        </w:rPr>
        <w:t xml:space="preserve">.  </w:t>
      </w:r>
    </w:p>
    <w:p w14:paraId="44C6BB8B" w14:textId="77777777" w:rsidR="00103AB1" w:rsidRPr="00822AB9" w:rsidRDefault="00103AB1" w:rsidP="00FF4218">
      <w:pPr>
        <w:pStyle w:val="af6"/>
        <w:numPr>
          <w:ilvl w:val="0"/>
          <w:numId w:val="29"/>
        </w:numPr>
        <w:spacing w:after="60"/>
        <w:jc w:val="both"/>
        <w:rPr>
          <w:i/>
          <w:iCs/>
          <w:lang w:val="en-GB"/>
        </w:rPr>
      </w:pPr>
      <w:r>
        <w:rPr>
          <w:b/>
          <w:bCs/>
          <w:i/>
          <w:iCs/>
          <w:sz w:val="20"/>
          <w:szCs w:val="20"/>
          <w:lang w:val="en-GB"/>
        </w:rPr>
        <w:t xml:space="preserve">Support Option 2 as baseline for CG PUSCH with repetition type-A if </w:t>
      </w:r>
      <w:r w:rsidRPr="005838D8">
        <w:rPr>
          <w:b/>
          <w:bCs/>
          <w:i/>
          <w:iCs/>
          <w:sz w:val="20"/>
          <w:szCs w:val="20"/>
          <w:lang w:val="en-GB"/>
        </w:rPr>
        <w:t xml:space="preserve">repetitions </w:t>
      </w:r>
      <w:r>
        <w:rPr>
          <w:b/>
          <w:bCs/>
          <w:i/>
          <w:iCs/>
          <w:sz w:val="20"/>
          <w:szCs w:val="20"/>
          <w:lang w:val="en-GB"/>
        </w:rPr>
        <w:t xml:space="preserve">are </w:t>
      </w:r>
      <w:r w:rsidRPr="005838D8">
        <w:rPr>
          <w:b/>
          <w:bCs/>
          <w:i/>
          <w:iCs/>
          <w:sz w:val="20"/>
          <w:szCs w:val="20"/>
          <w:lang w:val="en-GB"/>
        </w:rPr>
        <w:t>across SBFD symbols and non-SBFD symbols in different slots</w:t>
      </w:r>
      <w:r>
        <w:rPr>
          <w:b/>
          <w:bCs/>
          <w:i/>
          <w:iCs/>
          <w:sz w:val="20"/>
          <w:szCs w:val="20"/>
          <w:lang w:val="en-GB"/>
        </w:rPr>
        <w:t xml:space="preserve">. </w:t>
      </w:r>
    </w:p>
    <w:p w14:paraId="4F21D2A5" w14:textId="4B5D4A7A" w:rsidR="00F7439F" w:rsidRPr="00103AB1" w:rsidRDefault="00103AB1" w:rsidP="00FF4218">
      <w:pPr>
        <w:pStyle w:val="af6"/>
        <w:numPr>
          <w:ilvl w:val="0"/>
          <w:numId w:val="26"/>
        </w:numPr>
        <w:spacing w:after="60"/>
        <w:rPr>
          <w:b/>
          <w:bCs/>
          <w:i/>
          <w:iCs/>
          <w:sz w:val="20"/>
          <w:szCs w:val="20"/>
          <w:lang w:val="en-GB"/>
        </w:rPr>
      </w:pPr>
      <w:r w:rsidRPr="00822AB9">
        <w:rPr>
          <w:b/>
          <w:bCs/>
          <w:i/>
          <w:iCs/>
          <w:sz w:val="20"/>
          <w:szCs w:val="20"/>
          <w:lang w:val="en-GB"/>
        </w:rPr>
        <w:t>Option 2: Single FDRA configuration/indication for one symbol type (SBFD or non-SBFD symbol) and RB offset(s) configuration/indication/determination to determine resource for the other symbol type</w:t>
      </w:r>
      <w:r>
        <w:rPr>
          <w:b/>
          <w:bCs/>
          <w:i/>
          <w:iCs/>
          <w:sz w:val="20"/>
          <w:szCs w:val="20"/>
          <w:lang w:val="en-GB"/>
        </w:rPr>
        <w:t xml:space="preserve">. </w:t>
      </w:r>
      <w:r w:rsidRPr="00822AB9">
        <w:rPr>
          <w:b/>
          <w:bCs/>
          <w:i/>
          <w:iCs/>
          <w:sz w:val="20"/>
          <w:szCs w:val="20"/>
          <w:lang w:val="en-GB"/>
        </w:rPr>
        <w:t xml:space="preserve"> </w:t>
      </w:r>
    </w:p>
    <w:p w14:paraId="139D40E1" w14:textId="77777777" w:rsidR="008515F9" w:rsidRDefault="008515F9" w:rsidP="00FF4218">
      <w:pPr>
        <w:pStyle w:val="af6"/>
        <w:numPr>
          <w:ilvl w:val="0"/>
          <w:numId w:val="30"/>
        </w:numPr>
        <w:spacing w:after="60"/>
        <w:jc w:val="both"/>
        <w:rPr>
          <w:b/>
          <w:bCs/>
          <w:i/>
          <w:iCs/>
          <w:sz w:val="20"/>
          <w:szCs w:val="20"/>
          <w:lang w:val="en-GB"/>
        </w:rPr>
      </w:pPr>
      <w:r>
        <w:rPr>
          <w:b/>
          <w:bCs/>
          <w:i/>
          <w:iCs/>
          <w:sz w:val="20"/>
          <w:szCs w:val="20"/>
          <w:lang w:val="en-GB"/>
        </w:rPr>
        <w:t>For intra-slot FH on SBFD slot update FH hopping calculation as follows.</w:t>
      </w:r>
    </w:p>
    <w:p w14:paraId="12CEAA8B" w14:textId="77777777" w:rsidR="008515F9" w:rsidRDefault="008515F9" w:rsidP="00FF4218">
      <w:pPr>
        <w:pStyle w:val="af6"/>
        <w:numPr>
          <w:ilvl w:val="0"/>
          <w:numId w:val="18"/>
        </w:numPr>
        <w:spacing w:after="60"/>
        <w:jc w:val="both"/>
        <w:rPr>
          <w:b/>
          <w:bCs/>
          <w:i/>
          <w:iCs/>
          <w:sz w:val="20"/>
          <w:szCs w:val="20"/>
          <w:lang w:val="en-GB"/>
        </w:rPr>
      </w:pPr>
      <w:r>
        <w:rPr>
          <w:b/>
          <w:bCs/>
          <w:i/>
          <w:iCs/>
          <w:sz w:val="20"/>
          <w:szCs w:val="20"/>
          <w:lang w:val="en-GB"/>
        </w:rPr>
        <w:t>Set number of RBs used in modulo expression to total number of symbols in UL usable PRBs, when determining position of second frequency hop</w:t>
      </w:r>
      <w:r w:rsidRPr="008A290F">
        <w:rPr>
          <w:b/>
          <w:bCs/>
          <w:i/>
          <w:iCs/>
          <w:sz w:val="20"/>
          <w:szCs w:val="20"/>
          <w:lang w:val="en-GB"/>
        </w:rPr>
        <w:t>.</w:t>
      </w:r>
    </w:p>
    <w:p w14:paraId="59D411E1" w14:textId="77777777" w:rsidR="008515F9" w:rsidRDefault="008515F9" w:rsidP="00FF4218">
      <w:pPr>
        <w:pStyle w:val="af6"/>
        <w:numPr>
          <w:ilvl w:val="0"/>
          <w:numId w:val="30"/>
        </w:numPr>
        <w:spacing w:after="60"/>
        <w:jc w:val="both"/>
        <w:rPr>
          <w:b/>
          <w:bCs/>
          <w:i/>
          <w:iCs/>
          <w:sz w:val="20"/>
          <w:szCs w:val="20"/>
          <w:lang w:val="en-GB"/>
        </w:rPr>
      </w:pPr>
      <w:r>
        <w:rPr>
          <w:b/>
          <w:bCs/>
          <w:i/>
          <w:iCs/>
          <w:sz w:val="20"/>
          <w:szCs w:val="20"/>
          <w:lang w:val="en-GB"/>
        </w:rPr>
        <w:t>For inter-slot frequency hopping update FH hopping calculation as follows.</w:t>
      </w:r>
    </w:p>
    <w:p w14:paraId="37BEBBE1" w14:textId="77777777" w:rsidR="008515F9" w:rsidRPr="00C8759E" w:rsidRDefault="008515F9" w:rsidP="00FF4218">
      <w:pPr>
        <w:pStyle w:val="af6"/>
        <w:numPr>
          <w:ilvl w:val="0"/>
          <w:numId w:val="23"/>
        </w:numPr>
        <w:spacing w:after="60"/>
        <w:jc w:val="both"/>
        <w:rPr>
          <w:b/>
          <w:bCs/>
          <w:i/>
          <w:iCs/>
          <w:sz w:val="20"/>
          <w:szCs w:val="20"/>
          <w:lang w:val="en-GB"/>
        </w:rPr>
      </w:pPr>
      <w:r>
        <w:rPr>
          <w:b/>
          <w:bCs/>
          <w:i/>
          <w:iCs/>
          <w:sz w:val="20"/>
          <w:szCs w:val="20"/>
          <w:lang w:val="en-GB"/>
        </w:rPr>
        <w:t>On SBFD slots s</w:t>
      </w:r>
      <w:r w:rsidRPr="00C8759E">
        <w:rPr>
          <w:b/>
          <w:bCs/>
          <w:i/>
          <w:iCs/>
          <w:sz w:val="20"/>
          <w:szCs w:val="20"/>
          <w:lang w:val="en-GB"/>
        </w:rPr>
        <w:t>et the number of RBs used in modulo expression to the total number of RBs of UL usable PRB</w:t>
      </w:r>
      <w:r>
        <w:rPr>
          <w:b/>
          <w:bCs/>
          <w:i/>
          <w:iCs/>
          <w:sz w:val="20"/>
          <w:szCs w:val="20"/>
          <w:lang w:val="en-GB"/>
        </w:rPr>
        <w:t xml:space="preserve">, when </w:t>
      </w:r>
      <w:r w:rsidRPr="00C8759E">
        <w:rPr>
          <w:b/>
          <w:bCs/>
          <w:i/>
          <w:iCs/>
          <w:sz w:val="20"/>
          <w:szCs w:val="20"/>
          <w:lang w:val="en-GB"/>
        </w:rPr>
        <w:t>determining position of the second</w:t>
      </w:r>
      <w:r>
        <w:rPr>
          <w:b/>
          <w:bCs/>
          <w:i/>
          <w:iCs/>
          <w:sz w:val="20"/>
          <w:szCs w:val="20"/>
          <w:lang w:val="en-GB"/>
        </w:rPr>
        <w:t xml:space="preserve"> frequency</w:t>
      </w:r>
      <w:r w:rsidRPr="00C8759E">
        <w:rPr>
          <w:b/>
          <w:bCs/>
          <w:i/>
          <w:iCs/>
          <w:sz w:val="20"/>
          <w:szCs w:val="20"/>
          <w:lang w:val="en-GB"/>
        </w:rPr>
        <w:t xml:space="preserve"> hop</w:t>
      </w:r>
    </w:p>
    <w:p w14:paraId="61CAC0F5" w14:textId="0CEC5448" w:rsidR="008515F9" w:rsidRPr="00123F79" w:rsidRDefault="008515F9" w:rsidP="00FF4218">
      <w:pPr>
        <w:pStyle w:val="af6"/>
        <w:numPr>
          <w:ilvl w:val="0"/>
          <w:numId w:val="23"/>
        </w:numPr>
        <w:spacing w:after="60"/>
        <w:jc w:val="both"/>
        <w:rPr>
          <w:b/>
          <w:bCs/>
          <w:i/>
          <w:iCs/>
          <w:sz w:val="20"/>
          <w:szCs w:val="20"/>
          <w:lang w:val="en-GB"/>
        </w:rPr>
      </w:pPr>
      <w:r w:rsidRPr="00C8759E">
        <w:rPr>
          <w:b/>
          <w:bCs/>
          <w:i/>
          <w:iCs/>
          <w:sz w:val="20"/>
          <w:szCs w:val="20"/>
          <w:lang w:val="en-GB"/>
        </w:rPr>
        <w:t>Includ</w:t>
      </w:r>
      <w:r w:rsidR="00E263B8">
        <w:rPr>
          <w:b/>
          <w:bCs/>
          <w:i/>
          <w:iCs/>
          <w:sz w:val="20"/>
          <w:szCs w:val="20"/>
          <w:lang w:val="en-GB"/>
        </w:rPr>
        <w:t>e</w:t>
      </w:r>
      <w:r w:rsidRPr="00C8759E">
        <w:rPr>
          <w:b/>
          <w:bCs/>
          <w:i/>
          <w:iCs/>
          <w:sz w:val="20"/>
          <w:szCs w:val="20"/>
          <w:lang w:val="en-GB"/>
        </w:rPr>
        <w:t xml:space="preserve"> an RB offset which points to the lowest RB index of the corresponding slot type</w:t>
      </w:r>
      <w:r>
        <w:rPr>
          <w:b/>
          <w:bCs/>
          <w:i/>
          <w:iCs/>
          <w:sz w:val="20"/>
          <w:szCs w:val="20"/>
          <w:lang w:val="en-GB"/>
        </w:rPr>
        <w:t xml:space="preserve">. </w:t>
      </w:r>
      <w:r w:rsidRPr="00C8759E">
        <w:rPr>
          <w:b/>
          <w:bCs/>
          <w:i/>
          <w:iCs/>
          <w:sz w:val="20"/>
          <w:szCs w:val="20"/>
          <w:lang w:val="en-GB"/>
        </w:rPr>
        <w:t xml:space="preserve"> </w:t>
      </w:r>
    </w:p>
    <w:p w14:paraId="1D3D0E42" w14:textId="77777777" w:rsidR="008515F9" w:rsidRPr="008515F9" w:rsidRDefault="008515F9" w:rsidP="00FF4218">
      <w:pPr>
        <w:pStyle w:val="af6"/>
        <w:numPr>
          <w:ilvl w:val="0"/>
          <w:numId w:val="30"/>
        </w:numPr>
        <w:spacing w:after="60"/>
        <w:jc w:val="both"/>
        <w:rPr>
          <w:b/>
          <w:bCs/>
          <w:i/>
          <w:iCs/>
          <w:sz w:val="20"/>
          <w:szCs w:val="20"/>
          <w:lang w:val="en-GB"/>
        </w:rPr>
      </w:pPr>
      <w:r>
        <w:rPr>
          <w:rFonts w:cstheme="minorHAnsi"/>
          <w:b/>
          <w:bCs/>
          <w:i/>
          <w:iCs/>
          <w:sz w:val="20"/>
          <w:szCs w:val="20"/>
          <w:lang w:val="en-GB"/>
        </w:rPr>
        <w:lastRenderedPageBreak/>
        <w:t>SBFD slot consisting of SSBs symbols are considered as full DL symbol</w:t>
      </w:r>
      <w:r w:rsidRPr="008A290F">
        <w:rPr>
          <w:rFonts w:cstheme="minorHAnsi"/>
          <w:b/>
          <w:bCs/>
          <w:i/>
          <w:iCs/>
          <w:sz w:val="20"/>
          <w:szCs w:val="20"/>
          <w:lang w:val="en-GB"/>
        </w:rPr>
        <w:t xml:space="preserve">. </w:t>
      </w:r>
    </w:p>
    <w:p w14:paraId="0EDAC676" w14:textId="2C4C1498" w:rsidR="008515F9" w:rsidRPr="005E05F9" w:rsidRDefault="008515F9" w:rsidP="00FF4218">
      <w:pPr>
        <w:pStyle w:val="af6"/>
        <w:numPr>
          <w:ilvl w:val="0"/>
          <w:numId w:val="30"/>
        </w:numPr>
        <w:spacing w:after="60"/>
        <w:jc w:val="both"/>
        <w:rPr>
          <w:b/>
          <w:bCs/>
          <w:i/>
          <w:iCs/>
          <w:sz w:val="20"/>
          <w:szCs w:val="20"/>
          <w:lang w:val="en-GB"/>
        </w:rPr>
      </w:pPr>
      <w:r w:rsidRPr="005E05F9">
        <w:rPr>
          <w:b/>
          <w:bCs/>
          <w:i/>
          <w:iCs/>
          <w:sz w:val="20"/>
          <w:szCs w:val="20"/>
          <w:lang w:val="en-GB"/>
        </w:rPr>
        <w:t>Within a half radio frame containing SS</w:t>
      </w:r>
      <w:r>
        <w:rPr>
          <w:b/>
          <w:bCs/>
          <w:i/>
          <w:iCs/>
          <w:sz w:val="20"/>
          <w:szCs w:val="20"/>
          <w:lang w:val="en-GB"/>
        </w:rPr>
        <w:t>Bs</w:t>
      </w:r>
      <w:r w:rsidRPr="005E05F9">
        <w:rPr>
          <w:b/>
          <w:bCs/>
          <w:i/>
          <w:iCs/>
          <w:sz w:val="20"/>
          <w:szCs w:val="20"/>
          <w:lang w:val="en-GB"/>
        </w:rPr>
        <w:t>, all SBFD slots</w:t>
      </w:r>
      <w:r>
        <w:rPr>
          <w:b/>
          <w:bCs/>
          <w:i/>
          <w:iCs/>
          <w:sz w:val="20"/>
          <w:szCs w:val="20"/>
          <w:lang w:val="en-GB"/>
        </w:rPr>
        <w:t xml:space="preserve"> </w:t>
      </w:r>
      <w:r w:rsidRPr="005E05F9">
        <w:rPr>
          <w:b/>
          <w:bCs/>
          <w:i/>
          <w:iCs/>
          <w:sz w:val="20"/>
          <w:szCs w:val="20"/>
          <w:lang w:val="en-GB"/>
        </w:rPr>
        <w:t>up to a “reference slot”</w:t>
      </w:r>
      <w:r>
        <w:rPr>
          <w:b/>
          <w:bCs/>
          <w:i/>
          <w:iCs/>
          <w:sz w:val="20"/>
          <w:szCs w:val="20"/>
          <w:lang w:val="en-GB"/>
        </w:rPr>
        <w:t xml:space="preserve"> are considered as</w:t>
      </w:r>
      <w:r w:rsidRPr="005E05F9">
        <w:rPr>
          <w:b/>
          <w:bCs/>
          <w:i/>
          <w:iCs/>
          <w:sz w:val="20"/>
          <w:szCs w:val="20"/>
          <w:lang w:val="en-GB"/>
        </w:rPr>
        <w:t xml:space="preserve"> full downlink slots</w:t>
      </w:r>
      <w:r>
        <w:rPr>
          <w:b/>
          <w:bCs/>
          <w:i/>
          <w:iCs/>
          <w:sz w:val="20"/>
          <w:szCs w:val="20"/>
          <w:lang w:val="en-GB"/>
        </w:rPr>
        <w:t>. The reference slot overlaps with the slot containing the last SSB within the half frame</w:t>
      </w:r>
      <w:r w:rsidR="003D73BB">
        <w:rPr>
          <w:b/>
          <w:bCs/>
          <w:i/>
          <w:iCs/>
          <w:sz w:val="20"/>
          <w:szCs w:val="20"/>
          <w:lang w:val="en-GB"/>
        </w:rPr>
        <w:t>.</w:t>
      </w:r>
    </w:p>
    <w:p w14:paraId="53CD9119" w14:textId="5206E1F5" w:rsidR="00885580" w:rsidRPr="008A290F" w:rsidRDefault="00885580" w:rsidP="00107D41">
      <w:pPr>
        <w:pStyle w:val="1"/>
        <w:numPr>
          <w:ilvl w:val="0"/>
          <w:numId w:val="0"/>
        </w:numPr>
        <w:spacing w:before="0" w:after="0"/>
        <w:jc w:val="both"/>
      </w:pPr>
      <w:r w:rsidRPr="008A290F">
        <w:t>References</w:t>
      </w:r>
    </w:p>
    <w:p w14:paraId="409E425E" w14:textId="77777777" w:rsidR="00FB3D16" w:rsidRPr="003009C2" w:rsidRDefault="00FB3D16" w:rsidP="00FB3D16">
      <w:pPr>
        <w:pStyle w:val="af6"/>
        <w:numPr>
          <w:ilvl w:val="0"/>
          <w:numId w:val="4"/>
        </w:numPr>
        <w:contextualSpacing w:val="0"/>
        <w:rPr>
          <w:sz w:val="20"/>
          <w:szCs w:val="20"/>
          <w:lang w:val="en-GB"/>
        </w:rPr>
      </w:pPr>
      <w:bookmarkStart w:id="16" w:name="_Ref47545028"/>
      <w:bookmarkStart w:id="17" w:name="_Ref159238007"/>
      <w:r w:rsidRPr="000D401B">
        <w:rPr>
          <w:sz w:val="20"/>
          <w:szCs w:val="20"/>
          <w:lang w:val="en-GB"/>
        </w:rPr>
        <w:t>RP-24</w:t>
      </w:r>
      <w:r>
        <w:rPr>
          <w:sz w:val="20"/>
          <w:szCs w:val="20"/>
          <w:lang w:val="en-GB"/>
        </w:rPr>
        <w:t>1614</w:t>
      </w:r>
      <w:r w:rsidRPr="000D401B">
        <w:rPr>
          <w:sz w:val="20"/>
          <w:szCs w:val="20"/>
          <w:lang w:val="en-GB"/>
        </w:rPr>
        <w:t>, “</w:t>
      </w:r>
      <w:r>
        <w:rPr>
          <w:sz w:val="20"/>
          <w:szCs w:val="20"/>
          <w:lang w:val="en-GB"/>
        </w:rPr>
        <w:t xml:space="preserve">Revised </w:t>
      </w:r>
      <w:r w:rsidRPr="000D401B">
        <w:rPr>
          <w:sz w:val="20"/>
          <w:szCs w:val="20"/>
          <w:lang w:val="en-GB"/>
        </w:rPr>
        <w:t xml:space="preserve">WID: Evolution of NR duplex operation: Sub-band full duplex (SBFD)”, </w:t>
      </w:r>
      <w:r>
        <w:rPr>
          <w:sz w:val="20"/>
          <w:szCs w:val="20"/>
          <w:lang w:val="en-GB"/>
        </w:rPr>
        <w:t xml:space="preserve">3GPP TSG RAN Meeting </w:t>
      </w:r>
      <w:r w:rsidRPr="000D401B">
        <w:rPr>
          <w:sz w:val="20"/>
          <w:szCs w:val="20"/>
          <w:lang w:val="en-GB"/>
        </w:rPr>
        <w:t xml:space="preserve">#103, </w:t>
      </w:r>
      <w:r>
        <w:rPr>
          <w:sz w:val="20"/>
          <w:szCs w:val="20"/>
          <w:lang w:val="en-GB"/>
        </w:rPr>
        <w:t>June</w:t>
      </w:r>
      <w:r w:rsidRPr="000D401B">
        <w:rPr>
          <w:sz w:val="20"/>
          <w:szCs w:val="20"/>
          <w:lang w:val="en-GB"/>
        </w:rPr>
        <w:t xml:space="preserve"> 202</w:t>
      </w:r>
      <w:bookmarkEnd w:id="16"/>
      <w:r w:rsidRPr="000D401B">
        <w:rPr>
          <w:sz w:val="20"/>
          <w:szCs w:val="20"/>
          <w:lang w:val="en-GB"/>
        </w:rPr>
        <w:t>4.</w:t>
      </w:r>
      <w:bookmarkEnd w:id="17"/>
    </w:p>
    <w:p w14:paraId="4287A888" w14:textId="6F23847B" w:rsidR="00753482" w:rsidRPr="008A290F" w:rsidRDefault="00753482" w:rsidP="00FB3D16">
      <w:pPr>
        <w:pStyle w:val="af6"/>
        <w:ind w:left="360"/>
        <w:contextualSpacing w:val="0"/>
        <w:rPr>
          <w:sz w:val="20"/>
          <w:szCs w:val="20"/>
          <w:lang w:val="en-GB"/>
        </w:rPr>
      </w:pPr>
    </w:p>
    <w:sectPr w:rsidR="00753482" w:rsidRPr="008A290F" w:rsidSect="000131D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9C41E" w14:textId="77777777" w:rsidR="00F50CA8" w:rsidRDefault="00F50CA8">
      <w:r>
        <w:separator/>
      </w:r>
    </w:p>
  </w:endnote>
  <w:endnote w:type="continuationSeparator" w:id="0">
    <w:p w14:paraId="7BDE9AE5" w14:textId="77777777" w:rsidR="00F50CA8" w:rsidRDefault="00F50CA8">
      <w:r>
        <w:continuationSeparator/>
      </w:r>
    </w:p>
  </w:endnote>
  <w:endnote w:type="continuationNotice" w:id="1">
    <w:p w14:paraId="027A780B" w14:textId="77777777" w:rsidR="00F50CA8" w:rsidRDefault="00F50C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BFADF" w14:textId="77777777" w:rsidR="00F50CA8" w:rsidRDefault="00F50CA8">
      <w:r>
        <w:separator/>
      </w:r>
    </w:p>
  </w:footnote>
  <w:footnote w:type="continuationSeparator" w:id="0">
    <w:p w14:paraId="7685BF34" w14:textId="77777777" w:rsidR="00F50CA8" w:rsidRDefault="00F50CA8">
      <w:r>
        <w:continuationSeparator/>
      </w:r>
    </w:p>
  </w:footnote>
  <w:footnote w:type="continuationNotice" w:id="1">
    <w:p w14:paraId="56C5F4E1" w14:textId="77777777" w:rsidR="00F50CA8" w:rsidRDefault="00F50CA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13F9C"/>
    <w:multiLevelType w:val="hybridMultilevel"/>
    <w:tmpl w:val="D2ACC952"/>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97D208A"/>
    <w:multiLevelType w:val="hybridMultilevel"/>
    <w:tmpl w:val="11124B9C"/>
    <w:lvl w:ilvl="0" w:tplc="FFFFFFFF">
      <w:start w:val="1"/>
      <w:numFmt w:val="decimal"/>
      <w:suff w:val="space"/>
      <w:lvlText w:val="Proposal %1:"/>
      <w:lvlJc w:val="left"/>
      <w:pPr>
        <w:ind w:left="0" w:firstLine="0"/>
      </w:pPr>
      <w:rPr>
        <w:rFonts w:hint="default"/>
        <w:b/>
        <w:bCs/>
        <w:i/>
        <w:i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4" w15:restartNumberingAfterBreak="0">
    <w:nsid w:val="11551622"/>
    <w:multiLevelType w:val="hybridMultilevel"/>
    <w:tmpl w:val="EB863760"/>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5C52F9"/>
    <w:multiLevelType w:val="hybridMultilevel"/>
    <w:tmpl w:val="A380DB3A"/>
    <w:lvl w:ilvl="0" w:tplc="04883DB8">
      <w:start w:val="1"/>
      <w:numFmt w:val="decimal"/>
      <w:suff w:val="space"/>
      <w:lvlText w:val="Observation %1:"/>
      <w:lvlJc w:val="left"/>
      <w:pPr>
        <w:ind w:left="0" w:firstLine="0"/>
      </w:pPr>
      <w:rPr>
        <w:rFonts w:hint="default"/>
        <w:b/>
        <w:bCs/>
        <w:i/>
        <w:i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CF23D6"/>
    <w:multiLevelType w:val="hybridMultilevel"/>
    <w:tmpl w:val="1C007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B5452"/>
    <w:multiLevelType w:val="hybridMultilevel"/>
    <w:tmpl w:val="3614F0DE"/>
    <w:lvl w:ilvl="0" w:tplc="BBB6DA2A">
      <w:start w:val="11"/>
      <w:numFmt w:val="decimal"/>
      <w:suff w:val="space"/>
      <w:lvlText w:val="Proposal %1:"/>
      <w:lvlJc w:val="left"/>
      <w:pPr>
        <w:ind w:left="0" w:firstLine="0"/>
      </w:pPr>
      <w:rPr>
        <w:rFonts w:hint="default"/>
        <w:b/>
        <w:bCs/>
        <w:i/>
        <w:i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AC1B14"/>
    <w:multiLevelType w:val="hybridMultilevel"/>
    <w:tmpl w:val="CED457C4"/>
    <w:lvl w:ilvl="0" w:tplc="678E45F2">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A96221"/>
    <w:multiLevelType w:val="multilevel"/>
    <w:tmpl w:val="22A96221"/>
    <w:lvl w:ilvl="0">
      <w:start w:val="1"/>
      <w:numFmt w:val="bullet"/>
      <w:lvlText w:val="•"/>
      <w:lvlJc w:val="left"/>
      <w:pPr>
        <w:tabs>
          <w:tab w:val="left" w:pos="0"/>
        </w:tabs>
        <w:ind w:left="420" w:hanging="420"/>
      </w:pPr>
      <w:rPr>
        <w:rFonts w:ascii="Arial" w:hAnsi="Arial" w:cs="Arial" w:hint="default"/>
      </w:rPr>
    </w:lvl>
    <w:lvl w:ilvl="1">
      <w:numFmt w:val="bullet"/>
      <w:lvlText w:val="-"/>
      <w:lvlJc w:val="left"/>
      <w:pPr>
        <w:tabs>
          <w:tab w:val="left" w:pos="0"/>
        </w:tabs>
        <w:ind w:left="840" w:hanging="420"/>
      </w:pPr>
      <w:rPr>
        <w:rFonts w:ascii="Times" w:hAnsi="Times" w:cs="Time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Times" w:hAnsi="Times" w:cs="Times" w:hint="default"/>
      </w:rPr>
    </w:lvl>
    <w:lvl w:ilvl="4">
      <w:start w:val="1"/>
      <w:numFmt w:val="bullet"/>
      <w:lvlText w:val="o"/>
      <w:lvlJc w:val="left"/>
      <w:pPr>
        <w:tabs>
          <w:tab w:val="left" w:pos="0"/>
        </w:tabs>
        <w:ind w:left="2100" w:hanging="420"/>
      </w:pPr>
      <w:rPr>
        <w:rFonts w:ascii="Courier New" w:hAnsi="Courier New" w:cs="Courier New" w:hint="default"/>
      </w:rPr>
    </w:lvl>
    <w:lvl w:ilvl="5">
      <w:start w:val="1"/>
      <w:numFmt w:val="bullet"/>
      <w:lvlText w:val="o"/>
      <w:lvlJc w:val="left"/>
      <w:pPr>
        <w:tabs>
          <w:tab w:val="left" w:pos="0"/>
        </w:tabs>
        <w:ind w:left="2520" w:hanging="420"/>
      </w:pPr>
      <w:rPr>
        <w:rFonts w:ascii="Courier New" w:hAnsi="Courier New" w:cs="Courier New"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0" w15:restartNumberingAfterBreak="0">
    <w:nsid w:val="23250D20"/>
    <w:multiLevelType w:val="hybridMultilevel"/>
    <w:tmpl w:val="BC1E7A2C"/>
    <w:lvl w:ilvl="0" w:tplc="C09A5690">
      <w:start w:val="12"/>
      <w:numFmt w:val="decimal"/>
      <w:suff w:val="space"/>
      <w:lvlText w:val="Proposal %1:"/>
      <w:lvlJc w:val="left"/>
      <w:pPr>
        <w:ind w:left="0" w:firstLine="0"/>
      </w:pPr>
      <w:rPr>
        <w:rFonts w:hint="default"/>
        <w:b/>
        <w:bCs/>
        <w:i/>
        <w:i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9C051B"/>
    <w:multiLevelType w:val="hybridMultilevel"/>
    <w:tmpl w:val="01A8FCA6"/>
    <w:lvl w:ilvl="0" w:tplc="44C83C18">
      <w:start w:val="10"/>
      <w:numFmt w:val="decimal"/>
      <w:suff w:val="space"/>
      <w:lvlText w:val="Proposal %1:"/>
      <w:lvlJc w:val="left"/>
      <w:pPr>
        <w:ind w:left="0" w:firstLine="0"/>
      </w:pPr>
      <w:rPr>
        <w:rFonts w:hint="default"/>
        <w:b/>
        <w:bCs/>
        <w:i/>
        <w:i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D02549"/>
    <w:multiLevelType w:val="hybridMultilevel"/>
    <w:tmpl w:val="3E743FA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2C2B262F"/>
    <w:multiLevelType w:val="hybridMultilevel"/>
    <w:tmpl w:val="4B0217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317E25"/>
    <w:multiLevelType w:val="hybridMultilevel"/>
    <w:tmpl w:val="5468A18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2E1F1868"/>
    <w:multiLevelType w:val="multilevel"/>
    <w:tmpl w:val="B4824FB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80141A"/>
    <w:multiLevelType w:val="hybridMultilevel"/>
    <w:tmpl w:val="30CEA188"/>
    <w:lvl w:ilvl="0" w:tplc="FFFFFFFF">
      <w:start w:val="1"/>
      <w:numFmt w:val="decimal"/>
      <w:suff w:val="space"/>
      <w:lvlText w:val="Observation %1:"/>
      <w:lvlJc w:val="left"/>
      <w:pPr>
        <w:ind w:left="0" w:firstLine="0"/>
      </w:pPr>
      <w:rPr>
        <w:rFonts w:hint="default"/>
        <w:b/>
        <w:bCs/>
        <w:i/>
        <w:i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DA1D56"/>
    <w:multiLevelType w:val="hybridMultilevel"/>
    <w:tmpl w:val="46F233B6"/>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453F3D89"/>
    <w:multiLevelType w:val="hybridMultilevel"/>
    <w:tmpl w:val="DDF0D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771628"/>
    <w:multiLevelType w:val="hybridMultilevel"/>
    <w:tmpl w:val="6510945C"/>
    <w:lvl w:ilvl="0" w:tplc="215AD382">
      <w:start w:val="9"/>
      <w:numFmt w:val="decimal"/>
      <w:suff w:val="space"/>
      <w:lvlText w:val="Proposal %1:"/>
      <w:lvlJc w:val="left"/>
      <w:pPr>
        <w:ind w:left="0" w:firstLine="0"/>
      </w:pPr>
      <w:rPr>
        <w:rFonts w:hint="default"/>
        <w:b/>
        <w:bCs/>
        <w:i/>
        <w:i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7109A8"/>
    <w:multiLevelType w:val="hybridMultilevel"/>
    <w:tmpl w:val="1306205E"/>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F2D49BF"/>
    <w:multiLevelType w:val="hybridMultilevel"/>
    <w:tmpl w:val="CC4E44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370380"/>
    <w:multiLevelType w:val="hybridMultilevel"/>
    <w:tmpl w:val="E4424A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F903FC"/>
    <w:multiLevelType w:val="hybridMultilevel"/>
    <w:tmpl w:val="CA467CCA"/>
    <w:lvl w:ilvl="0" w:tplc="D8CCC806">
      <w:start w:val="1"/>
      <w:numFmt w:val="decimal"/>
      <w:suff w:val="space"/>
      <w:lvlText w:val="Proposal %1:"/>
      <w:lvlJc w:val="left"/>
      <w:pPr>
        <w:ind w:left="0" w:firstLine="0"/>
      </w:pPr>
      <w:rPr>
        <w:rFonts w:hint="default"/>
        <w:b/>
        <w:bCs/>
        <w:i/>
        <w:i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2B52A8"/>
    <w:multiLevelType w:val="hybridMultilevel"/>
    <w:tmpl w:val="9C88A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E3009A"/>
    <w:multiLevelType w:val="hybridMultilevel"/>
    <w:tmpl w:val="40EC1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8970E4"/>
    <w:multiLevelType w:val="hybridMultilevel"/>
    <w:tmpl w:val="D6C02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656038">
    <w:abstractNumId w:val="15"/>
  </w:num>
  <w:num w:numId="2" w16cid:durableId="1150443308">
    <w:abstractNumId w:val="17"/>
  </w:num>
  <w:num w:numId="3" w16cid:durableId="1232157210">
    <w:abstractNumId w:val="0"/>
  </w:num>
  <w:num w:numId="4" w16cid:durableId="801003285">
    <w:abstractNumId w:val="8"/>
  </w:num>
  <w:num w:numId="5" w16cid:durableId="1635720867">
    <w:abstractNumId w:val="3"/>
  </w:num>
  <w:num w:numId="6" w16cid:durableId="13298211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8001381">
    <w:abstractNumId w:val="1"/>
  </w:num>
  <w:num w:numId="8" w16cid:durableId="1987780578">
    <w:abstractNumId w:val="4"/>
  </w:num>
  <w:num w:numId="9" w16cid:durableId="1214852150">
    <w:abstractNumId w:val="26"/>
  </w:num>
  <w:num w:numId="10" w16cid:durableId="696389049">
    <w:abstractNumId w:val="5"/>
  </w:num>
  <w:num w:numId="11" w16cid:durableId="12251">
    <w:abstractNumId w:val="2"/>
  </w:num>
  <w:num w:numId="12" w16cid:durableId="12074279">
    <w:abstractNumId w:val="19"/>
  </w:num>
  <w:num w:numId="13" w16cid:durableId="1519392756">
    <w:abstractNumId w:val="6"/>
  </w:num>
  <w:num w:numId="14" w16cid:durableId="1258441979">
    <w:abstractNumId w:val="18"/>
  </w:num>
  <w:num w:numId="15" w16cid:durableId="566309856">
    <w:abstractNumId w:val="22"/>
  </w:num>
  <w:num w:numId="16" w16cid:durableId="769620124">
    <w:abstractNumId w:val="9"/>
  </w:num>
  <w:num w:numId="17" w16cid:durableId="1924411118">
    <w:abstractNumId w:val="13"/>
  </w:num>
  <w:num w:numId="18" w16cid:durableId="1639920265">
    <w:abstractNumId w:val="29"/>
  </w:num>
  <w:num w:numId="19" w16cid:durableId="474178274">
    <w:abstractNumId w:val="16"/>
  </w:num>
  <w:num w:numId="20" w16cid:durableId="1121877848">
    <w:abstractNumId w:val="14"/>
  </w:num>
  <w:num w:numId="21" w16cid:durableId="51656025">
    <w:abstractNumId w:val="25"/>
  </w:num>
  <w:num w:numId="22" w16cid:durableId="1458062175">
    <w:abstractNumId w:val="20"/>
  </w:num>
  <w:num w:numId="23" w16cid:durableId="16393565">
    <w:abstractNumId w:val="12"/>
  </w:num>
  <w:num w:numId="24" w16cid:durableId="2075203221">
    <w:abstractNumId w:val="27"/>
  </w:num>
  <w:num w:numId="25" w16cid:durableId="21133225">
    <w:abstractNumId w:val="24"/>
  </w:num>
  <w:num w:numId="26" w16cid:durableId="1735080693">
    <w:abstractNumId w:val="28"/>
  </w:num>
  <w:num w:numId="27" w16cid:durableId="1851293389">
    <w:abstractNumId w:val="21"/>
  </w:num>
  <w:num w:numId="28" w16cid:durableId="53818452">
    <w:abstractNumId w:val="11"/>
  </w:num>
  <w:num w:numId="29" w16cid:durableId="189726923">
    <w:abstractNumId w:val="7"/>
  </w:num>
  <w:num w:numId="30" w16cid:durableId="670446459">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s-ES" w:vendorID="64" w:dllVersion="0" w:nlCheck="1" w:checkStyle="1"/>
  <w:activeWritingStyle w:appName="MSWord" w:lang="it-IT" w:vendorID="64" w:dllVersion="0" w:nlCheck="1" w:checkStyle="0"/>
  <w:activeWritingStyle w:appName="MSWord" w:lang="fi-FI" w:vendorID="64" w:dllVersion="0" w:nlCheck="1" w:checkStyle="0"/>
  <w:activeWritingStyle w:appName="MSWord" w:lang="en-AU" w:vendorID="64" w:dllVersion="0" w:nlCheck="1" w:checkStyle="0"/>
  <w:activeWritingStyle w:appName="MSWord" w:lang="hu-HU" w:vendorID="64" w:dllVersion="0"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NDU0MDc0NDAyNDezsLBQ0lEKTi0uzszPAykwrAUAhwGmYywAAAA="/>
  </w:docVars>
  <w:rsids>
    <w:rsidRoot w:val="002B2813"/>
    <w:rsid w:val="00000011"/>
    <w:rsid w:val="000001C4"/>
    <w:rsid w:val="000001CE"/>
    <w:rsid w:val="00000F94"/>
    <w:rsid w:val="0000159F"/>
    <w:rsid w:val="000017C6"/>
    <w:rsid w:val="00001F0C"/>
    <w:rsid w:val="00003050"/>
    <w:rsid w:val="00003A5B"/>
    <w:rsid w:val="00003E20"/>
    <w:rsid w:val="00004683"/>
    <w:rsid w:val="00004AC8"/>
    <w:rsid w:val="00004CCE"/>
    <w:rsid w:val="00004D8C"/>
    <w:rsid w:val="00004E45"/>
    <w:rsid w:val="000053BA"/>
    <w:rsid w:val="000055C0"/>
    <w:rsid w:val="000057D9"/>
    <w:rsid w:val="00005B70"/>
    <w:rsid w:val="00005EF5"/>
    <w:rsid w:val="00006055"/>
    <w:rsid w:val="00006AD4"/>
    <w:rsid w:val="00006CB9"/>
    <w:rsid w:val="000073B3"/>
    <w:rsid w:val="000074C4"/>
    <w:rsid w:val="000079A6"/>
    <w:rsid w:val="00010630"/>
    <w:rsid w:val="00010709"/>
    <w:rsid w:val="0001079F"/>
    <w:rsid w:val="00010E1B"/>
    <w:rsid w:val="00010E2C"/>
    <w:rsid w:val="00011284"/>
    <w:rsid w:val="00011BB2"/>
    <w:rsid w:val="00011C62"/>
    <w:rsid w:val="00011D4E"/>
    <w:rsid w:val="000124E7"/>
    <w:rsid w:val="00012505"/>
    <w:rsid w:val="00012685"/>
    <w:rsid w:val="00012804"/>
    <w:rsid w:val="00012C4F"/>
    <w:rsid w:val="000131D1"/>
    <w:rsid w:val="00013455"/>
    <w:rsid w:val="000134E3"/>
    <w:rsid w:val="00013632"/>
    <w:rsid w:val="00013F5E"/>
    <w:rsid w:val="0001403F"/>
    <w:rsid w:val="0001487F"/>
    <w:rsid w:val="00014A0E"/>
    <w:rsid w:val="00014BFF"/>
    <w:rsid w:val="00014D24"/>
    <w:rsid w:val="00014F35"/>
    <w:rsid w:val="000150E2"/>
    <w:rsid w:val="00015F98"/>
    <w:rsid w:val="0001628C"/>
    <w:rsid w:val="000166AC"/>
    <w:rsid w:val="0001738B"/>
    <w:rsid w:val="00017B7F"/>
    <w:rsid w:val="00017EDA"/>
    <w:rsid w:val="00020C06"/>
    <w:rsid w:val="00021298"/>
    <w:rsid w:val="000212A5"/>
    <w:rsid w:val="00021AAE"/>
    <w:rsid w:val="000228C3"/>
    <w:rsid w:val="00022B8C"/>
    <w:rsid w:val="00023290"/>
    <w:rsid w:val="00023742"/>
    <w:rsid w:val="00023F51"/>
    <w:rsid w:val="00024AEF"/>
    <w:rsid w:val="00025A38"/>
    <w:rsid w:val="00025EB5"/>
    <w:rsid w:val="00026496"/>
    <w:rsid w:val="000264A9"/>
    <w:rsid w:val="0002681F"/>
    <w:rsid w:val="00026C65"/>
    <w:rsid w:val="0002748E"/>
    <w:rsid w:val="00027755"/>
    <w:rsid w:val="00027864"/>
    <w:rsid w:val="0002789E"/>
    <w:rsid w:val="00027A33"/>
    <w:rsid w:val="00027A4B"/>
    <w:rsid w:val="00030048"/>
    <w:rsid w:val="0003072D"/>
    <w:rsid w:val="00030A57"/>
    <w:rsid w:val="00031437"/>
    <w:rsid w:val="000314CD"/>
    <w:rsid w:val="00031A7C"/>
    <w:rsid w:val="00032068"/>
    <w:rsid w:val="0003211A"/>
    <w:rsid w:val="0003332B"/>
    <w:rsid w:val="00033544"/>
    <w:rsid w:val="000339CE"/>
    <w:rsid w:val="00033D4D"/>
    <w:rsid w:val="000341DD"/>
    <w:rsid w:val="000344DC"/>
    <w:rsid w:val="0003479E"/>
    <w:rsid w:val="00034C8A"/>
    <w:rsid w:val="00034CD7"/>
    <w:rsid w:val="00035691"/>
    <w:rsid w:val="00035768"/>
    <w:rsid w:val="00035A58"/>
    <w:rsid w:val="00035B2A"/>
    <w:rsid w:val="00035BA6"/>
    <w:rsid w:val="00035C44"/>
    <w:rsid w:val="00036C26"/>
    <w:rsid w:val="00036F83"/>
    <w:rsid w:val="0003767C"/>
    <w:rsid w:val="00040418"/>
    <w:rsid w:val="000409D8"/>
    <w:rsid w:val="00040F4F"/>
    <w:rsid w:val="0004132D"/>
    <w:rsid w:val="00041531"/>
    <w:rsid w:val="00041C9D"/>
    <w:rsid w:val="00042296"/>
    <w:rsid w:val="000426F5"/>
    <w:rsid w:val="00042ABD"/>
    <w:rsid w:val="0004301D"/>
    <w:rsid w:val="000439EA"/>
    <w:rsid w:val="00043CFC"/>
    <w:rsid w:val="00043F7C"/>
    <w:rsid w:val="00044CFA"/>
    <w:rsid w:val="00044EE5"/>
    <w:rsid w:val="000453DC"/>
    <w:rsid w:val="00045569"/>
    <w:rsid w:val="000459C7"/>
    <w:rsid w:val="00045BCE"/>
    <w:rsid w:val="00045E69"/>
    <w:rsid w:val="00046630"/>
    <w:rsid w:val="00046C80"/>
    <w:rsid w:val="0004743C"/>
    <w:rsid w:val="00047553"/>
    <w:rsid w:val="00047BC4"/>
    <w:rsid w:val="00047E8F"/>
    <w:rsid w:val="00050112"/>
    <w:rsid w:val="00050276"/>
    <w:rsid w:val="00050466"/>
    <w:rsid w:val="000505CC"/>
    <w:rsid w:val="00050891"/>
    <w:rsid w:val="0005113F"/>
    <w:rsid w:val="000511F9"/>
    <w:rsid w:val="00051212"/>
    <w:rsid w:val="00051B32"/>
    <w:rsid w:val="00051C92"/>
    <w:rsid w:val="0005230E"/>
    <w:rsid w:val="00052590"/>
    <w:rsid w:val="00052687"/>
    <w:rsid w:val="00052850"/>
    <w:rsid w:val="000528A2"/>
    <w:rsid w:val="000529B8"/>
    <w:rsid w:val="00052BBA"/>
    <w:rsid w:val="00052E0E"/>
    <w:rsid w:val="0005342E"/>
    <w:rsid w:val="00053550"/>
    <w:rsid w:val="00053588"/>
    <w:rsid w:val="00054174"/>
    <w:rsid w:val="0005440C"/>
    <w:rsid w:val="0005495A"/>
    <w:rsid w:val="00054B05"/>
    <w:rsid w:val="00054D9D"/>
    <w:rsid w:val="00055676"/>
    <w:rsid w:val="00055B5E"/>
    <w:rsid w:val="000562E9"/>
    <w:rsid w:val="00056351"/>
    <w:rsid w:val="00056544"/>
    <w:rsid w:val="000566EE"/>
    <w:rsid w:val="00056919"/>
    <w:rsid w:val="00056BDE"/>
    <w:rsid w:val="00057380"/>
    <w:rsid w:val="00057635"/>
    <w:rsid w:val="000600F3"/>
    <w:rsid w:val="00060B49"/>
    <w:rsid w:val="00060D8E"/>
    <w:rsid w:val="00061061"/>
    <w:rsid w:val="000615C1"/>
    <w:rsid w:val="000619BB"/>
    <w:rsid w:val="00061BBF"/>
    <w:rsid w:val="00062159"/>
    <w:rsid w:val="000621A1"/>
    <w:rsid w:val="00063C20"/>
    <w:rsid w:val="00063D9E"/>
    <w:rsid w:val="00064453"/>
    <w:rsid w:val="0006488E"/>
    <w:rsid w:val="00064AD3"/>
    <w:rsid w:val="00065088"/>
    <w:rsid w:val="000652D3"/>
    <w:rsid w:val="000654A0"/>
    <w:rsid w:val="00065568"/>
    <w:rsid w:val="0006579F"/>
    <w:rsid w:val="00065E3D"/>
    <w:rsid w:val="00065E94"/>
    <w:rsid w:val="00066719"/>
    <w:rsid w:val="000667D3"/>
    <w:rsid w:val="000669A3"/>
    <w:rsid w:val="00066F78"/>
    <w:rsid w:val="000701AD"/>
    <w:rsid w:val="000706AB"/>
    <w:rsid w:val="000707CA"/>
    <w:rsid w:val="00070D21"/>
    <w:rsid w:val="00070D4B"/>
    <w:rsid w:val="000715A2"/>
    <w:rsid w:val="000717FB"/>
    <w:rsid w:val="000719BF"/>
    <w:rsid w:val="00071A39"/>
    <w:rsid w:val="00071ECD"/>
    <w:rsid w:val="0007208A"/>
    <w:rsid w:val="0007213C"/>
    <w:rsid w:val="00072BBA"/>
    <w:rsid w:val="00072FF5"/>
    <w:rsid w:val="000730DC"/>
    <w:rsid w:val="00073886"/>
    <w:rsid w:val="0007440D"/>
    <w:rsid w:val="000750F6"/>
    <w:rsid w:val="0007531D"/>
    <w:rsid w:val="00075965"/>
    <w:rsid w:val="00075C6C"/>
    <w:rsid w:val="00075CF4"/>
    <w:rsid w:val="00075FDA"/>
    <w:rsid w:val="000761A3"/>
    <w:rsid w:val="00076386"/>
    <w:rsid w:val="000763EC"/>
    <w:rsid w:val="000768F3"/>
    <w:rsid w:val="00076B9B"/>
    <w:rsid w:val="00076C4D"/>
    <w:rsid w:val="00076D82"/>
    <w:rsid w:val="00077C0A"/>
    <w:rsid w:val="00081382"/>
    <w:rsid w:val="00081716"/>
    <w:rsid w:val="0008193C"/>
    <w:rsid w:val="00081EC2"/>
    <w:rsid w:val="00082154"/>
    <w:rsid w:val="00083042"/>
    <w:rsid w:val="00083800"/>
    <w:rsid w:val="000846AE"/>
    <w:rsid w:val="00084754"/>
    <w:rsid w:val="00084A65"/>
    <w:rsid w:val="00084D78"/>
    <w:rsid w:val="00084D93"/>
    <w:rsid w:val="000850D5"/>
    <w:rsid w:val="0008559A"/>
    <w:rsid w:val="00085A3A"/>
    <w:rsid w:val="00086797"/>
    <w:rsid w:val="00086B70"/>
    <w:rsid w:val="00086B7F"/>
    <w:rsid w:val="00087168"/>
    <w:rsid w:val="00087958"/>
    <w:rsid w:val="00087FA3"/>
    <w:rsid w:val="0009028E"/>
    <w:rsid w:val="000902C2"/>
    <w:rsid w:val="0009063D"/>
    <w:rsid w:val="000910F5"/>
    <w:rsid w:val="000915AE"/>
    <w:rsid w:val="000915F5"/>
    <w:rsid w:val="00091A92"/>
    <w:rsid w:val="00091C51"/>
    <w:rsid w:val="00091C7C"/>
    <w:rsid w:val="0009227D"/>
    <w:rsid w:val="00092DDC"/>
    <w:rsid w:val="00093C49"/>
    <w:rsid w:val="00093CAA"/>
    <w:rsid w:val="00093E57"/>
    <w:rsid w:val="000950BC"/>
    <w:rsid w:val="00095A80"/>
    <w:rsid w:val="00095ABD"/>
    <w:rsid w:val="00095EE3"/>
    <w:rsid w:val="00095F8E"/>
    <w:rsid w:val="00097377"/>
    <w:rsid w:val="000973E1"/>
    <w:rsid w:val="000A0A0D"/>
    <w:rsid w:val="000A0D26"/>
    <w:rsid w:val="000A1402"/>
    <w:rsid w:val="000A18F8"/>
    <w:rsid w:val="000A20BA"/>
    <w:rsid w:val="000A218D"/>
    <w:rsid w:val="000A262C"/>
    <w:rsid w:val="000A2786"/>
    <w:rsid w:val="000A3200"/>
    <w:rsid w:val="000A36CF"/>
    <w:rsid w:val="000A3C8D"/>
    <w:rsid w:val="000A3DFE"/>
    <w:rsid w:val="000A40EC"/>
    <w:rsid w:val="000A41EB"/>
    <w:rsid w:val="000A54EE"/>
    <w:rsid w:val="000A6100"/>
    <w:rsid w:val="000A62BE"/>
    <w:rsid w:val="000A6784"/>
    <w:rsid w:val="000A6A23"/>
    <w:rsid w:val="000A6C21"/>
    <w:rsid w:val="000A6E3D"/>
    <w:rsid w:val="000A7BC5"/>
    <w:rsid w:val="000A7D06"/>
    <w:rsid w:val="000B0311"/>
    <w:rsid w:val="000B0A6A"/>
    <w:rsid w:val="000B0AB5"/>
    <w:rsid w:val="000B0C45"/>
    <w:rsid w:val="000B0DA9"/>
    <w:rsid w:val="000B13E1"/>
    <w:rsid w:val="000B16DB"/>
    <w:rsid w:val="000B1766"/>
    <w:rsid w:val="000B1C5E"/>
    <w:rsid w:val="000B1E00"/>
    <w:rsid w:val="000B2244"/>
    <w:rsid w:val="000B2282"/>
    <w:rsid w:val="000B27E9"/>
    <w:rsid w:val="000B2A11"/>
    <w:rsid w:val="000B2A5B"/>
    <w:rsid w:val="000B2FE4"/>
    <w:rsid w:val="000B317F"/>
    <w:rsid w:val="000B3B91"/>
    <w:rsid w:val="000B3D0F"/>
    <w:rsid w:val="000B3D9B"/>
    <w:rsid w:val="000B4207"/>
    <w:rsid w:val="000B425D"/>
    <w:rsid w:val="000B4B1B"/>
    <w:rsid w:val="000B4C67"/>
    <w:rsid w:val="000B50C3"/>
    <w:rsid w:val="000B5483"/>
    <w:rsid w:val="000B555A"/>
    <w:rsid w:val="000B5661"/>
    <w:rsid w:val="000B58AC"/>
    <w:rsid w:val="000B5AC9"/>
    <w:rsid w:val="000B5DB9"/>
    <w:rsid w:val="000B5F0A"/>
    <w:rsid w:val="000B625F"/>
    <w:rsid w:val="000B6630"/>
    <w:rsid w:val="000B6CEA"/>
    <w:rsid w:val="000B6D65"/>
    <w:rsid w:val="000B6EA4"/>
    <w:rsid w:val="000B6FB9"/>
    <w:rsid w:val="000B743C"/>
    <w:rsid w:val="000B7B49"/>
    <w:rsid w:val="000B7DD7"/>
    <w:rsid w:val="000C00EC"/>
    <w:rsid w:val="000C01A2"/>
    <w:rsid w:val="000C0B1D"/>
    <w:rsid w:val="000C0CB5"/>
    <w:rsid w:val="000C0FBB"/>
    <w:rsid w:val="000C1D59"/>
    <w:rsid w:val="000C21BF"/>
    <w:rsid w:val="000C2266"/>
    <w:rsid w:val="000C2B09"/>
    <w:rsid w:val="000C30CF"/>
    <w:rsid w:val="000C3512"/>
    <w:rsid w:val="000C4436"/>
    <w:rsid w:val="000C4655"/>
    <w:rsid w:val="000C4E10"/>
    <w:rsid w:val="000C501D"/>
    <w:rsid w:val="000C5744"/>
    <w:rsid w:val="000C5B5B"/>
    <w:rsid w:val="000C5CB5"/>
    <w:rsid w:val="000C5CBA"/>
    <w:rsid w:val="000C5D82"/>
    <w:rsid w:val="000C5F43"/>
    <w:rsid w:val="000C65D6"/>
    <w:rsid w:val="000C6614"/>
    <w:rsid w:val="000C6665"/>
    <w:rsid w:val="000C69AB"/>
    <w:rsid w:val="000C74BA"/>
    <w:rsid w:val="000C7531"/>
    <w:rsid w:val="000C76CD"/>
    <w:rsid w:val="000C7BA7"/>
    <w:rsid w:val="000C7C3F"/>
    <w:rsid w:val="000C7D35"/>
    <w:rsid w:val="000D00D9"/>
    <w:rsid w:val="000D02AB"/>
    <w:rsid w:val="000D0AFF"/>
    <w:rsid w:val="000D0BD6"/>
    <w:rsid w:val="000D0BDE"/>
    <w:rsid w:val="000D0C61"/>
    <w:rsid w:val="000D12DF"/>
    <w:rsid w:val="000D1440"/>
    <w:rsid w:val="000D1901"/>
    <w:rsid w:val="000D1DCC"/>
    <w:rsid w:val="000D2547"/>
    <w:rsid w:val="000D27AD"/>
    <w:rsid w:val="000D29D1"/>
    <w:rsid w:val="000D2B0A"/>
    <w:rsid w:val="000D2EED"/>
    <w:rsid w:val="000D30C1"/>
    <w:rsid w:val="000D316E"/>
    <w:rsid w:val="000D3286"/>
    <w:rsid w:val="000D344D"/>
    <w:rsid w:val="000D387D"/>
    <w:rsid w:val="000D3DAA"/>
    <w:rsid w:val="000D4049"/>
    <w:rsid w:val="000D40E7"/>
    <w:rsid w:val="000D5255"/>
    <w:rsid w:val="000D5595"/>
    <w:rsid w:val="000D584F"/>
    <w:rsid w:val="000D5EAF"/>
    <w:rsid w:val="000D6228"/>
    <w:rsid w:val="000D693D"/>
    <w:rsid w:val="000D6B82"/>
    <w:rsid w:val="000D76BC"/>
    <w:rsid w:val="000D7750"/>
    <w:rsid w:val="000E071E"/>
    <w:rsid w:val="000E0DEE"/>
    <w:rsid w:val="000E1325"/>
    <w:rsid w:val="000E181D"/>
    <w:rsid w:val="000E27AA"/>
    <w:rsid w:val="000E337A"/>
    <w:rsid w:val="000E33E3"/>
    <w:rsid w:val="000E34FD"/>
    <w:rsid w:val="000E4350"/>
    <w:rsid w:val="000E4376"/>
    <w:rsid w:val="000E4408"/>
    <w:rsid w:val="000E4601"/>
    <w:rsid w:val="000E4681"/>
    <w:rsid w:val="000E475D"/>
    <w:rsid w:val="000E53AB"/>
    <w:rsid w:val="000E5713"/>
    <w:rsid w:val="000E5716"/>
    <w:rsid w:val="000E6070"/>
    <w:rsid w:val="000E6337"/>
    <w:rsid w:val="000E6970"/>
    <w:rsid w:val="000E70E6"/>
    <w:rsid w:val="000E73C4"/>
    <w:rsid w:val="000E7673"/>
    <w:rsid w:val="000E7A79"/>
    <w:rsid w:val="000F15B2"/>
    <w:rsid w:val="000F19DE"/>
    <w:rsid w:val="000F21F9"/>
    <w:rsid w:val="000F24D1"/>
    <w:rsid w:val="000F286C"/>
    <w:rsid w:val="000F2E1F"/>
    <w:rsid w:val="000F301D"/>
    <w:rsid w:val="000F36BD"/>
    <w:rsid w:val="000F37B0"/>
    <w:rsid w:val="000F3909"/>
    <w:rsid w:val="000F3BF8"/>
    <w:rsid w:val="000F3DDD"/>
    <w:rsid w:val="000F3FDB"/>
    <w:rsid w:val="000F3FE4"/>
    <w:rsid w:val="000F425A"/>
    <w:rsid w:val="000F447B"/>
    <w:rsid w:val="000F4595"/>
    <w:rsid w:val="000F4CB2"/>
    <w:rsid w:val="000F4E44"/>
    <w:rsid w:val="000F4E90"/>
    <w:rsid w:val="000F4F58"/>
    <w:rsid w:val="000F568D"/>
    <w:rsid w:val="000F56B3"/>
    <w:rsid w:val="000F5C38"/>
    <w:rsid w:val="000F5D0C"/>
    <w:rsid w:val="000F60D7"/>
    <w:rsid w:val="000F6158"/>
    <w:rsid w:val="000F68D0"/>
    <w:rsid w:val="000F6B15"/>
    <w:rsid w:val="000F6D98"/>
    <w:rsid w:val="000F6DBE"/>
    <w:rsid w:val="000F6E42"/>
    <w:rsid w:val="000F713D"/>
    <w:rsid w:val="000F7500"/>
    <w:rsid w:val="000F750D"/>
    <w:rsid w:val="000F785F"/>
    <w:rsid w:val="000F7974"/>
    <w:rsid w:val="00100042"/>
    <w:rsid w:val="001006B5"/>
    <w:rsid w:val="00100B3D"/>
    <w:rsid w:val="00100FBF"/>
    <w:rsid w:val="001014C1"/>
    <w:rsid w:val="0010170B"/>
    <w:rsid w:val="00101C4F"/>
    <w:rsid w:val="00102C9F"/>
    <w:rsid w:val="00102E94"/>
    <w:rsid w:val="00103AAC"/>
    <w:rsid w:val="00103AB1"/>
    <w:rsid w:val="00103FC9"/>
    <w:rsid w:val="00104021"/>
    <w:rsid w:val="00104786"/>
    <w:rsid w:val="00104A62"/>
    <w:rsid w:val="00104D18"/>
    <w:rsid w:val="00104EB4"/>
    <w:rsid w:val="001061E0"/>
    <w:rsid w:val="001068D2"/>
    <w:rsid w:val="001069F2"/>
    <w:rsid w:val="00106DA1"/>
    <w:rsid w:val="0010757E"/>
    <w:rsid w:val="0010758F"/>
    <w:rsid w:val="0010759D"/>
    <w:rsid w:val="00107D41"/>
    <w:rsid w:val="00107EF7"/>
    <w:rsid w:val="001103BD"/>
    <w:rsid w:val="0011059E"/>
    <w:rsid w:val="0011074B"/>
    <w:rsid w:val="00110E83"/>
    <w:rsid w:val="00111208"/>
    <w:rsid w:val="001115E4"/>
    <w:rsid w:val="00111808"/>
    <w:rsid w:val="001118AE"/>
    <w:rsid w:val="00112220"/>
    <w:rsid w:val="0011236E"/>
    <w:rsid w:val="001127CE"/>
    <w:rsid w:val="00112807"/>
    <w:rsid w:val="0011331A"/>
    <w:rsid w:val="0011339F"/>
    <w:rsid w:val="001139B5"/>
    <w:rsid w:val="00113B8F"/>
    <w:rsid w:val="00113EC8"/>
    <w:rsid w:val="00114035"/>
    <w:rsid w:val="00114227"/>
    <w:rsid w:val="00114E96"/>
    <w:rsid w:val="001152C7"/>
    <w:rsid w:val="00115C88"/>
    <w:rsid w:val="0011644A"/>
    <w:rsid w:val="00116B42"/>
    <w:rsid w:val="00117332"/>
    <w:rsid w:val="0011784B"/>
    <w:rsid w:val="00117F02"/>
    <w:rsid w:val="001204DD"/>
    <w:rsid w:val="00122752"/>
    <w:rsid w:val="00122839"/>
    <w:rsid w:val="00122A48"/>
    <w:rsid w:val="001237AC"/>
    <w:rsid w:val="00123A65"/>
    <w:rsid w:val="00123AD3"/>
    <w:rsid w:val="00123F79"/>
    <w:rsid w:val="00124E12"/>
    <w:rsid w:val="00124E34"/>
    <w:rsid w:val="00124E75"/>
    <w:rsid w:val="0012518A"/>
    <w:rsid w:val="00126599"/>
    <w:rsid w:val="0012673D"/>
    <w:rsid w:val="001269B8"/>
    <w:rsid w:val="00126BE1"/>
    <w:rsid w:val="00127099"/>
    <w:rsid w:val="001273FA"/>
    <w:rsid w:val="0012793A"/>
    <w:rsid w:val="00127956"/>
    <w:rsid w:val="00130313"/>
    <w:rsid w:val="00130594"/>
    <w:rsid w:val="00131D69"/>
    <w:rsid w:val="00132247"/>
    <w:rsid w:val="0013268D"/>
    <w:rsid w:val="00132830"/>
    <w:rsid w:val="00132B71"/>
    <w:rsid w:val="00132B7F"/>
    <w:rsid w:val="001333F7"/>
    <w:rsid w:val="001337A5"/>
    <w:rsid w:val="00134185"/>
    <w:rsid w:val="0013427A"/>
    <w:rsid w:val="00134578"/>
    <w:rsid w:val="001348FE"/>
    <w:rsid w:val="00134B36"/>
    <w:rsid w:val="00134D55"/>
    <w:rsid w:val="00135317"/>
    <w:rsid w:val="00135E77"/>
    <w:rsid w:val="00135F21"/>
    <w:rsid w:val="0013606B"/>
    <w:rsid w:val="001360F3"/>
    <w:rsid w:val="001362C2"/>
    <w:rsid w:val="0013678C"/>
    <w:rsid w:val="00136955"/>
    <w:rsid w:val="00136E19"/>
    <w:rsid w:val="001371B2"/>
    <w:rsid w:val="00137AB9"/>
    <w:rsid w:val="00137D78"/>
    <w:rsid w:val="0014060C"/>
    <w:rsid w:val="00140645"/>
    <w:rsid w:val="001409A0"/>
    <w:rsid w:val="0014109C"/>
    <w:rsid w:val="0014123B"/>
    <w:rsid w:val="001416C7"/>
    <w:rsid w:val="00141E40"/>
    <w:rsid w:val="00141F08"/>
    <w:rsid w:val="00141FF2"/>
    <w:rsid w:val="00142082"/>
    <w:rsid w:val="001424A1"/>
    <w:rsid w:val="0014287A"/>
    <w:rsid w:val="00142DE2"/>
    <w:rsid w:val="00142FFF"/>
    <w:rsid w:val="00144996"/>
    <w:rsid w:val="00144C87"/>
    <w:rsid w:val="00146283"/>
    <w:rsid w:val="0014659B"/>
    <w:rsid w:val="001467B1"/>
    <w:rsid w:val="00146A0B"/>
    <w:rsid w:val="00146A0F"/>
    <w:rsid w:val="00147175"/>
    <w:rsid w:val="0014726E"/>
    <w:rsid w:val="001477AF"/>
    <w:rsid w:val="001477EA"/>
    <w:rsid w:val="00150175"/>
    <w:rsid w:val="001502C8"/>
    <w:rsid w:val="001508C5"/>
    <w:rsid w:val="00150A2F"/>
    <w:rsid w:val="00150A78"/>
    <w:rsid w:val="00150A91"/>
    <w:rsid w:val="00150C08"/>
    <w:rsid w:val="00151011"/>
    <w:rsid w:val="0015103E"/>
    <w:rsid w:val="00151224"/>
    <w:rsid w:val="0015130F"/>
    <w:rsid w:val="00151BB5"/>
    <w:rsid w:val="00151E58"/>
    <w:rsid w:val="00152184"/>
    <w:rsid w:val="001528CB"/>
    <w:rsid w:val="001532B3"/>
    <w:rsid w:val="001532BA"/>
    <w:rsid w:val="001538BC"/>
    <w:rsid w:val="00153FED"/>
    <w:rsid w:val="001540D0"/>
    <w:rsid w:val="0015458E"/>
    <w:rsid w:val="0015475A"/>
    <w:rsid w:val="0015521D"/>
    <w:rsid w:val="00155288"/>
    <w:rsid w:val="00155BFD"/>
    <w:rsid w:val="00156ABA"/>
    <w:rsid w:val="00156B13"/>
    <w:rsid w:val="00156EB4"/>
    <w:rsid w:val="00157390"/>
    <w:rsid w:val="0016082D"/>
    <w:rsid w:val="001608BA"/>
    <w:rsid w:val="00160998"/>
    <w:rsid w:val="00160A29"/>
    <w:rsid w:val="00160CD6"/>
    <w:rsid w:val="00160F5F"/>
    <w:rsid w:val="001610C5"/>
    <w:rsid w:val="00162308"/>
    <w:rsid w:val="0016254E"/>
    <w:rsid w:val="00162AFD"/>
    <w:rsid w:val="00162B35"/>
    <w:rsid w:val="00162CFF"/>
    <w:rsid w:val="00162E0B"/>
    <w:rsid w:val="0016316A"/>
    <w:rsid w:val="00163310"/>
    <w:rsid w:val="0016343F"/>
    <w:rsid w:val="00163539"/>
    <w:rsid w:val="0016381F"/>
    <w:rsid w:val="00163C04"/>
    <w:rsid w:val="00163D1D"/>
    <w:rsid w:val="00163FAD"/>
    <w:rsid w:val="00164171"/>
    <w:rsid w:val="001646E9"/>
    <w:rsid w:val="00164E58"/>
    <w:rsid w:val="00165033"/>
    <w:rsid w:val="001652FB"/>
    <w:rsid w:val="00165505"/>
    <w:rsid w:val="0016580F"/>
    <w:rsid w:val="00165926"/>
    <w:rsid w:val="00165D5C"/>
    <w:rsid w:val="0016642B"/>
    <w:rsid w:val="001665EB"/>
    <w:rsid w:val="001670EA"/>
    <w:rsid w:val="001674A0"/>
    <w:rsid w:val="00167E6E"/>
    <w:rsid w:val="001705DD"/>
    <w:rsid w:val="00170A50"/>
    <w:rsid w:val="00171CFB"/>
    <w:rsid w:val="00172A1E"/>
    <w:rsid w:val="00172BE6"/>
    <w:rsid w:val="00172CAA"/>
    <w:rsid w:val="00172EC5"/>
    <w:rsid w:val="00172FB4"/>
    <w:rsid w:val="00173904"/>
    <w:rsid w:val="00173D9A"/>
    <w:rsid w:val="00173F41"/>
    <w:rsid w:val="00173FA0"/>
    <w:rsid w:val="0017477B"/>
    <w:rsid w:val="00174BC3"/>
    <w:rsid w:val="00174D3F"/>
    <w:rsid w:val="00174DC9"/>
    <w:rsid w:val="00174FFD"/>
    <w:rsid w:val="001759CA"/>
    <w:rsid w:val="00175CE6"/>
    <w:rsid w:val="001764DB"/>
    <w:rsid w:val="00176C0D"/>
    <w:rsid w:val="00176C94"/>
    <w:rsid w:val="00176FE0"/>
    <w:rsid w:val="0017726A"/>
    <w:rsid w:val="00177DD3"/>
    <w:rsid w:val="00180278"/>
    <w:rsid w:val="001807F2"/>
    <w:rsid w:val="00180ACB"/>
    <w:rsid w:val="001812FB"/>
    <w:rsid w:val="001818A7"/>
    <w:rsid w:val="001819D7"/>
    <w:rsid w:val="00181A2D"/>
    <w:rsid w:val="00181CEA"/>
    <w:rsid w:val="00182725"/>
    <w:rsid w:val="001829C8"/>
    <w:rsid w:val="001829D2"/>
    <w:rsid w:val="0018394E"/>
    <w:rsid w:val="00183F96"/>
    <w:rsid w:val="00184EF4"/>
    <w:rsid w:val="0018560B"/>
    <w:rsid w:val="001858F5"/>
    <w:rsid w:val="00185AFA"/>
    <w:rsid w:val="00186315"/>
    <w:rsid w:val="00186572"/>
    <w:rsid w:val="00186904"/>
    <w:rsid w:val="00186B0A"/>
    <w:rsid w:val="00187859"/>
    <w:rsid w:val="00187BB9"/>
    <w:rsid w:val="001905BD"/>
    <w:rsid w:val="001907F1"/>
    <w:rsid w:val="00190BF0"/>
    <w:rsid w:val="00191636"/>
    <w:rsid w:val="00191B6D"/>
    <w:rsid w:val="00191E79"/>
    <w:rsid w:val="00191E87"/>
    <w:rsid w:val="00192D8E"/>
    <w:rsid w:val="00192FE6"/>
    <w:rsid w:val="0019360B"/>
    <w:rsid w:val="00193922"/>
    <w:rsid w:val="00193986"/>
    <w:rsid w:val="00193B08"/>
    <w:rsid w:val="0019450B"/>
    <w:rsid w:val="00194518"/>
    <w:rsid w:val="00194570"/>
    <w:rsid w:val="00196A22"/>
    <w:rsid w:val="00196BCE"/>
    <w:rsid w:val="00196BF4"/>
    <w:rsid w:val="00197020"/>
    <w:rsid w:val="001972DA"/>
    <w:rsid w:val="001976AA"/>
    <w:rsid w:val="00197A07"/>
    <w:rsid w:val="00197A20"/>
    <w:rsid w:val="00197D9B"/>
    <w:rsid w:val="001A0177"/>
    <w:rsid w:val="001A02F6"/>
    <w:rsid w:val="001A05B9"/>
    <w:rsid w:val="001A05C9"/>
    <w:rsid w:val="001A0B27"/>
    <w:rsid w:val="001A0E0A"/>
    <w:rsid w:val="001A1061"/>
    <w:rsid w:val="001A15C6"/>
    <w:rsid w:val="001A17FF"/>
    <w:rsid w:val="001A1C03"/>
    <w:rsid w:val="001A3887"/>
    <w:rsid w:val="001A3C2C"/>
    <w:rsid w:val="001A44EF"/>
    <w:rsid w:val="001A46BD"/>
    <w:rsid w:val="001A53B4"/>
    <w:rsid w:val="001A5510"/>
    <w:rsid w:val="001A5C7B"/>
    <w:rsid w:val="001A5CB6"/>
    <w:rsid w:val="001A5E19"/>
    <w:rsid w:val="001A608B"/>
    <w:rsid w:val="001A6157"/>
    <w:rsid w:val="001A61E2"/>
    <w:rsid w:val="001A63D8"/>
    <w:rsid w:val="001A7035"/>
    <w:rsid w:val="001A7BBA"/>
    <w:rsid w:val="001B017D"/>
    <w:rsid w:val="001B01FA"/>
    <w:rsid w:val="001B0832"/>
    <w:rsid w:val="001B1330"/>
    <w:rsid w:val="001B1731"/>
    <w:rsid w:val="001B18A7"/>
    <w:rsid w:val="001B1AD4"/>
    <w:rsid w:val="001B1F1B"/>
    <w:rsid w:val="001B233D"/>
    <w:rsid w:val="001B2762"/>
    <w:rsid w:val="001B36FC"/>
    <w:rsid w:val="001B38EE"/>
    <w:rsid w:val="001B3AE7"/>
    <w:rsid w:val="001B4078"/>
    <w:rsid w:val="001B41ED"/>
    <w:rsid w:val="001B4446"/>
    <w:rsid w:val="001B4449"/>
    <w:rsid w:val="001B4457"/>
    <w:rsid w:val="001B4607"/>
    <w:rsid w:val="001B46ED"/>
    <w:rsid w:val="001B49E1"/>
    <w:rsid w:val="001B4C3C"/>
    <w:rsid w:val="001B7E0C"/>
    <w:rsid w:val="001C0674"/>
    <w:rsid w:val="001C1405"/>
    <w:rsid w:val="001C1460"/>
    <w:rsid w:val="001C1595"/>
    <w:rsid w:val="001C1628"/>
    <w:rsid w:val="001C1B93"/>
    <w:rsid w:val="001C226F"/>
    <w:rsid w:val="001C254C"/>
    <w:rsid w:val="001C29A1"/>
    <w:rsid w:val="001C30AF"/>
    <w:rsid w:val="001C3C7E"/>
    <w:rsid w:val="001C440C"/>
    <w:rsid w:val="001C4567"/>
    <w:rsid w:val="001C474D"/>
    <w:rsid w:val="001C482E"/>
    <w:rsid w:val="001C5296"/>
    <w:rsid w:val="001C52B5"/>
    <w:rsid w:val="001C63CC"/>
    <w:rsid w:val="001C66AC"/>
    <w:rsid w:val="001C6754"/>
    <w:rsid w:val="001C67F7"/>
    <w:rsid w:val="001C6B60"/>
    <w:rsid w:val="001C6CAF"/>
    <w:rsid w:val="001C730A"/>
    <w:rsid w:val="001C75CC"/>
    <w:rsid w:val="001C77F0"/>
    <w:rsid w:val="001C7929"/>
    <w:rsid w:val="001D04AA"/>
    <w:rsid w:val="001D100F"/>
    <w:rsid w:val="001D104C"/>
    <w:rsid w:val="001D1F0F"/>
    <w:rsid w:val="001D25CF"/>
    <w:rsid w:val="001D271A"/>
    <w:rsid w:val="001D30C9"/>
    <w:rsid w:val="001D3201"/>
    <w:rsid w:val="001D374F"/>
    <w:rsid w:val="001D41A1"/>
    <w:rsid w:val="001D445B"/>
    <w:rsid w:val="001D4489"/>
    <w:rsid w:val="001D46A0"/>
    <w:rsid w:val="001D4D46"/>
    <w:rsid w:val="001D50C2"/>
    <w:rsid w:val="001D5145"/>
    <w:rsid w:val="001D5A92"/>
    <w:rsid w:val="001D6275"/>
    <w:rsid w:val="001D6446"/>
    <w:rsid w:val="001D6957"/>
    <w:rsid w:val="001D6CAC"/>
    <w:rsid w:val="001D753C"/>
    <w:rsid w:val="001D7CA4"/>
    <w:rsid w:val="001D7E58"/>
    <w:rsid w:val="001E0013"/>
    <w:rsid w:val="001E0425"/>
    <w:rsid w:val="001E12DE"/>
    <w:rsid w:val="001E13B3"/>
    <w:rsid w:val="001E1944"/>
    <w:rsid w:val="001E265A"/>
    <w:rsid w:val="001E297F"/>
    <w:rsid w:val="001E2A67"/>
    <w:rsid w:val="001E30A0"/>
    <w:rsid w:val="001E3113"/>
    <w:rsid w:val="001E332B"/>
    <w:rsid w:val="001E3A20"/>
    <w:rsid w:val="001E3CE8"/>
    <w:rsid w:val="001E3DE1"/>
    <w:rsid w:val="001E48AA"/>
    <w:rsid w:val="001E4C73"/>
    <w:rsid w:val="001E4D4F"/>
    <w:rsid w:val="001E50B1"/>
    <w:rsid w:val="001E54F9"/>
    <w:rsid w:val="001E57CF"/>
    <w:rsid w:val="001E5904"/>
    <w:rsid w:val="001E5981"/>
    <w:rsid w:val="001E67CD"/>
    <w:rsid w:val="001E6826"/>
    <w:rsid w:val="001E6A08"/>
    <w:rsid w:val="001E6D01"/>
    <w:rsid w:val="001E6E8E"/>
    <w:rsid w:val="001E74BA"/>
    <w:rsid w:val="001E74EF"/>
    <w:rsid w:val="001E7B9F"/>
    <w:rsid w:val="001F01FB"/>
    <w:rsid w:val="001F0275"/>
    <w:rsid w:val="001F0658"/>
    <w:rsid w:val="001F0A2B"/>
    <w:rsid w:val="001F0C29"/>
    <w:rsid w:val="001F0C80"/>
    <w:rsid w:val="001F0E92"/>
    <w:rsid w:val="001F1987"/>
    <w:rsid w:val="001F1B7C"/>
    <w:rsid w:val="001F201D"/>
    <w:rsid w:val="001F204F"/>
    <w:rsid w:val="001F21BC"/>
    <w:rsid w:val="001F22D5"/>
    <w:rsid w:val="001F23BD"/>
    <w:rsid w:val="001F2560"/>
    <w:rsid w:val="001F2680"/>
    <w:rsid w:val="001F2B3E"/>
    <w:rsid w:val="001F32E0"/>
    <w:rsid w:val="001F34DA"/>
    <w:rsid w:val="001F3FF7"/>
    <w:rsid w:val="001F423D"/>
    <w:rsid w:val="001F42A3"/>
    <w:rsid w:val="001F4D68"/>
    <w:rsid w:val="001F4DAC"/>
    <w:rsid w:val="001F5019"/>
    <w:rsid w:val="001F51C5"/>
    <w:rsid w:val="001F5F47"/>
    <w:rsid w:val="001F65B0"/>
    <w:rsid w:val="001F67AA"/>
    <w:rsid w:val="001F6AFD"/>
    <w:rsid w:val="001F738D"/>
    <w:rsid w:val="001F7599"/>
    <w:rsid w:val="001F7908"/>
    <w:rsid w:val="00200457"/>
    <w:rsid w:val="0020080D"/>
    <w:rsid w:val="00201B0F"/>
    <w:rsid w:val="002034CD"/>
    <w:rsid w:val="00204A2A"/>
    <w:rsid w:val="00204B22"/>
    <w:rsid w:val="00204B3A"/>
    <w:rsid w:val="0020535A"/>
    <w:rsid w:val="002055CB"/>
    <w:rsid w:val="002059EF"/>
    <w:rsid w:val="00205A4B"/>
    <w:rsid w:val="00205BDB"/>
    <w:rsid w:val="00205ED5"/>
    <w:rsid w:val="00206076"/>
    <w:rsid w:val="0020615E"/>
    <w:rsid w:val="00206652"/>
    <w:rsid w:val="00206857"/>
    <w:rsid w:val="00206955"/>
    <w:rsid w:val="00206A79"/>
    <w:rsid w:val="00206AC5"/>
    <w:rsid w:val="002071E0"/>
    <w:rsid w:val="00207729"/>
    <w:rsid w:val="00207754"/>
    <w:rsid w:val="00207DF2"/>
    <w:rsid w:val="00210309"/>
    <w:rsid w:val="00211305"/>
    <w:rsid w:val="002114F0"/>
    <w:rsid w:val="00211519"/>
    <w:rsid w:val="002119B1"/>
    <w:rsid w:val="00211C74"/>
    <w:rsid w:val="0021224B"/>
    <w:rsid w:val="00212473"/>
    <w:rsid w:val="00212950"/>
    <w:rsid w:val="00212FB8"/>
    <w:rsid w:val="002135DC"/>
    <w:rsid w:val="00213709"/>
    <w:rsid w:val="00213781"/>
    <w:rsid w:val="00214012"/>
    <w:rsid w:val="0021480A"/>
    <w:rsid w:val="002149AF"/>
    <w:rsid w:val="002149FF"/>
    <w:rsid w:val="00214A86"/>
    <w:rsid w:val="002154C2"/>
    <w:rsid w:val="00215AAA"/>
    <w:rsid w:val="00215F73"/>
    <w:rsid w:val="002166F0"/>
    <w:rsid w:val="0021683C"/>
    <w:rsid w:val="002169B3"/>
    <w:rsid w:val="00216F5F"/>
    <w:rsid w:val="0021749F"/>
    <w:rsid w:val="00217B3A"/>
    <w:rsid w:val="00217C1E"/>
    <w:rsid w:val="00220451"/>
    <w:rsid w:val="00220615"/>
    <w:rsid w:val="00220B0B"/>
    <w:rsid w:val="00220B56"/>
    <w:rsid w:val="0022101C"/>
    <w:rsid w:val="0022137C"/>
    <w:rsid w:val="00221985"/>
    <w:rsid w:val="00221D73"/>
    <w:rsid w:val="00221EC5"/>
    <w:rsid w:val="0022284A"/>
    <w:rsid w:val="00222A7A"/>
    <w:rsid w:val="00222C06"/>
    <w:rsid w:val="00223606"/>
    <w:rsid w:val="00223CC1"/>
    <w:rsid w:val="00223FA4"/>
    <w:rsid w:val="00224547"/>
    <w:rsid w:val="00224A2C"/>
    <w:rsid w:val="00225217"/>
    <w:rsid w:val="002256D9"/>
    <w:rsid w:val="002258A1"/>
    <w:rsid w:val="00226577"/>
    <w:rsid w:val="0022687C"/>
    <w:rsid w:val="002268A7"/>
    <w:rsid w:val="00226E2D"/>
    <w:rsid w:val="00227631"/>
    <w:rsid w:val="00227A3E"/>
    <w:rsid w:val="00227B2C"/>
    <w:rsid w:val="0023055C"/>
    <w:rsid w:val="002306F8"/>
    <w:rsid w:val="00230A2D"/>
    <w:rsid w:val="002312F4"/>
    <w:rsid w:val="002313A2"/>
    <w:rsid w:val="00231FC7"/>
    <w:rsid w:val="0023288C"/>
    <w:rsid w:val="00232930"/>
    <w:rsid w:val="00232982"/>
    <w:rsid w:val="00232A95"/>
    <w:rsid w:val="00232C3F"/>
    <w:rsid w:val="00232DD9"/>
    <w:rsid w:val="0023308F"/>
    <w:rsid w:val="00233403"/>
    <w:rsid w:val="00233440"/>
    <w:rsid w:val="00233609"/>
    <w:rsid w:val="00233D0E"/>
    <w:rsid w:val="00234270"/>
    <w:rsid w:val="002344B6"/>
    <w:rsid w:val="00234B61"/>
    <w:rsid w:val="00234E13"/>
    <w:rsid w:val="00235F7C"/>
    <w:rsid w:val="00236065"/>
    <w:rsid w:val="00236223"/>
    <w:rsid w:val="00236450"/>
    <w:rsid w:val="002365AA"/>
    <w:rsid w:val="002375D1"/>
    <w:rsid w:val="0023765A"/>
    <w:rsid w:val="00237921"/>
    <w:rsid w:val="00237C1E"/>
    <w:rsid w:val="00240342"/>
    <w:rsid w:val="0024044A"/>
    <w:rsid w:val="0024076B"/>
    <w:rsid w:val="002407C3"/>
    <w:rsid w:val="00241311"/>
    <w:rsid w:val="00241316"/>
    <w:rsid w:val="002418BE"/>
    <w:rsid w:val="002418E8"/>
    <w:rsid w:val="00241ED1"/>
    <w:rsid w:val="00242E22"/>
    <w:rsid w:val="00242FCC"/>
    <w:rsid w:val="0024336B"/>
    <w:rsid w:val="00243389"/>
    <w:rsid w:val="00243C26"/>
    <w:rsid w:val="00244194"/>
    <w:rsid w:val="0024424F"/>
    <w:rsid w:val="00244404"/>
    <w:rsid w:val="00244D28"/>
    <w:rsid w:val="002452A0"/>
    <w:rsid w:val="00245689"/>
    <w:rsid w:val="00245720"/>
    <w:rsid w:val="00245A6F"/>
    <w:rsid w:val="00245FD5"/>
    <w:rsid w:val="002461BC"/>
    <w:rsid w:val="00246A4E"/>
    <w:rsid w:val="002473C1"/>
    <w:rsid w:val="002477DF"/>
    <w:rsid w:val="00247954"/>
    <w:rsid w:val="00247A73"/>
    <w:rsid w:val="00250C3D"/>
    <w:rsid w:val="00250FB1"/>
    <w:rsid w:val="00251AD6"/>
    <w:rsid w:val="00252AB7"/>
    <w:rsid w:val="00252C17"/>
    <w:rsid w:val="00252C1E"/>
    <w:rsid w:val="0025307F"/>
    <w:rsid w:val="002531A3"/>
    <w:rsid w:val="0025324B"/>
    <w:rsid w:val="00253B87"/>
    <w:rsid w:val="00253CD6"/>
    <w:rsid w:val="00254125"/>
    <w:rsid w:val="002551BD"/>
    <w:rsid w:val="002557DD"/>
    <w:rsid w:val="00255DC3"/>
    <w:rsid w:val="002568D0"/>
    <w:rsid w:val="00256A9B"/>
    <w:rsid w:val="002571F1"/>
    <w:rsid w:val="00257EED"/>
    <w:rsid w:val="00260A49"/>
    <w:rsid w:val="00260AEE"/>
    <w:rsid w:val="00261689"/>
    <w:rsid w:val="002619A0"/>
    <w:rsid w:val="002621A6"/>
    <w:rsid w:val="00262661"/>
    <w:rsid w:val="0026267B"/>
    <w:rsid w:val="00262D9D"/>
    <w:rsid w:val="00262E9D"/>
    <w:rsid w:val="002632DF"/>
    <w:rsid w:val="002637B3"/>
    <w:rsid w:val="00263946"/>
    <w:rsid w:val="00263D77"/>
    <w:rsid w:val="002640BA"/>
    <w:rsid w:val="00264808"/>
    <w:rsid w:val="00264A87"/>
    <w:rsid w:val="00264C6C"/>
    <w:rsid w:val="00264CF2"/>
    <w:rsid w:val="00264F7F"/>
    <w:rsid w:val="00265BF0"/>
    <w:rsid w:val="00265EC2"/>
    <w:rsid w:val="00266287"/>
    <w:rsid w:val="002667A8"/>
    <w:rsid w:val="00267587"/>
    <w:rsid w:val="002675C8"/>
    <w:rsid w:val="00267760"/>
    <w:rsid w:val="0026791F"/>
    <w:rsid w:val="00267D0A"/>
    <w:rsid w:val="00271589"/>
    <w:rsid w:val="0027314F"/>
    <w:rsid w:val="00273177"/>
    <w:rsid w:val="002735EC"/>
    <w:rsid w:val="00273891"/>
    <w:rsid w:val="0027420E"/>
    <w:rsid w:val="0027455B"/>
    <w:rsid w:val="00274801"/>
    <w:rsid w:val="00275074"/>
    <w:rsid w:val="002754F5"/>
    <w:rsid w:val="002761E3"/>
    <w:rsid w:val="00276249"/>
    <w:rsid w:val="002763E9"/>
    <w:rsid w:val="00276655"/>
    <w:rsid w:val="00276736"/>
    <w:rsid w:val="00276F4E"/>
    <w:rsid w:val="00277130"/>
    <w:rsid w:val="0027728A"/>
    <w:rsid w:val="002774A0"/>
    <w:rsid w:val="0027773D"/>
    <w:rsid w:val="00277814"/>
    <w:rsid w:val="002778BD"/>
    <w:rsid w:val="002807F3"/>
    <w:rsid w:val="00280B7B"/>
    <w:rsid w:val="00280C44"/>
    <w:rsid w:val="00280D1C"/>
    <w:rsid w:val="00281361"/>
    <w:rsid w:val="0028138D"/>
    <w:rsid w:val="002815BF"/>
    <w:rsid w:val="002815FA"/>
    <w:rsid w:val="002819A5"/>
    <w:rsid w:val="00281EF5"/>
    <w:rsid w:val="002823D5"/>
    <w:rsid w:val="002824C2"/>
    <w:rsid w:val="00282B2C"/>
    <w:rsid w:val="002835DA"/>
    <w:rsid w:val="00283DB9"/>
    <w:rsid w:val="00284153"/>
    <w:rsid w:val="00284E32"/>
    <w:rsid w:val="002851EB"/>
    <w:rsid w:val="00285510"/>
    <w:rsid w:val="00285BD1"/>
    <w:rsid w:val="00285CB5"/>
    <w:rsid w:val="00285DE2"/>
    <w:rsid w:val="0028616D"/>
    <w:rsid w:val="00286965"/>
    <w:rsid w:val="00287190"/>
    <w:rsid w:val="0028791F"/>
    <w:rsid w:val="002900C7"/>
    <w:rsid w:val="0029136E"/>
    <w:rsid w:val="00291C14"/>
    <w:rsid w:val="00292072"/>
    <w:rsid w:val="00292399"/>
    <w:rsid w:val="002928E4"/>
    <w:rsid w:val="00292A28"/>
    <w:rsid w:val="00292B11"/>
    <w:rsid w:val="002932C8"/>
    <w:rsid w:val="00293436"/>
    <w:rsid w:val="002942C8"/>
    <w:rsid w:val="00294445"/>
    <w:rsid w:val="00294B4D"/>
    <w:rsid w:val="0029537E"/>
    <w:rsid w:val="002956A8"/>
    <w:rsid w:val="002960D5"/>
    <w:rsid w:val="002971F9"/>
    <w:rsid w:val="00297284"/>
    <w:rsid w:val="00297807"/>
    <w:rsid w:val="00297926"/>
    <w:rsid w:val="00297B17"/>
    <w:rsid w:val="00297FA0"/>
    <w:rsid w:val="002A0045"/>
    <w:rsid w:val="002A02C9"/>
    <w:rsid w:val="002A046A"/>
    <w:rsid w:val="002A054B"/>
    <w:rsid w:val="002A075C"/>
    <w:rsid w:val="002A092C"/>
    <w:rsid w:val="002A0BDA"/>
    <w:rsid w:val="002A1062"/>
    <w:rsid w:val="002A16F1"/>
    <w:rsid w:val="002A2012"/>
    <w:rsid w:val="002A220A"/>
    <w:rsid w:val="002A2275"/>
    <w:rsid w:val="002A2413"/>
    <w:rsid w:val="002A2F5E"/>
    <w:rsid w:val="002A352A"/>
    <w:rsid w:val="002A47F7"/>
    <w:rsid w:val="002A48C4"/>
    <w:rsid w:val="002A48E7"/>
    <w:rsid w:val="002A5FF5"/>
    <w:rsid w:val="002A5FF7"/>
    <w:rsid w:val="002A601A"/>
    <w:rsid w:val="002A607D"/>
    <w:rsid w:val="002A6082"/>
    <w:rsid w:val="002A64A7"/>
    <w:rsid w:val="002A6622"/>
    <w:rsid w:val="002A7C1C"/>
    <w:rsid w:val="002B05CB"/>
    <w:rsid w:val="002B0636"/>
    <w:rsid w:val="002B0E1A"/>
    <w:rsid w:val="002B132E"/>
    <w:rsid w:val="002B1499"/>
    <w:rsid w:val="002B1F23"/>
    <w:rsid w:val="002B21D8"/>
    <w:rsid w:val="002B2813"/>
    <w:rsid w:val="002B2D29"/>
    <w:rsid w:val="002B3108"/>
    <w:rsid w:val="002B36A4"/>
    <w:rsid w:val="002B392A"/>
    <w:rsid w:val="002B3B31"/>
    <w:rsid w:val="002B3B43"/>
    <w:rsid w:val="002B3BBD"/>
    <w:rsid w:val="002B40B0"/>
    <w:rsid w:val="002B4B1D"/>
    <w:rsid w:val="002B4CA2"/>
    <w:rsid w:val="002B4DA6"/>
    <w:rsid w:val="002B5A02"/>
    <w:rsid w:val="002B5DF0"/>
    <w:rsid w:val="002B609D"/>
    <w:rsid w:val="002B6302"/>
    <w:rsid w:val="002B654B"/>
    <w:rsid w:val="002B665A"/>
    <w:rsid w:val="002B6A47"/>
    <w:rsid w:val="002B6AD4"/>
    <w:rsid w:val="002B7496"/>
    <w:rsid w:val="002B74AF"/>
    <w:rsid w:val="002B7A7D"/>
    <w:rsid w:val="002C0B98"/>
    <w:rsid w:val="002C0C4B"/>
    <w:rsid w:val="002C10AD"/>
    <w:rsid w:val="002C1577"/>
    <w:rsid w:val="002C1EEA"/>
    <w:rsid w:val="002C23FA"/>
    <w:rsid w:val="002C2823"/>
    <w:rsid w:val="002C379A"/>
    <w:rsid w:val="002C3EC5"/>
    <w:rsid w:val="002C47AD"/>
    <w:rsid w:val="002C5510"/>
    <w:rsid w:val="002C58A9"/>
    <w:rsid w:val="002C6034"/>
    <w:rsid w:val="002C635B"/>
    <w:rsid w:val="002C694B"/>
    <w:rsid w:val="002C7276"/>
    <w:rsid w:val="002C7347"/>
    <w:rsid w:val="002C770F"/>
    <w:rsid w:val="002C7CFF"/>
    <w:rsid w:val="002C7F08"/>
    <w:rsid w:val="002D04EF"/>
    <w:rsid w:val="002D05C7"/>
    <w:rsid w:val="002D08BC"/>
    <w:rsid w:val="002D0A5F"/>
    <w:rsid w:val="002D0BC6"/>
    <w:rsid w:val="002D0D9C"/>
    <w:rsid w:val="002D12DB"/>
    <w:rsid w:val="002D17C5"/>
    <w:rsid w:val="002D1EE2"/>
    <w:rsid w:val="002D1F0B"/>
    <w:rsid w:val="002D2445"/>
    <w:rsid w:val="002D2590"/>
    <w:rsid w:val="002D2921"/>
    <w:rsid w:val="002D365F"/>
    <w:rsid w:val="002D3F12"/>
    <w:rsid w:val="002D428F"/>
    <w:rsid w:val="002D43C7"/>
    <w:rsid w:val="002D4830"/>
    <w:rsid w:val="002D4A68"/>
    <w:rsid w:val="002D4AFF"/>
    <w:rsid w:val="002D4B2F"/>
    <w:rsid w:val="002D4E9C"/>
    <w:rsid w:val="002D4F44"/>
    <w:rsid w:val="002D51DF"/>
    <w:rsid w:val="002D555F"/>
    <w:rsid w:val="002D587C"/>
    <w:rsid w:val="002D5E9D"/>
    <w:rsid w:val="002D5ED6"/>
    <w:rsid w:val="002D6892"/>
    <w:rsid w:val="002D68C2"/>
    <w:rsid w:val="002D6958"/>
    <w:rsid w:val="002D6C5D"/>
    <w:rsid w:val="002D6F30"/>
    <w:rsid w:val="002D77D3"/>
    <w:rsid w:val="002D7838"/>
    <w:rsid w:val="002D7C86"/>
    <w:rsid w:val="002E0692"/>
    <w:rsid w:val="002E08D7"/>
    <w:rsid w:val="002E0C48"/>
    <w:rsid w:val="002E0E7E"/>
    <w:rsid w:val="002E152D"/>
    <w:rsid w:val="002E191D"/>
    <w:rsid w:val="002E1A54"/>
    <w:rsid w:val="002E1D74"/>
    <w:rsid w:val="002E2943"/>
    <w:rsid w:val="002E2C49"/>
    <w:rsid w:val="002E2CF1"/>
    <w:rsid w:val="002E34AF"/>
    <w:rsid w:val="002E378A"/>
    <w:rsid w:val="002E3BE7"/>
    <w:rsid w:val="002E49DC"/>
    <w:rsid w:val="002E4AAC"/>
    <w:rsid w:val="002E4AFC"/>
    <w:rsid w:val="002E4D22"/>
    <w:rsid w:val="002E53DE"/>
    <w:rsid w:val="002E563B"/>
    <w:rsid w:val="002E5CFA"/>
    <w:rsid w:val="002E62D2"/>
    <w:rsid w:val="002E734F"/>
    <w:rsid w:val="002E746D"/>
    <w:rsid w:val="002E74AF"/>
    <w:rsid w:val="002E758C"/>
    <w:rsid w:val="002E7B02"/>
    <w:rsid w:val="002E7D75"/>
    <w:rsid w:val="002F0713"/>
    <w:rsid w:val="002F0C0C"/>
    <w:rsid w:val="002F0DB9"/>
    <w:rsid w:val="002F1038"/>
    <w:rsid w:val="002F2271"/>
    <w:rsid w:val="002F22FF"/>
    <w:rsid w:val="002F28AA"/>
    <w:rsid w:val="002F2CAA"/>
    <w:rsid w:val="002F2D8F"/>
    <w:rsid w:val="002F2FF0"/>
    <w:rsid w:val="002F31A2"/>
    <w:rsid w:val="002F327E"/>
    <w:rsid w:val="002F3C1C"/>
    <w:rsid w:val="002F3D68"/>
    <w:rsid w:val="002F3EC0"/>
    <w:rsid w:val="002F4893"/>
    <w:rsid w:val="002F4A00"/>
    <w:rsid w:val="002F4C60"/>
    <w:rsid w:val="002F5BE4"/>
    <w:rsid w:val="002F5E3B"/>
    <w:rsid w:val="002F64F6"/>
    <w:rsid w:val="002F6917"/>
    <w:rsid w:val="002F695B"/>
    <w:rsid w:val="002F715E"/>
    <w:rsid w:val="002F72DA"/>
    <w:rsid w:val="002F76B1"/>
    <w:rsid w:val="002F7D66"/>
    <w:rsid w:val="002F7DBE"/>
    <w:rsid w:val="0030090B"/>
    <w:rsid w:val="00301135"/>
    <w:rsid w:val="00302AE8"/>
    <w:rsid w:val="00302BB1"/>
    <w:rsid w:val="003030F0"/>
    <w:rsid w:val="0030404B"/>
    <w:rsid w:val="00304210"/>
    <w:rsid w:val="00304581"/>
    <w:rsid w:val="003048D7"/>
    <w:rsid w:val="00304A1B"/>
    <w:rsid w:val="00304AD2"/>
    <w:rsid w:val="00304DB1"/>
    <w:rsid w:val="00304EAA"/>
    <w:rsid w:val="003051B8"/>
    <w:rsid w:val="00305297"/>
    <w:rsid w:val="00305493"/>
    <w:rsid w:val="003062E6"/>
    <w:rsid w:val="0030662D"/>
    <w:rsid w:val="003068B6"/>
    <w:rsid w:val="003071F6"/>
    <w:rsid w:val="00307210"/>
    <w:rsid w:val="00307FE0"/>
    <w:rsid w:val="003101EC"/>
    <w:rsid w:val="00310497"/>
    <w:rsid w:val="0031049E"/>
    <w:rsid w:val="003107EB"/>
    <w:rsid w:val="00310B4A"/>
    <w:rsid w:val="00310E66"/>
    <w:rsid w:val="003110EE"/>
    <w:rsid w:val="003115D7"/>
    <w:rsid w:val="003119D3"/>
    <w:rsid w:val="00311C08"/>
    <w:rsid w:val="00312565"/>
    <w:rsid w:val="003125E0"/>
    <w:rsid w:val="00312ECE"/>
    <w:rsid w:val="0031393C"/>
    <w:rsid w:val="00313CB0"/>
    <w:rsid w:val="00313D93"/>
    <w:rsid w:val="00313F96"/>
    <w:rsid w:val="0031421E"/>
    <w:rsid w:val="003142FB"/>
    <w:rsid w:val="00314418"/>
    <w:rsid w:val="00314820"/>
    <w:rsid w:val="00314B0A"/>
    <w:rsid w:val="0031506C"/>
    <w:rsid w:val="003150A4"/>
    <w:rsid w:val="003150CE"/>
    <w:rsid w:val="00315180"/>
    <w:rsid w:val="003154F7"/>
    <w:rsid w:val="00315AAB"/>
    <w:rsid w:val="00315C19"/>
    <w:rsid w:val="0031710E"/>
    <w:rsid w:val="003175E1"/>
    <w:rsid w:val="003179B0"/>
    <w:rsid w:val="00320223"/>
    <w:rsid w:val="00320299"/>
    <w:rsid w:val="00321154"/>
    <w:rsid w:val="003211B0"/>
    <w:rsid w:val="00321987"/>
    <w:rsid w:val="00321EDA"/>
    <w:rsid w:val="003224AA"/>
    <w:rsid w:val="003224E7"/>
    <w:rsid w:val="00322597"/>
    <w:rsid w:val="00322BA8"/>
    <w:rsid w:val="0032300A"/>
    <w:rsid w:val="003232DA"/>
    <w:rsid w:val="00323F3F"/>
    <w:rsid w:val="00324628"/>
    <w:rsid w:val="00325132"/>
    <w:rsid w:val="00325D7A"/>
    <w:rsid w:val="00325E06"/>
    <w:rsid w:val="00326145"/>
    <w:rsid w:val="0032616A"/>
    <w:rsid w:val="0032651C"/>
    <w:rsid w:val="00326B21"/>
    <w:rsid w:val="00327163"/>
    <w:rsid w:val="00327305"/>
    <w:rsid w:val="00327531"/>
    <w:rsid w:val="00327E9C"/>
    <w:rsid w:val="00330183"/>
    <w:rsid w:val="00330187"/>
    <w:rsid w:val="00330247"/>
    <w:rsid w:val="0033097F"/>
    <w:rsid w:val="003309E4"/>
    <w:rsid w:val="00331C77"/>
    <w:rsid w:val="00331DB6"/>
    <w:rsid w:val="00331F96"/>
    <w:rsid w:val="00332002"/>
    <w:rsid w:val="0033228D"/>
    <w:rsid w:val="003327F8"/>
    <w:rsid w:val="00332A2B"/>
    <w:rsid w:val="00332B55"/>
    <w:rsid w:val="00332E52"/>
    <w:rsid w:val="003336B9"/>
    <w:rsid w:val="0033371E"/>
    <w:rsid w:val="0033476C"/>
    <w:rsid w:val="003348E0"/>
    <w:rsid w:val="00334DD8"/>
    <w:rsid w:val="00334FF1"/>
    <w:rsid w:val="00335069"/>
    <w:rsid w:val="00335630"/>
    <w:rsid w:val="00335EA8"/>
    <w:rsid w:val="003360F4"/>
    <w:rsid w:val="0033639F"/>
    <w:rsid w:val="003363DD"/>
    <w:rsid w:val="00336902"/>
    <w:rsid w:val="00336EDB"/>
    <w:rsid w:val="0033778D"/>
    <w:rsid w:val="00337810"/>
    <w:rsid w:val="00337A9C"/>
    <w:rsid w:val="00337B52"/>
    <w:rsid w:val="00337E8B"/>
    <w:rsid w:val="00340361"/>
    <w:rsid w:val="00340795"/>
    <w:rsid w:val="00340C9E"/>
    <w:rsid w:val="00340DFA"/>
    <w:rsid w:val="0034111C"/>
    <w:rsid w:val="00341947"/>
    <w:rsid w:val="00341E60"/>
    <w:rsid w:val="00342102"/>
    <w:rsid w:val="0034217F"/>
    <w:rsid w:val="00342642"/>
    <w:rsid w:val="00342AD2"/>
    <w:rsid w:val="00342B58"/>
    <w:rsid w:val="00343351"/>
    <w:rsid w:val="003435BA"/>
    <w:rsid w:val="00343954"/>
    <w:rsid w:val="00343C37"/>
    <w:rsid w:val="00344883"/>
    <w:rsid w:val="00344BCA"/>
    <w:rsid w:val="00344D02"/>
    <w:rsid w:val="0034500C"/>
    <w:rsid w:val="00345405"/>
    <w:rsid w:val="0034582A"/>
    <w:rsid w:val="00345D69"/>
    <w:rsid w:val="00345DDD"/>
    <w:rsid w:val="00346221"/>
    <w:rsid w:val="00346500"/>
    <w:rsid w:val="003465C9"/>
    <w:rsid w:val="00346B41"/>
    <w:rsid w:val="00346BFF"/>
    <w:rsid w:val="00346E1C"/>
    <w:rsid w:val="00346FED"/>
    <w:rsid w:val="00347A41"/>
    <w:rsid w:val="00347FCA"/>
    <w:rsid w:val="003501B6"/>
    <w:rsid w:val="003507FF"/>
    <w:rsid w:val="003515A9"/>
    <w:rsid w:val="00351E01"/>
    <w:rsid w:val="003525B8"/>
    <w:rsid w:val="00352968"/>
    <w:rsid w:val="0035298B"/>
    <w:rsid w:val="00352D21"/>
    <w:rsid w:val="00353D79"/>
    <w:rsid w:val="00353E75"/>
    <w:rsid w:val="0035411C"/>
    <w:rsid w:val="0035419C"/>
    <w:rsid w:val="0035443D"/>
    <w:rsid w:val="00354517"/>
    <w:rsid w:val="00354AA2"/>
    <w:rsid w:val="00354D8B"/>
    <w:rsid w:val="00354FEE"/>
    <w:rsid w:val="00356275"/>
    <w:rsid w:val="00356C0B"/>
    <w:rsid w:val="00356EFA"/>
    <w:rsid w:val="00357B9C"/>
    <w:rsid w:val="00357ED3"/>
    <w:rsid w:val="00357F7D"/>
    <w:rsid w:val="003600C2"/>
    <w:rsid w:val="00360626"/>
    <w:rsid w:val="00361412"/>
    <w:rsid w:val="003615CA"/>
    <w:rsid w:val="00361802"/>
    <w:rsid w:val="003621AC"/>
    <w:rsid w:val="00362B60"/>
    <w:rsid w:val="00362D38"/>
    <w:rsid w:val="00363884"/>
    <w:rsid w:val="003638E0"/>
    <w:rsid w:val="00363B2C"/>
    <w:rsid w:val="00363C2E"/>
    <w:rsid w:val="003642A6"/>
    <w:rsid w:val="003643D2"/>
    <w:rsid w:val="00364763"/>
    <w:rsid w:val="00364AA7"/>
    <w:rsid w:val="00364BC9"/>
    <w:rsid w:val="003653A6"/>
    <w:rsid w:val="00365C3D"/>
    <w:rsid w:val="0036626E"/>
    <w:rsid w:val="003663B4"/>
    <w:rsid w:val="00366B9E"/>
    <w:rsid w:val="00366BE9"/>
    <w:rsid w:val="00366C1B"/>
    <w:rsid w:val="003671EE"/>
    <w:rsid w:val="00367337"/>
    <w:rsid w:val="00367367"/>
    <w:rsid w:val="00367FD8"/>
    <w:rsid w:val="0037004E"/>
    <w:rsid w:val="0037051E"/>
    <w:rsid w:val="0037057D"/>
    <w:rsid w:val="00370B63"/>
    <w:rsid w:val="00370FCC"/>
    <w:rsid w:val="003711AF"/>
    <w:rsid w:val="00371F9C"/>
    <w:rsid w:val="003723F4"/>
    <w:rsid w:val="003735C6"/>
    <w:rsid w:val="003740FB"/>
    <w:rsid w:val="00374848"/>
    <w:rsid w:val="0037550F"/>
    <w:rsid w:val="003757A1"/>
    <w:rsid w:val="003759F1"/>
    <w:rsid w:val="00375D09"/>
    <w:rsid w:val="00375FEB"/>
    <w:rsid w:val="003762DC"/>
    <w:rsid w:val="00376815"/>
    <w:rsid w:val="00376AA7"/>
    <w:rsid w:val="00376FC4"/>
    <w:rsid w:val="0037739D"/>
    <w:rsid w:val="0037751C"/>
    <w:rsid w:val="00377680"/>
    <w:rsid w:val="00377D61"/>
    <w:rsid w:val="003803D4"/>
    <w:rsid w:val="0038060B"/>
    <w:rsid w:val="003806CA"/>
    <w:rsid w:val="00380B66"/>
    <w:rsid w:val="00380BE9"/>
    <w:rsid w:val="00380C57"/>
    <w:rsid w:val="00380F3F"/>
    <w:rsid w:val="003813BB"/>
    <w:rsid w:val="0038154F"/>
    <w:rsid w:val="00381953"/>
    <w:rsid w:val="00381B17"/>
    <w:rsid w:val="00382232"/>
    <w:rsid w:val="003822D1"/>
    <w:rsid w:val="0038262B"/>
    <w:rsid w:val="00382F1A"/>
    <w:rsid w:val="00382F9A"/>
    <w:rsid w:val="003830C7"/>
    <w:rsid w:val="00383282"/>
    <w:rsid w:val="00383422"/>
    <w:rsid w:val="00383425"/>
    <w:rsid w:val="00383658"/>
    <w:rsid w:val="00383FA7"/>
    <w:rsid w:val="0038412E"/>
    <w:rsid w:val="003844B8"/>
    <w:rsid w:val="00385172"/>
    <w:rsid w:val="00385679"/>
    <w:rsid w:val="00386053"/>
    <w:rsid w:val="0038609B"/>
    <w:rsid w:val="003861E5"/>
    <w:rsid w:val="00386300"/>
    <w:rsid w:val="0038653B"/>
    <w:rsid w:val="003865B8"/>
    <w:rsid w:val="00386C0A"/>
    <w:rsid w:val="00387459"/>
    <w:rsid w:val="00387525"/>
    <w:rsid w:val="0038771D"/>
    <w:rsid w:val="00387B43"/>
    <w:rsid w:val="00387E2A"/>
    <w:rsid w:val="0039053E"/>
    <w:rsid w:val="00390676"/>
    <w:rsid w:val="00390935"/>
    <w:rsid w:val="00390D0A"/>
    <w:rsid w:val="00391DB3"/>
    <w:rsid w:val="00392355"/>
    <w:rsid w:val="0039241F"/>
    <w:rsid w:val="00392491"/>
    <w:rsid w:val="00392748"/>
    <w:rsid w:val="00392C24"/>
    <w:rsid w:val="00392DAC"/>
    <w:rsid w:val="003931B8"/>
    <w:rsid w:val="003934B6"/>
    <w:rsid w:val="00393517"/>
    <w:rsid w:val="003935B0"/>
    <w:rsid w:val="00393E44"/>
    <w:rsid w:val="00393F06"/>
    <w:rsid w:val="003941E5"/>
    <w:rsid w:val="00394301"/>
    <w:rsid w:val="003944A9"/>
    <w:rsid w:val="003970F7"/>
    <w:rsid w:val="003973E6"/>
    <w:rsid w:val="0039747B"/>
    <w:rsid w:val="003977AB"/>
    <w:rsid w:val="00397AB6"/>
    <w:rsid w:val="00397ACA"/>
    <w:rsid w:val="00397D75"/>
    <w:rsid w:val="00397FE2"/>
    <w:rsid w:val="003A10C3"/>
    <w:rsid w:val="003A1147"/>
    <w:rsid w:val="003A11B8"/>
    <w:rsid w:val="003A1D92"/>
    <w:rsid w:val="003A313A"/>
    <w:rsid w:val="003A35DD"/>
    <w:rsid w:val="003A42CB"/>
    <w:rsid w:val="003A455E"/>
    <w:rsid w:val="003A495D"/>
    <w:rsid w:val="003A4A40"/>
    <w:rsid w:val="003A4C7C"/>
    <w:rsid w:val="003A4DC7"/>
    <w:rsid w:val="003A5611"/>
    <w:rsid w:val="003A57B8"/>
    <w:rsid w:val="003A5844"/>
    <w:rsid w:val="003A586E"/>
    <w:rsid w:val="003A597F"/>
    <w:rsid w:val="003A71A8"/>
    <w:rsid w:val="003A71D2"/>
    <w:rsid w:val="003A78D4"/>
    <w:rsid w:val="003A78E6"/>
    <w:rsid w:val="003A7F47"/>
    <w:rsid w:val="003B00CA"/>
    <w:rsid w:val="003B01CD"/>
    <w:rsid w:val="003B030B"/>
    <w:rsid w:val="003B0432"/>
    <w:rsid w:val="003B0821"/>
    <w:rsid w:val="003B0BE9"/>
    <w:rsid w:val="003B0F4B"/>
    <w:rsid w:val="003B0F4D"/>
    <w:rsid w:val="003B2A7C"/>
    <w:rsid w:val="003B2D25"/>
    <w:rsid w:val="003B2E9B"/>
    <w:rsid w:val="003B2F8D"/>
    <w:rsid w:val="003B3B2C"/>
    <w:rsid w:val="003B3C64"/>
    <w:rsid w:val="003B4A65"/>
    <w:rsid w:val="003B4BB5"/>
    <w:rsid w:val="003B4FAA"/>
    <w:rsid w:val="003B547A"/>
    <w:rsid w:val="003B5E03"/>
    <w:rsid w:val="003B632F"/>
    <w:rsid w:val="003B6EC0"/>
    <w:rsid w:val="003B7320"/>
    <w:rsid w:val="003B7373"/>
    <w:rsid w:val="003B74B7"/>
    <w:rsid w:val="003B75B9"/>
    <w:rsid w:val="003B7820"/>
    <w:rsid w:val="003B7A10"/>
    <w:rsid w:val="003C087B"/>
    <w:rsid w:val="003C0DA2"/>
    <w:rsid w:val="003C0E66"/>
    <w:rsid w:val="003C1A18"/>
    <w:rsid w:val="003C2592"/>
    <w:rsid w:val="003C25D4"/>
    <w:rsid w:val="003C2798"/>
    <w:rsid w:val="003C2B29"/>
    <w:rsid w:val="003C2B40"/>
    <w:rsid w:val="003C38CD"/>
    <w:rsid w:val="003C3A90"/>
    <w:rsid w:val="003C4232"/>
    <w:rsid w:val="003C4D56"/>
    <w:rsid w:val="003C509E"/>
    <w:rsid w:val="003C5C41"/>
    <w:rsid w:val="003C5CE6"/>
    <w:rsid w:val="003C5D2B"/>
    <w:rsid w:val="003C6269"/>
    <w:rsid w:val="003C669D"/>
    <w:rsid w:val="003C6877"/>
    <w:rsid w:val="003C6EA0"/>
    <w:rsid w:val="003C7062"/>
    <w:rsid w:val="003C7461"/>
    <w:rsid w:val="003C7B31"/>
    <w:rsid w:val="003D028F"/>
    <w:rsid w:val="003D0788"/>
    <w:rsid w:val="003D0BD7"/>
    <w:rsid w:val="003D1057"/>
    <w:rsid w:val="003D132A"/>
    <w:rsid w:val="003D1517"/>
    <w:rsid w:val="003D1CEF"/>
    <w:rsid w:val="003D1D50"/>
    <w:rsid w:val="003D1E7E"/>
    <w:rsid w:val="003D1F02"/>
    <w:rsid w:val="003D232D"/>
    <w:rsid w:val="003D286B"/>
    <w:rsid w:val="003D2938"/>
    <w:rsid w:val="003D3783"/>
    <w:rsid w:val="003D3B36"/>
    <w:rsid w:val="003D3FBA"/>
    <w:rsid w:val="003D402B"/>
    <w:rsid w:val="003D4206"/>
    <w:rsid w:val="003D47D4"/>
    <w:rsid w:val="003D54B0"/>
    <w:rsid w:val="003D6B1F"/>
    <w:rsid w:val="003D73BB"/>
    <w:rsid w:val="003D764F"/>
    <w:rsid w:val="003D76EF"/>
    <w:rsid w:val="003D78C1"/>
    <w:rsid w:val="003D79DE"/>
    <w:rsid w:val="003E0042"/>
    <w:rsid w:val="003E0234"/>
    <w:rsid w:val="003E02C2"/>
    <w:rsid w:val="003E0667"/>
    <w:rsid w:val="003E0BCE"/>
    <w:rsid w:val="003E0DF3"/>
    <w:rsid w:val="003E13E0"/>
    <w:rsid w:val="003E1623"/>
    <w:rsid w:val="003E1660"/>
    <w:rsid w:val="003E182B"/>
    <w:rsid w:val="003E1CD1"/>
    <w:rsid w:val="003E21B4"/>
    <w:rsid w:val="003E2873"/>
    <w:rsid w:val="003E2A2D"/>
    <w:rsid w:val="003E34AB"/>
    <w:rsid w:val="003E3D95"/>
    <w:rsid w:val="003E4182"/>
    <w:rsid w:val="003E46DF"/>
    <w:rsid w:val="003E47D4"/>
    <w:rsid w:val="003E489E"/>
    <w:rsid w:val="003E49AA"/>
    <w:rsid w:val="003E5032"/>
    <w:rsid w:val="003E50B9"/>
    <w:rsid w:val="003E518E"/>
    <w:rsid w:val="003E5831"/>
    <w:rsid w:val="003E64A9"/>
    <w:rsid w:val="003E65A9"/>
    <w:rsid w:val="003E6B81"/>
    <w:rsid w:val="003E6C41"/>
    <w:rsid w:val="003E7345"/>
    <w:rsid w:val="003E7905"/>
    <w:rsid w:val="003E7CD2"/>
    <w:rsid w:val="003F0336"/>
    <w:rsid w:val="003F0367"/>
    <w:rsid w:val="003F07D2"/>
    <w:rsid w:val="003F12DA"/>
    <w:rsid w:val="003F236A"/>
    <w:rsid w:val="003F2429"/>
    <w:rsid w:val="003F310D"/>
    <w:rsid w:val="003F3480"/>
    <w:rsid w:val="003F34F0"/>
    <w:rsid w:val="003F3520"/>
    <w:rsid w:val="003F39FB"/>
    <w:rsid w:val="003F3FCC"/>
    <w:rsid w:val="003F43F7"/>
    <w:rsid w:val="003F4859"/>
    <w:rsid w:val="003F54E8"/>
    <w:rsid w:val="003F5547"/>
    <w:rsid w:val="003F56AD"/>
    <w:rsid w:val="003F5C40"/>
    <w:rsid w:val="003F5E72"/>
    <w:rsid w:val="003F6A6F"/>
    <w:rsid w:val="003F6E12"/>
    <w:rsid w:val="003F6F8B"/>
    <w:rsid w:val="003F74F9"/>
    <w:rsid w:val="003F75ED"/>
    <w:rsid w:val="003F7818"/>
    <w:rsid w:val="003F7F6A"/>
    <w:rsid w:val="004002B7"/>
    <w:rsid w:val="004004D0"/>
    <w:rsid w:val="0040066E"/>
    <w:rsid w:val="004009DD"/>
    <w:rsid w:val="00400F31"/>
    <w:rsid w:val="004014F8"/>
    <w:rsid w:val="00401C37"/>
    <w:rsid w:val="00402135"/>
    <w:rsid w:val="004023BA"/>
    <w:rsid w:val="00403016"/>
    <w:rsid w:val="004031D9"/>
    <w:rsid w:val="0040388D"/>
    <w:rsid w:val="0040449A"/>
    <w:rsid w:val="0040471A"/>
    <w:rsid w:val="004053B3"/>
    <w:rsid w:val="0040592D"/>
    <w:rsid w:val="0040626F"/>
    <w:rsid w:val="0040631E"/>
    <w:rsid w:val="00406582"/>
    <w:rsid w:val="00406B4D"/>
    <w:rsid w:val="004100B6"/>
    <w:rsid w:val="0041033C"/>
    <w:rsid w:val="00410367"/>
    <w:rsid w:val="004106F0"/>
    <w:rsid w:val="00410869"/>
    <w:rsid w:val="00410A14"/>
    <w:rsid w:val="00410F38"/>
    <w:rsid w:val="004113AC"/>
    <w:rsid w:val="00412AB0"/>
    <w:rsid w:val="00412BE6"/>
    <w:rsid w:val="00412FB7"/>
    <w:rsid w:val="0041343E"/>
    <w:rsid w:val="00413AFF"/>
    <w:rsid w:val="0041443C"/>
    <w:rsid w:val="004147AB"/>
    <w:rsid w:val="0041488F"/>
    <w:rsid w:val="00415032"/>
    <w:rsid w:val="004154F7"/>
    <w:rsid w:val="00415D30"/>
    <w:rsid w:val="00416895"/>
    <w:rsid w:val="00416D44"/>
    <w:rsid w:val="00416EFB"/>
    <w:rsid w:val="004172A4"/>
    <w:rsid w:val="004176FF"/>
    <w:rsid w:val="00417A1E"/>
    <w:rsid w:val="00417B32"/>
    <w:rsid w:val="00420082"/>
    <w:rsid w:val="00420111"/>
    <w:rsid w:val="0042109A"/>
    <w:rsid w:val="0042141A"/>
    <w:rsid w:val="00421A27"/>
    <w:rsid w:val="00421D0A"/>
    <w:rsid w:val="00421EAF"/>
    <w:rsid w:val="00422057"/>
    <w:rsid w:val="004226C3"/>
    <w:rsid w:val="004228BA"/>
    <w:rsid w:val="00422900"/>
    <w:rsid w:val="004229E7"/>
    <w:rsid w:val="00422FA2"/>
    <w:rsid w:val="00423520"/>
    <w:rsid w:val="004241C5"/>
    <w:rsid w:val="0042432D"/>
    <w:rsid w:val="0042467A"/>
    <w:rsid w:val="004246F1"/>
    <w:rsid w:val="00424FA7"/>
    <w:rsid w:val="0042509A"/>
    <w:rsid w:val="004258E1"/>
    <w:rsid w:val="00425D2C"/>
    <w:rsid w:val="00425E85"/>
    <w:rsid w:val="00425FA3"/>
    <w:rsid w:val="004260FB"/>
    <w:rsid w:val="00426A87"/>
    <w:rsid w:val="00426DDF"/>
    <w:rsid w:val="00427007"/>
    <w:rsid w:val="004275D0"/>
    <w:rsid w:val="00430029"/>
    <w:rsid w:val="004309D8"/>
    <w:rsid w:val="00430BAF"/>
    <w:rsid w:val="00431160"/>
    <w:rsid w:val="004311CC"/>
    <w:rsid w:val="004313D1"/>
    <w:rsid w:val="004314CA"/>
    <w:rsid w:val="004315A9"/>
    <w:rsid w:val="00432110"/>
    <w:rsid w:val="004328EE"/>
    <w:rsid w:val="00432BBC"/>
    <w:rsid w:val="00432C8C"/>
    <w:rsid w:val="00432F72"/>
    <w:rsid w:val="00433282"/>
    <w:rsid w:val="00433D49"/>
    <w:rsid w:val="00433D5B"/>
    <w:rsid w:val="00433E64"/>
    <w:rsid w:val="00433EBE"/>
    <w:rsid w:val="00434406"/>
    <w:rsid w:val="0043457B"/>
    <w:rsid w:val="00434E6D"/>
    <w:rsid w:val="00434F26"/>
    <w:rsid w:val="00435B7F"/>
    <w:rsid w:val="00435E42"/>
    <w:rsid w:val="00436460"/>
    <w:rsid w:val="004367F3"/>
    <w:rsid w:val="00437229"/>
    <w:rsid w:val="00437E78"/>
    <w:rsid w:val="00440A83"/>
    <w:rsid w:val="00440E65"/>
    <w:rsid w:val="00440FED"/>
    <w:rsid w:val="00441B92"/>
    <w:rsid w:val="0044294F"/>
    <w:rsid w:val="00442AC7"/>
    <w:rsid w:val="00442E49"/>
    <w:rsid w:val="004437BA"/>
    <w:rsid w:val="00443A9F"/>
    <w:rsid w:val="004440FC"/>
    <w:rsid w:val="00444405"/>
    <w:rsid w:val="0044474B"/>
    <w:rsid w:val="00445FF7"/>
    <w:rsid w:val="00446F75"/>
    <w:rsid w:val="0044721B"/>
    <w:rsid w:val="004473B5"/>
    <w:rsid w:val="00450635"/>
    <w:rsid w:val="004508A8"/>
    <w:rsid w:val="00450D99"/>
    <w:rsid w:val="00450F6E"/>
    <w:rsid w:val="00450FC3"/>
    <w:rsid w:val="00451A7F"/>
    <w:rsid w:val="00451BAE"/>
    <w:rsid w:val="0045213E"/>
    <w:rsid w:val="004524FB"/>
    <w:rsid w:val="00452AAE"/>
    <w:rsid w:val="00452CA7"/>
    <w:rsid w:val="00453341"/>
    <w:rsid w:val="00453D7B"/>
    <w:rsid w:val="004545C6"/>
    <w:rsid w:val="00454693"/>
    <w:rsid w:val="00454DCA"/>
    <w:rsid w:val="00454E26"/>
    <w:rsid w:val="00456165"/>
    <w:rsid w:val="0045653C"/>
    <w:rsid w:val="00456544"/>
    <w:rsid w:val="00456649"/>
    <w:rsid w:val="004567AF"/>
    <w:rsid w:val="004567B7"/>
    <w:rsid w:val="004567DC"/>
    <w:rsid w:val="00456856"/>
    <w:rsid w:val="004571EF"/>
    <w:rsid w:val="0045730B"/>
    <w:rsid w:val="00460094"/>
    <w:rsid w:val="0046026E"/>
    <w:rsid w:val="0046047A"/>
    <w:rsid w:val="00460651"/>
    <w:rsid w:val="0046078A"/>
    <w:rsid w:val="00460996"/>
    <w:rsid w:val="00460BD2"/>
    <w:rsid w:val="00461210"/>
    <w:rsid w:val="004612F6"/>
    <w:rsid w:val="004613A5"/>
    <w:rsid w:val="00461700"/>
    <w:rsid w:val="00461AAC"/>
    <w:rsid w:val="0046206A"/>
    <w:rsid w:val="00462143"/>
    <w:rsid w:val="004621D5"/>
    <w:rsid w:val="00462490"/>
    <w:rsid w:val="00462AC9"/>
    <w:rsid w:val="00462AE6"/>
    <w:rsid w:val="00462CE9"/>
    <w:rsid w:val="00463BA7"/>
    <w:rsid w:val="00463DC3"/>
    <w:rsid w:val="00464520"/>
    <w:rsid w:val="0046478F"/>
    <w:rsid w:val="004647F1"/>
    <w:rsid w:val="00465299"/>
    <w:rsid w:val="00465322"/>
    <w:rsid w:val="00465611"/>
    <w:rsid w:val="00465BC3"/>
    <w:rsid w:val="00466A0F"/>
    <w:rsid w:val="004671F1"/>
    <w:rsid w:val="00467502"/>
    <w:rsid w:val="00467696"/>
    <w:rsid w:val="0046795B"/>
    <w:rsid w:val="00467BE6"/>
    <w:rsid w:val="004700CB"/>
    <w:rsid w:val="0047037F"/>
    <w:rsid w:val="00470588"/>
    <w:rsid w:val="004705D4"/>
    <w:rsid w:val="004708C0"/>
    <w:rsid w:val="0047115F"/>
    <w:rsid w:val="004712C5"/>
    <w:rsid w:val="004712FB"/>
    <w:rsid w:val="004715CB"/>
    <w:rsid w:val="00471863"/>
    <w:rsid w:val="00471B2D"/>
    <w:rsid w:val="00471DF0"/>
    <w:rsid w:val="0047231C"/>
    <w:rsid w:val="00472E39"/>
    <w:rsid w:val="00473777"/>
    <w:rsid w:val="00473A14"/>
    <w:rsid w:val="00473DC8"/>
    <w:rsid w:val="00474096"/>
    <w:rsid w:val="004741C5"/>
    <w:rsid w:val="004745A9"/>
    <w:rsid w:val="0047471B"/>
    <w:rsid w:val="00474871"/>
    <w:rsid w:val="00474A6D"/>
    <w:rsid w:val="00474CA8"/>
    <w:rsid w:val="00474E43"/>
    <w:rsid w:val="004753B2"/>
    <w:rsid w:val="00475697"/>
    <w:rsid w:val="00475B6D"/>
    <w:rsid w:val="00476204"/>
    <w:rsid w:val="0047635A"/>
    <w:rsid w:val="004766DA"/>
    <w:rsid w:val="00476A55"/>
    <w:rsid w:val="00477995"/>
    <w:rsid w:val="00480195"/>
    <w:rsid w:val="0048076D"/>
    <w:rsid w:val="00480879"/>
    <w:rsid w:val="00481123"/>
    <w:rsid w:val="0048130A"/>
    <w:rsid w:val="00481312"/>
    <w:rsid w:val="0048134D"/>
    <w:rsid w:val="00481624"/>
    <w:rsid w:val="00481765"/>
    <w:rsid w:val="00481D90"/>
    <w:rsid w:val="0048230A"/>
    <w:rsid w:val="00482700"/>
    <w:rsid w:val="00482782"/>
    <w:rsid w:val="00482927"/>
    <w:rsid w:val="00482B0B"/>
    <w:rsid w:val="00482CD4"/>
    <w:rsid w:val="00483261"/>
    <w:rsid w:val="0048328A"/>
    <w:rsid w:val="00483ED3"/>
    <w:rsid w:val="00484377"/>
    <w:rsid w:val="00484A97"/>
    <w:rsid w:val="0048540D"/>
    <w:rsid w:val="00485B23"/>
    <w:rsid w:val="00485B50"/>
    <w:rsid w:val="00485D49"/>
    <w:rsid w:val="00485DF2"/>
    <w:rsid w:val="00486478"/>
    <w:rsid w:val="0048671B"/>
    <w:rsid w:val="00486B89"/>
    <w:rsid w:val="004874E4"/>
    <w:rsid w:val="004875F0"/>
    <w:rsid w:val="004878DC"/>
    <w:rsid w:val="00487FBB"/>
    <w:rsid w:val="004905F6"/>
    <w:rsid w:val="00490688"/>
    <w:rsid w:val="0049070D"/>
    <w:rsid w:val="004907D4"/>
    <w:rsid w:val="00490A39"/>
    <w:rsid w:val="00490E82"/>
    <w:rsid w:val="00490F55"/>
    <w:rsid w:val="00491192"/>
    <w:rsid w:val="004918F3"/>
    <w:rsid w:val="00491BE4"/>
    <w:rsid w:val="00491DB2"/>
    <w:rsid w:val="0049206C"/>
    <w:rsid w:val="00492721"/>
    <w:rsid w:val="00492877"/>
    <w:rsid w:val="00492A93"/>
    <w:rsid w:val="00492E53"/>
    <w:rsid w:val="004930DD"/>
    <w:rsid w:val="00493659"/>
    <w:rsid w:val="0049418C"/>
    <w:rsid w:val="00494DB4"/>
    <w:rsid w:val="004950C5"/>
    <w:rsid w:val="0049573D"/>
    <w:rsid w:val="00495BA6"/>
    <w:rsid w:val="00495F33"/>
    <w:rsid w:val="0049688C"/>
    <w:rsid w:val="00496A5B"/>
    <w:rsid w:val="00496DC2"/>
    <w:rsid w:val="00496E75"/>
    <w:rsid w:val="00497BAB"/>
    <w:rsid w:val="004A014C"/>
    <w:rsid w:val="004A0AA8"/>
    <w:rsid w:val="004A1345"/>
    <w:rsid w:val="004A1BA8"/>
    <w:rsid w:val="004A1FE4"/>
    <w:rsid w:val="004A2103"/>
    <w:rsid w:val="004A2A91"/>
    <w:rsid w:val="004A2CA9"/>
    <w:rsid w:val="004A2DF8"/>
    <w:rsid w:val="004A2F9C"/>
    <w:rsid w:val="004A3064"/>
    <w:rsid w:val="004A33EF"/>
    <w:rsid w:val="004A34C9"/>
    <w:rsid w:val="004A351E"/>
    <w:rsid w:val="004A3949"/>
    <w:rsid w:val="004A3CB5"/>
    <w:rsid w:val="004A49D4"/>
    <w:rsid w:val="004A537D"/>
    <w:rsid w:val="004A6009"/>
    <w:rsid w:val="004A65B3"/>
    <w:rsid w:val="004A67F0"/>
    <w:rsid w:val="004A71C3"/>
    <w:rsid w:val="004A71D5"/>
    <w:rsid w:val="004A724E"/>
    <w:rsid w:val="004A7279"/>
    <w:rsid w:val="004A7769"/>
    <w:rsid w:val="004A77B1"/>
    <w:rsid w:val="004B0E03"/>
    <w:rsid w:val="004B1431"/>
    <w:rsid w:val="004B1C6E"/>
    <w:rsid w:val="004B1DF7"/>
    <w:rsid w:val="004B20D0"/>
    <w:rsid w:val="004B23AD"/>
    <w:rsid w:val="004B2965"/>
    <w:rsid w:val="004B29F6"/>
    <w:rsid w:val="004B3254"/>
    <w:rsid w:val="004B3265"/>
    <w:rsid w:val="004B3545"/>
    <w:rsid w:val="004B3FD8"/>
    <w:rsid w:val="004B4224"/>
    <w:rsid w:val="004B4297"/>
    <w:rsid w:val="004B4647"/>
    <w:rsid w:val="004B4952"/>
    <w:rsid w:val="004B68AF"/>
    <w:rsid w:val="004B6B25"/>
    <w:rsid w:val="004B7455"/>
    <w:rsid w:val="004B74FF"/>
    <w:rsid w:val="004B7CE4"/>
    <w:rsid w:val="004B7D6F"/>
    <w:rsid w:val="004C0161"/>
    <w:rsid w:val="004C02D1"/>
    <w:rsid w:val="004C0401"/>
    <w:rsid w:val="004C08D1"/>
    <w:rsid w:val="004C0B5F"/>
    <w:rsid w:val="004C0C49"/>
    <w:rsid w:val="004C1096"/>
    <w:rsid w:val="004C1167"/>
    <w:rsid w:val="004C1648"/>
    <w:rsid w:val="004C183D"/>
    <w:rsid w:val="004C243E"/>
    <w:rsid w:val="004C30D5"/>
    <w:rsid w:val="004C31D2"/>
    <w:rsid w:val="004C394F"/>
    <w:rsid w:val="004C3DE1"/>
    <w:rsid w:val="004C3EB1"/>
    <w:rsid w:val="004C3EC7"/>
    <w:rsid w:val="004C3EEE"/>
    <w:rsid w:val="004C3FAF"/>
    <w:rsid w:val="004C483D"/>
    <w:rsid w:val="004C49EA"/>
    <w:rsid w:val="004C4C13"/>
    <w:rsid w:val="004C4D15"/>
    <w:rsid w:val="004C4E4F"/>
    <w:rsid w:val="004C54AA"/>
    <w:rsid w:val="004C559E"/>
    <w:rsid w:val="004C5A56"/>
    <w:rsid w:val="004C61B0"/>
    <w:rsid w:val="004C64A5"/>
    <w:rsid w:val="004C6564"/>
    <w:rsid w:val="004C6927"/>
    <w:rsid w:val="004C6957"/>
    <w:rsid w:val="004C6A47"/>
    <w:rsid w:val="004C6DA5"/>
    <w:rsid w:val="004C6DBC"/>
    <w:rsid w:val="004C74F0"/>
    <w:rsid w:val="004C795A"/>
    <w:rsid w:val="004C7A87"/>
    <w:rsid w:val="004C7B04"/>
    <w:rsid w:val="004C7F93"/>
    <w:rsid w:val="004D045F"/>
    <w:rsid w:val="004D09A2"/>
    <w:rsid w:val="004D0AD8"/>
    <w:rsid w:val="004D1A89"/>
    <w:rsid w:val="004D1BC1"/>
    <w:rsid w:val="004D2018"/>
    <w:rsid w:val="004D2629"/>
    <w:rsid w:val="004D26B8"/>
    <w:rsid w:val="004D2825"/>
    <w:rsid w:val="004D2C2C"/>
    <w:rsid w:val="004D2DF9"/>
    <w:rsid w:val="004D3497"/>
    <w:rsid w:val="004D38C2"/>
    <w:rsid w:val="004D3A0B"/>
    <w:rsid w:val="004D3DC9"/>
    <w:rsid w:val="004D3E6B"/>
    <w:rsid w:val="004D3EE8"/>
    <w:rsid w:val="004D41DC"/>
    <w:rsid w:val="004D462A"/>
    <w:rsid w:val="004D4FBD"/>
    <w:rsid w:val="004D4FC0"/>
    <w:rsid w:val="004D5CE7"/>
    <w:rsid w:val="004D621A"/>
    <w:rsid w:val="004D6381"/>
    <w:rsid w:val="004D6DB2"/>
    <w:rsid w:val="004D7BEE"/>
    <w:rsid w:val="004D7DA8"/>
    <w:rsid w:val="004D7FCA"/>
    <w:rsid w:val="004E0004"/>
    <w:rsid w:val="004E1061"/>
    <w:rsid w:val="004E10CD"/>
    <w:rsid w:val="004E1145"/>
    <w:rsid w:val="004E11FC"/>
    <w:rsid w:val="004E1401"/>
    <w:rsid w:val="004E152E"/>
    <w:rsid w:val="004E2892"/>
    <w:rsid w:val="004E2A84"/>
    <w:rsid w:val="004E362B"/>
    <w:rsid w:val="004E3681"/>
    <w:rsid w:val="004E3D74"/>
    <w:rsid w:val="004E3F4E"/>
    <w:rsid w:val="004E56BC"/>
    <w:rsid w:val="004E5AE4"/>
    <w:rsid w:val="004E5D28"/>
    <w:rsid w:val="004E5DE1"/>
    <w:rsid w:val="004E5F74"/>
    <w:rsid w:val="004E6108"/>
    <w:rsid w:val="004E6112"/>
    <w:rsid w:val="004E66EA"/>
    <w:rsid w:val="004E7178"/>
    <w:rsid w:val="004E71C3"/>
    <w:rsid w:val="004E77E5"/>
    <w:rsid w:val="004E784B"/>
    <w:rsid w:val="004E79AD"/>
    <w:rsid w:val="004E7C09"/>
    <w:rsid w:val="004E7E1F"/>
    <w:rsid w:val="004F0224"/>
    <w:rsid w:val="004F0A73"/>
    <w:rsid w:val="004F0BDD"/>
    <w:rsid w:val="004F0D45"/>
    <w:rsid w:val="004F0DB4"/>
    <w:rsid w:val="004F0E04"/>
    <w:rsid w:val="004F13B3"/>
    <w:rsid w:val="004F1412"/>
    <w:rsid w:val="004F1BF5"/>
    <w:rsid w:val="004F1CD3"/>
    <w:rsid w:val="004F1EBC"/>
    <w:rsid w:val="004F20E8"/>
    <w:rsid w:val="004F2512"/>
    <w:rsid w:val="004F2576"/>
    <w:rsid w:val="004F29CC"/>
    <w:rsid w:val="004F3172"/>
    <w:rsid w:val="004F3A11"/>
    <w:rsid w:val="004F3B71"/>
    <w:rsid w:val="004F3FE5"/>
    <w:rsid w:val="004F5069"/>
    <w:rsid w:val="004F512D"/>
    <w:rsid w:val="004F5154"/>
    <w:rsid w:val="004F52B3"/>
    <w:rsid w:val="004F5319"/>
    <w:rsid w:val="004F5835"/>
    <w:rsid w:val="004F661C"/>
    <w:rsid w:val="004F6754"/>
    <w:rsid w:val="004F6D99"/>
    <w:rsid w:val="00500572"/>
    <w:rsid w:val="00500573"/>
    <w:rsid w:val="00500701"/>
    <w:rsid w:val="00500AE7"/>
    <w:rsid w:val="00501304"/>
    <w:rsid w:val="00501425"/>
    <w:rsid w:val="005014E5"/>
    <w:rsid w:val="00501707"/>
    <w:rsid w:val="00501E61"/>
    <w:rsid w:val="00502050"/>
    <w:rsid w:val="0050318B"/>
    <w:rsid w:val="00503C87"/>
    <w:rsid w:val="00503CF2"/>
    <w:rsid w:val="0050407C"/>
    <w:rsid w:val="00504311"/>
    <w:rsid w:val="0050453E"/>
    <w:rsid w:val="0050485C"/>
    <w:rsid w:val="00504AC6"/>
    <w:rsid w:val="00504D75"/>
    <w:rsid w:val="005053A9"/>
    <w:rsid w:val="00505528"/>
    <w:rsid w:val="00505D51"/>
    <w:rsid w:val="00506356"/>
    <w:rsid w:val="00506498"/>
    <w:rsid w:val="005065AC"/>
    <w:rsid w:val="0050682E"/>
    <w:rsid w:val="00506845"/>
    <w:rsid w:val="00506ABD"/>
    <w:rsid w:val="00506D8A"/>
    <w:rsid w:val="00507204"/>
    <w:rsid w:val="005074D8"/>
    <w:rsid w:val="00507707"/>
    <w:rsid w:val="00507B7A"/>
    <w:rsid w:val="005103C9"/>
    <w:rsid w:val="00510873"/>
    <w:rsid w:val="00510ABC"/>
    <w:rsid w:val="00511079"/>
    <w:rsid w:val="00511411"/>
    <w:rsid w:val="00511CDF"/>
    <w:rsid w:val="00511DD0"/>
    <w:rsid w:val="00511E7D"/>
    <w:rsid w:val="00511F2E"/>
    <w:rsid w:val="005126FB"/>
    <w:rsid w:val="00512829"/>
    <w:rsid w:val="00512E97"/>
    <w:rsid w:val="005134D0"/>
    <w:rsid w:val="005135FA"/>
    <w:rsid w:val="00513839"/>
    <w:rsid w:val="00513DEF"/>
    <w:rsid w:val="00513E72"/>
    <w:rsid w:val="00513FC8"/>
    <w:rsid w:val="0051423C"/>
    <w:rsid w:val="005145B9"/>
    <w:rsid w:val="0051476D"/>
    <w:rsid w:val="005148D4"/>
    <w:rsid w:val="00514C91"/>
    <w:rsid w:val="00514FAA"/>
    <w:rsid w:val="00514FCE"/>
    <w:rsid w:val="0051510B"/>
    <w:rsid w:val="005153CE"/>
    <w:rsid w:val="00515D5F"/>
    <w:rsid w:val="00516241"/>
    <w:rsid w:val="005162CE"/>
    <w:rsid w:val="00516406"/>
    <w:rsid w:val="005166F9"/>
    <w:rsid w:val="00516AF4"/>
    <w:rsid w:val="00516FD9"/>
    <w:rsid w:val="0051701F"/>
    <w:rsid w:val="00517194"/>
    <w:rsid w:val="005173C1"/>
    <w:rsid w:val="0051791D"/>
    <w:rsid w:val="00517A77"/>
    <w:rsid w:val="00517B5B"/>
    <w:rsid w:val="00520628"/>
    <w:rsid w:val="00520939"/>
    <w:rsid w:val="00520D6D"/>
    <w:rsid w:val="00520FD7"/>
    <w:rsid w:val="005212B3"/>
    <w:rsid w:val="005212FD"/>
    <w:rsid w:val="00521425"/>
    <w:rsid w:val="00521669"/>
    <w:rsid w:val="00521928"/>
    <w:rsid w:val="00522035"/>
    <w:rsid w:val="00522747"/>
    <w:rsid w:val="00523130"/>
    <w:rsid w:val="00523264"/>
    <w:rsid w:val="00523632"/>
    <w:rsid w:val="00523E75"/>
    <w:rsid w:val="005243E0"/>
    <w:rsid w:val="00524DAF"/>
    <w:rsid w:val="00525692"/>
    <w:rsid w:val="005256F3"/>
    <w:rsid w:val="00525717"/>
    <w:rsid w:val="0052600E"/>
    <w:rsid w:val="0052628F"/>
    <w:rsid w:val="0052640F"/>
    <w:rsid w:val="005265A3"/>
    <w:rsid w:val="00526783"/>
    <w:rsid w:val="005269BC"/>
    <w:rsid w:val="00527276"/>
    <w:rsid w:val="0052773A"/>
    <w:rsid w:val="00527FB1"/>
    <w:rsid w:val="00530423"/>
    <w:rsid w:val="00530949"/>
    <w:rsid w:val="0053107E"/>
    <w:rsid w:val="005312CB"/>
    <w:rsid w:val="00531420"/>
    <w:rsid w:val="00531453"/>
    <w:rsid w:val="0053162F"/>
    <w:rsid w:val="00531777"/>
    <w:rsid w:val="00531919"/>
    <w:rsid w:val="00531BE6"/>
    <w:rsid w:val="0053217B"/>
    <w:rsid w:val="00532675"/>
    <w:rsid w:val="0053281C"/>
    <w:rsid w:val="00532AD0"/>
    <w:rsid w:val="00533047"/>
    <w:rsid w:val="0053311D"/>
    <w:rsid w:val="00533622"/>
    <w:rsid w:val="00533B0F"/>
    <w:rsid w:val="00533B93"/>
    <w:rsid w:val="005340C9"/>
    <w:rsid w:val="0053413B"/>
    <w:rsid w:val="00534405"/>
    <w:rsid w:val="0053444E"/>
    <w:rsid w:val="0053445C"/>
    <w:rsid w:val="00535538"/>
    <w:rsid w:val="00535BA8"/>
    <w:rsid w:val="00535E88"/>
    <w:rsid w:val="00536698"/>
    <w:rsid w:val="005366E7"/>
    <w:rsid w:val="0053742F"/>
    <w:rsid w:val="005375FE"/>
    <w:rsid w:val="00537EA2"/>
    <w:rsid w:val="00537F11"/>
    <w:rsid w:val="00540182"/>
    <w:rsid w:val="0054032A"/>
    <w:rsid w:val="00540BFC"/>
    <w:rsid w:val="00541877"/>
    <w:rsid w:val="0054195A"/>
    <w:rsid w:val="005420DE"/>
    <w:rsid w:val="00542249"/>
    <w:rsid w:val="00542FAA"/>
    <w:rsid w:val="005431F5"/>
    <w:rsid w:val="00543707"/>
    <w:rsid w:val="005439D2"/>
    <w:rsid w:val="00543CC7"/>
    <w:rsid w:val="00543EBB"/>
    <w:rsid w:val="00544213"/>
    <w:rsid w:val="005444E8"/>
    <w:rsid w:val="0054486D"/>
    <w:rsid w:val="00544D3F"/>
    <w:rsid w:val="00544D6E"/>
    <w:rsid w:val="00544DB4"/>
    <w:rsid w:val="0054521C"/>
    <w:rsid w:val="005453CB"/>
    <w:rsid w:val="005453F3"/>
    <w:rsid w:val="00545549"/>
    <w:rsid w:val="005462C0"/>
    <w:rsid w:val="00546572"/>
    <w:rsid w:val="005469F5"/>
    <w:rsid w:val="00546F36"/>
    <w:rsid w:val="0055017B"/>
    <w:rsid w:val="00550AFC"/>
    <w:rsid w:val="005518ED"/>
    <w:rsid w:val="00551AE6"/>
    <w:rsid w:val="00552093"/>
    <w:rsid w:val="005528A0"/>
    <w:rsid w:val="00552D0F"/>
    <w:rsid w:val="00552E64"/>
    <w:rsid w:val="005530AC"/>
    <w:rsid w:val="00553E9D"/>
    <w:rsid w:val="00553FE1"/>
    <w:rsid w:val="0055492A"/>
    <w:rsid w:val="00554A75"/>
    <w:rsid w:val="00554C49"/>
    <w:rsid w:val="00554E06"/>
    <w:rsid w:val="00554E4B"/>
    <w:rsid w:val="00554F00"/>
    <w:rsid w:val="0055519C"/>
    <w:rsid w:val="005554C1"/>
    <w:rsid w:val="005556A4"/>
    <w:rsid w:val="0055583F"/>
    <w:rsid w:val="00555F67"/>
    <w:rsid w:val="00556243"/>
    <w:rsid w:val="00556E32"/>
    <w:rsid w:val="00556FBA"/>
    <w:rsid w:val="0055719E"/>
    <w:rsid w:val="005602F2"/>
    <w:rsid w:val="00560353"/>
    <w:rsid w:val="005604F1"/>
    <w:rsid w:val="005606A4"/>
    <w:rsid w:val="0056079F"/>
    <w:rsid w:val="005607B8"/>
    <w:rsid w:val="00560CF5"/>
    <w:rsid w:val="0056137E"/>
    <w:rsid w:val="00562581"/>
    <w:rsid w:val="005625FE"/>
    <w:rsid w:val="0056272D"/>
    <w:rsid w:val="00562BAB"/>
    <w:rsid w:val="00563047"/>
    <w:rsid w:val="0056308E"/>
    <w:rsid w:val="005633D2"/>
    <w:rsid w:val="005638C1"/>
    <w:rsid w:val="00563C81"/>
    <w:rsid w:val="00563F16"/>
    <w:rsid w:val="0056415C"/>
    <w:rsid w:val="005642C8"/>
    <w:rsid w:val="005647DA"/>
    <w:rsid w:val="005649BF"/>
    <w:rsid w:val="00564BE3"/>
    <w:rsid w:val="00564DAE"/>
    <w:rsid w:val="00564F7B"/>
    <w:rsid w:val="005650BC"/>
    <w:rsid w:val="005650ED"/>
    <w:rsid w:val="005655FD"/>
    <w:rsid w:val="00565869"/>
    <w:rsid w:val="00565C2B"/>
    <w:rsid w:val="005670EC"/>
    <w:rsid w:val="00567415"/>
    <w:rsid w:val="0056751F"/>
    <w:rsid w:val="00567610"/>
    <w:rsid w:val="00567FA2"/>
    <w:rsid w:val="00570342"/>
    <w:rsid w:val="00570CFD"/>
    <w:rsid w:val="00570D9F"/>
    <w:rsid w:val="00571672"/>
    <w:rsid w:val="0057185C"/>
    <w:rsid w:val="00571CA8"/>
    <w:rsid w:val="00572381"/>
    <w:rsid w:val="00572947"/>
    <w:rsid w:val="00573138"/>
    <w:rsid w:val="0057322B"/>
    <w:rsid w:val="005734A7"/>
    <w:rsid w:val="00573CA5"/>
    <w:rsid w:val="00573D51"/>
    <w:rsid w:val="00574317"/>
    <w:rsid w:val="005746C4"/>
    <w:rsid w:val="00574891"/>
    <w:rsid w:val="00574B50"/>
    <w:rsid w:val="005753E3"/>
    <w:rsid w:val="005756BA"/>
    <w:rsid w:val="005756C3"/>
    <w:rsid w:val="00575A87"/>
    <w:rsid w:val="00575D9E"/>
    <w:rsid w:val="00576294"/>
    <w:rsid w:val="00576454"/>
    <w:rsid w:val="00576F26"/>
    <w:rsid w:val="005773BE"/>
    <w:rsid w:val="00577835"/>
    <w:rsid w:val="00577DA3"/>
    <w:rsid w:val="0058041B"/>
    <w:rsid w:val="005806C9"/>
    <w:rsid w:val="00580793"/>
    <w:rsid w:val="00580A0A"/>
    <w:rsid w:val="00581470"/>
    <w:rsid w:val="00581B62"/>
    <w:rsid w:val="00581BAD"/>
    <w:rsid w:val="00581BCB"/>
    <w:rsid w:val="00581D62"/>
    <w:rsid w:val="00582087"/>
    <w:rsid w:val="0058228A"/>
    <w:rsid w:val="005822FC"/>
    <w:rsid w:val="00582D5F"/>
    <w:rsid w:val="00582F21"/>
    <w:rsid w:val="005831DD"/>
    <w:rsid w:val="005833DB"/>
    <w:rsid w:val="005838D8"/>
    <w:rsid w:val="00583DC5"/>
    <w:rsid w:val="00584320"/>
    <w:rsid w:val="00584AAD"/>
    <w:rsid w:val="00584CB8"/>
    <w:rsid w:val="00585292"/>
    <w:rsid w:val="00585484"/>
    <w:rsid w:val="00585800"/>
    <w:rsid w:val="00585C2F"/>
    <w:rsid w:val="0058624A"/>
    <w:rsid w:val="00586EB1"/>
    <w:rsid w:val="00587229"/>
    <w:rsid w:val="00587503"/>
    <w:rsid w:val="005878EF"/>
    <w:rsid w:val="00587F7F"/>
    <w:rsid w:val="0059016A"/>
    <w:rsid w:val="005907FD"/>
    <w:rsid w:val="00590E8D"/>
    <w:rsid w:val="00590FAC"/>
    <w:rsid w:val="00591400"/>
    <w:rsid w:val="00591511"/>
    <w:rsid w:val="00591C6E"/>
    <w:rsid w:val="00591E50"/>
    <w:rsid w:val="0059203B"/>
    <w:rsid w:val="00592CDA"/>
    <w:rsid w:val="00592F90"/>
    <w:rsid w:val="0059331A"/>
    <w:rsid w:val="00593A72"/>
    <w:rsid w:val="0059465F"/>
    <w:rsid w:val="00594BE0"/>
    <w:rsid w:val="00594D2A"/>
    <w:rsid w:val="00595A8C"/>
    <w:rsid w:val="00595C2C"/>
    <w:rsid w:val="0059606E"/>
    <w:rsid w:val="005964C1"/>
    <w:rsid w:val="00596BBA"/>
    <w:rsid w:val="00596F32"/>
    <w:rsid w:val="00597386"/>
    <w:rsid w:val="005975C4"/>
    <w:rsid w:val="00597ED8"/>
    <w:rsid w:val="005A07CF"/>
    <w:rsid w:val="005A17AE"/>
    <w:rsid w:val="005A1881"/>
    <w:rsid w:val="005A1A86"/>
    <w:rsid w:val="005A23A8"/>
    <w:rsid w:val="005A2B20"/>
    <w:rsid w:val="005A2FFE"/>
    <w:rsid w:val="005A335B"/>
    <w:rsid w:val="005A34D5"/>
    <w:rsid w:val="005A3943"/>
    <w:rsid w:val="005A3ED0"/>
    <w:rsid w:val="005A422E"/>
    <w:rsid w:val="005A4904"/>
    <w:rsid w:val="005A4910"/>
    <w:rsid w:val="005A4D19"/>
    <w:rsid w:val="005A515A"/>
    <w:rsid w:val="005A5194"/>
    <w:rsid w:val="005A57CB"/>
    <w:rsid w:val="005A5C8E"/>
    <w:rsid w:val="005A66B2"/>
    <w:rsid w:val="005A6D44"/>
    <w:rsid w:val="005A704D"/>
    <w:rsid w:val="005A7B68"/>
    <w:rsid w:val="005A7EB4"/>
    <w:rsid w:val="005A7F7E"/>
    <w:rsid w:val="005B0B7D"/>
    <w:rsid w:val="005B0EBD"/>
    <w:rsid w:val="005B0EEB"/>
    <w:rsid w:val="005B1528"/>
    <w:rsid w:val="005B252A"/>
    <w:rsid w:val="005B268C"/>
    <w:rsid w:val="005B2DD3"/>
    <w:rsid w:val="005B3012"/>
    <w:rsid w:val="005B32D6"/>
    <w:rsid w:val="005B3C6D"/>
    <w:rsid w:val="005B4045"/>
    <w:rsid w:val="005B4240"/>
    <w:rsid w:val="005B50FF"/>
    <w:rsid w:val="005B5F31"/>
    <w:rsid w:val="005B609E"/>
    <w:rsid w:val="005B6483"/>
    <w:rsid w:val="005B6DF6"/>
    <w:rsid w:val="005B7B7D"/>
    <w:rsid w:val="005B7E11"/>
    <w:rsid w:val="005C058A"/>
    <w:rsid w:val="005C0D89"/>
    <w:rsid w:val="005C0F74"/>
    <w:rsid w:val="005C18E4"/>
    <w:rsid w:val="005C1948"/>
    <w:rsid w:val="005C1B15"/>
    <w:rsid w:val="005C22F9"/>
    <w:rsid w:val="005C263C"/>
    <w:rsid w:val="005C2679"/>
    <w:rsid w:val="005C27B6"/>
    <w:rsid w:val="005C298C"/>
    <w:rsid w:val="005C2C8C"/>
    <w:rsid w:val="005C32F5"/>
    <w:rsid w:val="005C4610"/>
    <w:rsid w:val="005C4BFB"/>
    <w:rsid w:val="005C4C4B"/>
    <w:rsid w:val="005C5169"/>
    <w:rsid w:val="005C5623"/>
    <w:rsid w:val="005C5870"/>
    <w:rsid w:val="005C5E24"/>
    <w:rsid w:val="005C63DA"/>
    <w:rsid w:val="005C6F13"/>
    <w:rsid w:val="005C6F59"/>
    <w:rsid w:val="005C6F94"/>
    <w:rsid w:val="005C714E"/>
    <w:rsid w:val="005D03B6"/>
    <w:rsid w:val="005D059A"/>
    <w:rsid w:val="005D07C5"/>
    <w:rsid w:val="005D088D"/>
    <w:rsid w:val="005D14F6"/>
    <w:rsid w:val="005D21B7"/>
    <w:rsid w:val="005D2AB4"/>
    <w:rsid w:val="005D2DAD"/>
    <w:rsid w:val="005D4302"/>
    <w:rsid w:val="005D4C8D"/>
    <w:rsid w:val="005D50F9"/>
    <w:rsid w:val="005D5A20"/>
    <w:rsid w:val="005D5B21"/>
    <w:rsid w:val="005D6212"/>
    <w:rsid w:val="005D664D"/>
    <w:rsid w:val="005D6DA1"/>
    <w:rsid w:val="005D701D"/>
    <w:rsid w:val="005D786C"/>
    <w:rsid w:val="005E00E5"/>
    <w:rsid w:val="005E0148"/>
    <w:rsid w:val="005E0225"/>
    <w:rsid w:val="005E049F"/>
    <w:rsid w:val="005E05F9"/>
    <w:rsid w:val="005E0BB6"/>
    <w:rsid w:val="005E0BD3"/>
    <w:rsid w:val="005E1737"/>
    <w:rsid w:val="005E28A5"/>
    <w:rsid w:val="005E2C24"/>
    <w:rsid w:val="005E2E4A"/>
    <w:rsid w:val="005E3073"/>
    <w:rsid w:val="005E316A"/>
    <w:rsid w:val="005E3A04"/>
    <w:rsid w:val="005E4B83"/>
    <w:rsid w:val="005E5765"/>
    <w:rsid w:val="005E6890"/>
    <w:rsid w:val="005E7088"/>
    <w:rsid w:val="005E72E8"/>
    <w:rsid w:val="005E7E1B"/>
    <w:rsid w:val="005F0108"/>
    <w:rsid w:val="005F0291"/>
    <w:rsid w:val="005F0798"/>
    <w:rsid w:val="005F095E"/>
    <w:rsid w:val="005F0B7F"/>
    <w:rsid w:val="005F0BD6"/>
    <w:rsid w:val="005F0ECC"/>
    <w:rsid w:val="005F1737"/>
    <w:rsid w:val="005F1EAA"/>
    <w:rsid w:val="005F2012"/>
    <w:rsid w:val="005F21A5"/>
    <w:rsid w:val="005F2470"/>
    <w:rsid w:val="005F28C6"/>
    <w:rsid w:val="005F2B13"/>
    <w:rsid w:val="005F2B27"/>
    <w:rsid w:val="005F2CB0"/>
    <w:rsid w:val="005F3195"/>
    <w:rsid w:val="005F3E00"/>
    <w:rsid w:val="005F3F16"/>
    <w:rsid w:val="005F41F0"/>
    <w:rsid w:val="005F4310"/>
    <w:rsid w:val="005F434D"/>
    <w:rsid w:val="005F4806"/>
    <w:rsid w:val="005F4C87"/>
    <w:rsid w:val="005F4E0A"/>
    <w:rsid w:val="005F4EE1"/>
    <w:rsid w:val="005F4EEA"/>
    <w:rsid w:val="005F52CC"/>
    <w:rsid w:val="005F5E6F"/>
    <w:rsid w:val="005F5F16"/>
    <w:rsid w:val="005F6510"/>
    <w:rsid w:val="005F653C"/>
    <w:rsid w:val="005F681C"/>
    <w:rsid w:val="005F6BD4"/>
    <w:rsid w:val="005F6F88"/>
    <w:rsid w:val="005F7188"/>
    <w:rsid w:val="005F7985"/>
    <w:rsid w:val="005F7AEB"/>
    <w:rsid w:val="00600CEB"/>
    <w:rsid w:val="006010F2"/>
    <w:rsid w:val="00601366"/>
    <w:rsid w:val="00601FB8"/>
    <w:rsid w:val="00602058"/>
    <w:rsid w:val="00602A48"/>
    <w:rsid w:val="00602A78"/>
    <w:rsid w:val="00602A84"/>
    <w:rsid w:val="00602AA1"/>
    <w:rsid w:val="00602DC4"/>
    <w:rsid w:val="00603123"/>
    <w:rsid w:val="006036F4"/>
    <w:rsid w:val="00603A88"/>
    <w:rsid w:val="00604151"/>
    <w:rsid w:val="0060435F"/>
    <w:rsid w:val="00604367"/>
    <w:rsid w:val="006044BE"/>
    <w:rsid w:val="0060475F"/>
    <w:rsid w:val="006047DF"/>
    <w:rsid w:val="00604804"/>
    <w:rsid w:val="00604906"/>
    <w:rsid w:val="00604DE1"/>
    <w:rsid w:val="00604F41"/>
    <w:rsid w:val="006054D8"/>
    <w:rsid w:val="006058D3"/>
    <w:rsid w:val="006060C2"/>
    <w:rsid w:val="00606A26"/>
    <w:rsid w:val="00606D5F"/>
    <w:rsid w:val="00607218"/>
    <w:rsid w:val="00607AC7"/>
    <w:rsid w:val="00607C07"/>
    <w:rsid w:val="00607D81"/>
    <w:rsid w:val="00610578"/>
    <w:rsid w:val="00610747"/>
    <w:rsid w:val="00610B77"/>
    <w:rsid w:val="00610E03"/>
    <w:rsid w:val="00611317"/>
    <w:rsid w:val="006116E9"/>
    <w:rsid w:val="0061176E"/>
    <w:rsid w:val="00611E0A"/>
    <w:rsid w:val="00612261"/>
    <w:rsid w:val="006136ED"/>
    <w:rsid w:val="00613DF7"/>
    <w:rsid w:val="00613EA5"/>
    <w:rsid w:val="006142B8"/>
    <w:rsid w:val="00614CD1"/>
    <w:rsid w:val="006151F2"/>
    <w:rsid w:val="006155A4"/>
    <w:rsid w:val="0061567B"/>
    <w:rsid w:val="00615690"/>
    <w:rsid w:val="00615AC8"/>
    <w:rsid w:val="006169FE"/>
    <w:rsid w:val="00616EA5"/>
    <w:rsid w:val="00617026"/>
    <w:rsid w:val="006176C5"/>
    <w:rsid w:val="006200AB"/>
    <w:rsid w:val="00620B92"/>
    <w:rsid w:val="00620D97"/>
    <w:rsid w:val="00621378"/>
    <w:rsid w:val="0062152A"/>
    <w:rsid w:val="00621753"/>
    <w:rsid w:val="00622B15"/>
    <w:rsid w:val="00622E8D"/>
    <w:rsid w:val="00623583"/>
    <w:rsid w:val="0062385C"/>
    <w:rsid w:val="00624572"/>
    <w:rsid w:val="0062462F"/>
    <w:rsid w:val="00624838"/>
    <w:rsid w:val="00624BA1"/>
    <w:rsid w:val="00624CA9"/>
    <w:rsid w:val="00625792"/>
    <w:rsid w:val="00625EC5"/>
    <w:rsid w:val="006264CB"/>
    <w:rsid w:val="0062661B"/>
    <w:rsid w:val="0062669B"/>
    <w:rsid w:val="006266B2"/>
    <w:rsid w:val="00626E59"/>
    <w:rsid w:val="0062714C"/>
    <w:rsid w:val="006275F5"/>
    <w:rsid w:val="00627832"/>
    <w:rsid w:val="00627FE3"/>
    <w:rsid w:val="00630118"/>
    <w:rsid w:val="006303D1"/>
    <w:rsid w:val="00630514"/>
    <w:rsid w:val="006310AE"/>
    <w:rsid w:val="00631467"/>
    <w:rsid w:val="00631762"/>
    <w:rsid w:val="00632196"/>
    <w:rsid w:val="00632900"/>
    <w:rsid w:val="00632BA2"/>
    <w:rsid w:val="00632DAD"/>
    <w:rsid w:val="00632F70"/>
    <w:rsid w:val="0063314C"/>
    <w:rsid w:val="00633BF2"/>
    <w:rsid w:val="00633F16"/>
    <w:rsid w:val="00633F67"/>
    <w:rsid w:val="00634511"/>
    <w:rsid w:val="006345C3"/>
    <w:rsid w:val="0063488F"/>
    <w:rsid w:val="00634FD5"/>
    <w:rsid w:val="0063520D"/>
    <w:rsid w:val="006352A6"/>
    <w:rsid w:val="0063530F"/>
    <w:rsid w:val="00635781"/>
    <w:rsid w:val="006362F9"/>
    <w:rsid w:val="006364EE"/>
    <w:rsid w:val="006369A9"/>
    <w:rsid w:val="006373CD"/>
    <w:rsid w:val="00637B7A"/>
    <w:rsid w:val="00637C99"/>
    <w:rsid w:val="00641283"/>
    <w:rsid w:val="006413CF"/>
    <w:rsid w:val="00641413"/>
    <w:rsid w:val="00641465"/>
    <w:rsid w:val="00641536"/>
    <w:rsid w:val="0064165D"/>
    <w:rsid w:val="00641772"/>
    <w:rsid w:val="00642084"/>
    <w:rsid w:val="00642237"/>
    <w:rsid w:val="006425B0"/>
    <w:rsid w:val="00642E77"/>
    <w:rsid w:val="00642E8C"/>
    <w:rsid w:val="006433BD"/>
    <w:rsid w:val="00643562"/>
    <w:rsid w:val="00643784"/>
    <w:rsid w:val="00643B56"/>
    <w:rsid w:val="00644186"/>
    <w:rsid w:val="00644623"/>
    <w:rsid w:val="00644A21"/>
    <w:rsid w:val="00645C9F"/>
    <w:rsid w:val="00646305"/>
    <w:rsid w:val="00646353"/>
    <w:rsid w:val="0064670A"/>
    <w:rsid w:val="00646864"/>
    <w:rsid w:val="00646A6C"/>
    <w:rsid w:val="006475E6"/>
    <w:rsid w:val="00647E22"/>
    <w:rsid w:val="006508B9"/>
    <w:rsid w:val="00650B2E"/>
    <w:rsid w:val="00650CA1"/>
    <w:rsid w:val="006511FC"/>
    <w:rsid w:val="0065143C"/>
    <w:rsid w:val="00651854"/>
    <w:rsid w:val="00652026"/>
    <w:rsid w:val="00652578"/>
    <w:rsid w:val="00652F08"/>
    <w:rsid w:val="0065346A"/>
    <w:rsid w:val="00653691"/>
    <w:rsid w:val="006539E8"/>
    <w:rsid w:val="006541DF"/>
    <w:rsid w:val="00655300"/>
    <w:rsid w:val="00655728"/>
    <w:rsid w:val="00655C17"/>
    <w:rsid w:val="00656307"/>
    <w:rsid w:val="006565D8"/>
    <w:rsid w:val="00656B96"/>
    <w:rsid w:val="00656BA0"/>
    <w:rsid w:val="00656F79"/>
    <w:rsid w:val="00656FC9"/>
    <w:rsid w:val="006570EB"/>
    <w:rsid w:val="0065736B"/>
    <w:rsid w:val="006578E4"/>
    <w:rsid w:val="00657AE5"/>
    <w:rsid w:val="00657C05"/>
    <w:rsid w:val="00661544"/>
    <w:rsid w:val="0066161B"/>
    <w:rsid w:val="00661841"/>
    <w:rsid w:val="006619B0"/>
    <w:rsid w:val="006619C5"/>
    <w:rsid w:val="00662012"/>
    <w:rsid w:val="00662543"/>
    <w:rsid w:val="006626D0"/>
    <w:rsid w:val="006628BF"/>
    <w:rsid w:val="006628E9"/>
    <w:rsid w:val="006635BC"/>
    <w:rsid w:val="006635DA"/>
    <w:rsid w:val="00663703"/>
    <w:rsid w:val="00663887"/>
    <w:rsid w:val="006641F4"/>
    <w:rsid w:val="00664234"/>
    <w:rsid w:val="00664E8C"/>
    <w:rsid w:val="0066501B"/>
    <w:rsid w:val="00665E2C"/>
    <w:rsid w:val="00665F7C"/>
    <w:rsid w:val="0066699A"/>
    <w:rsid w:val="006669DE"/>
    <w:rsid w:val="006669DF"/>
    <w:rsid w:val="00666DFC"/>
    <w:rsid w:val="00666EBB"/>
    <w:rsid w:val="00667325"/>
    <w:rsid w:val="006673F1"/>
    <w:rsid w:val="0066779E"/>
    <w:rsid w:val="00667F3C"/>
    <w:rsid w:val="00667FAF"/>
    <w:rsid w:val="0067096D"/>
    <w:rsid w:val="00670AF4"/>
    <w:rsid w:val="00670EC4"/>
    <w:rsid w:val="00671093"/>
    <w:rsid w:val="006712D5"/>
    <w:rsid w:val="006719E0"/>
    <w:rsid w:val="00671F92"/>
    <w:rsid w:val="00672559"/>
    <w:rsid w:val="0067269D"/>
    <w:rsid w:val="00672988"/>
    <w:rsid w:val="00672C64"/>
    <w:rsid w:val="006735C6"/>
    <w:rsid w:val="00673CF8"/>
    <w:rsid w:val="0067446F"/>
    <w:rsid w:val="006746D2"/>
    <w:rsid w:val="00674A45"/>
    <w:rsid w:val="00674D5E"/>
    <w:rsid w:val="00674E6A"/>
    <w:rsid w:val="00675453"/>
    <w:rsid w:val="00675719"/>
    <w:rsid w:val="00675C0F"/>
    <w:rsid w:val="00675CF4"/>
    <w:rsid w:val="00675EB7"/>
    <w:rsid w:val="006763CC"/>
    <w:rsid w:val="006765CB"/>
    <w:rsid w:val="00676A64"/>
    <w:rsid w:val="0067734C"/>
    <w:rsid w:val="00677621"/>
    <w:rsid w:val="00677925"/>
    <w:rsid w:val="006779BF"/>
    <w:rsid w:val="00677F44"/>
    <w:rsid w:val="00680231"/>
    <w:rsid w:val="00680462"/>
    <w:rsid w:val="0068076E"/>
    <w:rsid w:val="00680F46"/>
    <w:rsid w:val="006812FB"/>
    <w:rsid w:val="00681BC4"/>
    <w:rsid w:val="00681FDC"/>
    <w:rsid w:val="00682B53"/>
    <w:rsid w:val="00682C2D"/>
    <w:rsid w:val="00682F27"/>
    <w:rsid w:val="00683CFD"/>
    <w:rsid w:val="0068452A"/>
    <w:rsid w:val="00684672"/>
    <w:rsid w:val="00684A34"/>
    <w:rsid w:val="0068598F"/>
    <w:rsid w:val="006859DB"/>
    <w:rsid w:val="0068678D"/>
    <w:rsid w:val="00686D66"/>
    <w:rsid w:val="00687399"/>
    <w:rsid w:val="00687488"/>
    <w:rsid w:val="0068782A"/>
    <w:rsid w:val="00690189"/>
    <w:rsid w:val="006904ED"/>
    <w:rsid w:val="00690E2E"/>
    <w:rsid w:val="00691365"/>
    <w:rsid w:val="006915B6"/>
    <w:rsid w:val="006915D7"/>
    <w:rsid w:val="00691912"/>
    <w:rsid w:val="00691D8E"/>
    <w:rsid w:val="00691E9F"/>
    <w:rsid w:val="00692010"/>
    <w:rsid w:val="006926A6"/>
    <w:rsid w:val="00692814"/>
    <w:rsid w:val="006932E7"/>
    <w:rsid w:val="00693347"/>
    <w:rsid w:val="0069334C"/>
    <w:rsid w:val="00693739"/>
    <w:rsid w:val="00693DE7"/>
    <w:rsid w:val="006948EF"/>
    <w:rsid w:val="0069493B"/>
    <w:rsid w:val="00694E63"/>
    <w:rsid w:val="00694F1B"/>
    <w:rsid w:val="00695049"/>
    <w:rsid w:val="00695077"/>
    <w:rsid w:val="006955DF"/>
    <w:rsid w:val="006960B2"/>
    <w:rsid w:val="00696212"/>
    <w:rsid w:val="006965E2"/>
    <w:rsid w:val="00696D63"/>
    <w:rsid w:val="00696EE4"/>
    <w:rsid w:val="006A026F"/>
    <w:rsid w:val="006A032F"/>
    <w:rsid w:val="006A09D2"/>
    <w:rsid w:val="006A0A36"/>
    <w:rsid w:val="006A0C46"/>
    <w:rsid w:val="006A0DD3"/>
    <w:rsid w:val="006A111F"/>
    <w:rsid w:val="006A1135"/>
    <w:rsid w:val="006A146E"/>
    <w:rsid w:val="006A1967"/>
    <w:rsid w:val="006A1AD9"/>
    <w:rsid w:val="006A1BEB"/>
    <w:rsid w:val="006A1ECF"/>
    <w:rsid w:val="006A23C0"/>
    <w:rsid w:val="006A3022"/>
    <w:rsid w:val="006A3052"/>
    <w:rsid w:val="006A37E6"/>
    <w:rsid w:val="006A41AE"/>
    <w:rsid w:val="006A4856"/>
    <w:rsid w:val="006A5474"/>
    <w:rsid w:val="006A564B"/>
    <w:rsid w:val="006A5D15"/>
    <w:rsid w:val="006B02AF"/>
    <w:rsid w:val="006B02E8"/>
    <w:rsid w:val="006B05B5"/>
    <w:rsid w:val="006B0EE6"/>
    <w:rsid w:val="006B1545"/>
    <w:rsid w:val="006B23B9"/>
    <w:rsid w:val="006B2A07"/>
    <w:rsid w:val="006B2A63"/>
    <w:rsid w:val="006B2B11"/>
    <w:rsid w:val="006B2DA7"/>
    <w:rsid w:val="006B2F4D"/>
    <w:rsid w:val="006B306B"/>
    <w:rsid w:val="006B3682"/>
    <w:rsid w:val="006B3974"/>
    <w:rsid w:val="006B402E"/>
    <w:rsid w:val="006B48CB"/>
    <w:rsid w:val="006B5047"/>
    <w:rsid w:val="006B5616"/>
    <w:rsid w:val="006B564D"/>
    <w:rsid w:val="006B5E94"/>
    <w:rsid w:val="006B61F6"/>
    <w:rsid w:val="006B6313"/>
    <w:rsid w:val="006B65A8"/>
    <w:rsid w:val="006B705A"/>
    <w:rsid w:val="006B71D6"/>
    <w:rsid w:val="006B7D71"/>
    <w:rsid w:val="006C0037"/>
    <w:rsid w:val="006C020D"/>
    <w:rsid w:val="006C0413"/>
    <w:rsid w:val="006C13D8"/>
    <w:rsid w:val="006C1445"/>
    <w:rsid w:val="006C1DED"/>
    <w:rsid w:val="006C21C9"/>
    <w:rsid w:val="006C28FC"/>
    <w:rsid w:val="006C31C6"/>
    <w:rsid w:val="006C33FB"/>
    <w:rsid w:val="006C33FF"/>
    <w:rsid w:val="006C394E"/>
    <w:rsid w:val="006C3AB0"/>
    <w:rsid w:val="006C3F5E"/>
    <w:rsid w:val="006C4EEA"/>
    <w:rsid w:val="006C4EF3"/>
    <w:rsid w:val="006C4FC1"/>
    <w:rsid w:val="006C51A5"/>
    <w:rsid w:val="006C5237"/>
    <w:rsid w:val="006C529D"/>
    <w:rsid w:val="006C5D5B"/>
    <w:rsid w:val="006C6256"/>
    <w:rsid w:val="006C6642"/>
    <w:rsid w:val="006C6798"/>
    <w:rsid w:val="006C6DF7"/>
    <w:rsid w:val="006C75FC"/>
    <w:rsid w:val="006C79E4"/>
    <w:rsid w:val="006D019C"/>
    <w:rsid w:val="006D0630"/>
    <w:rsid w:val="006D0826"/>
    <w:rsid w:val="006D0B55"/>
    <w:rsid w:val="006D0C12"/>
    <w:rsid w:val="006D0E6B"/>
    <w:rsid w:val="006D1A4E"/>
    <w:rsid w:val="006D2146"/>
    <w:rsid w:val="006D2196"/>
    <w:rsid w:val="006D3141"/>
    <w:rsid w:val="006D32B0"/>
    <w:rsid w:val="006D49C5"/>
    <w:rsid w:val="006D4A29"/>
    <w:rsid w:val="006D4CBA"/>
    <w:rsid w:val="006D5DEC"/>
    <w:rsid w:val="006D632E"/>
    <w:rsid w:val="006D6C9C"/>
    <w:rsid w:val="006D6E8F"/>
    <w:rsid w:val="006D72F0"/>
    <w:rsid w:val="006E07B0"/>
    <w:rsid w:val="006E094A"/>
    <w:rsid w:val="006E0C20"/>
    <w:rsid w:val="006E0F6E"/>
    <w:rsid w:val="006E0F92"/>
    <w:rsid w:val="006E12B1"/>
    <w:rsid w:val="006E13D1"/>
    <w:rsid w:val="006E2026"/>
    <w:rsid w:val="006E215C"/>
    <w:rsid w:val="006E2204"/>
    <w:rsid w:val="006E24BE"/>
    <w:rsid w:val="006E2563"/>
    <w:rsid w:val="006E26AB"/>
    <w:rsid w:val="006E26D2"/>
    <w:rsid w:val="006E26DE"/>
    <w:rsid w:val="006E275D"/>
    <w:rsid w:val="006E3890"/>
    <w:rsid w:val="006E390C"/>
    <w:rsid w:val="006E3A7C"/>
    <w:rsid w:val="006E42A4"/>
    <w:rsid w:val="006E4D0C"/>
    <w:rsid w:val="006E4D1B"/>
    <w:rsid w:val="006E5534"/>
    <w:rsid w:val="006E5B18"/>
    <w:rsid w:val="006E5B78"/>
    <w:rsid w:val="006E62B4"/>
    <w:rsid w:val="006E67BA"/>
    <w:rsid w:val="006E699D"/>
    <w:rsid w:val="006E6BA3"/>
    <w:rsid w:val="006E6D3C"/>
    <w:rsid w:val="006E7478"/>
    <w:rsid w:val="006E7ACE"/>
    <w:rsid w:val="006E7FC9"/>
    <w:rsid w:val="006F1116"/>
    <w:rsid w:val="006F1623"/>
    <w:rsid w:val="006F17A2"/>
    <w:rsid w:val="006F1AB0"/>
    <w:rsid w:val="006F1F96"/>
    <w:rsid w:val="006F2420"/>
    <w:rsid w:val="006F24FA"/>
    <w:rsid w:val="006F2654"/>
    <w:rsid w:val="006F29BE"/>
    <w:rsid w:val="006F2D49"/>
    <w:rsid w:val="006F3024"/>
    <w:rsid w:val="006F3196"/>
    <w:rsid w:val="006F346F"/>
    <w:rsid w:val="006F38CE"/>
    <w:rsid w:val="006F3C54"/>
    <w:rsid w:val="006F3D3F"/>
    <w:rsid w:val="006F418C"/>
    <w:rsid w:val="006F572E"/>
    <w:rsid w:val="006F5E64"/>
    <w:rsid w:val="006F60DE"/>
    <w:rsid w:val="006F6464"/>
    <w:rsid w:val="006F65FB"/>
    <w:rsid w:val="006F69B3"/>
    <w:rsid w:val="006F75AF"/>
    <w:rsid w:val="006F7914"/>
    <w:rsid w:val="006F7BE1"/>
    <w:rsid w:val="006F7C0B"/>
    <w:rsid w:val="006F7E46"/>
    <w:rsid w:val="007005AD"/>
    <w:rsid w:val="00700AB4"/>
    <w:rsid w:val="00700FCA"/>
    <w:rsid w:val="007015C6"/>
    <w:rsid w:val="00701645"/>
    <w:rsid w:val="00701BBC"/>
    <w:rsid w:val="007021D8"/>
    <w:rsid w:val="00702530"/>
    <w:rsid w:val="00702704"/>
    <w:rsid w:val="00702D5A"/>
    <w:rsid w:val="00702EF7"/>
    <w:rsid w:val="00703153"/>
    <w:rsid w:val="00703571"/>
    <w:rsid w:val="00703989"/>
    <w:rsid w:val="00703C19"/>
    <w:rsid w:val="00703CE3"/>
    <w:rsid w:val="007041E1"/>
    <w:rsid w:val="007042E9"/>
    <w:rsid w:val="00704495"/>
    <w:rsid w:val="007048C5"/>
    <w:rsid w:val="00705062"/>
    <w:rsid w:val="0070548E"/>
    <w:rsid w:val="00705BBE"/>
    <w:rsid w:val="0070611C"/>
    <w:rsid w:val="007077E2"/>
    <w:rsid w:val="00707AF4"/>
    <w:rsid w:val="007108D3"/>
    <w:rsid w:val="00710F10"/>
    <w:rsid w:val="00711056"/>
    <w:rsid w:val="0071118B"/>
    <w:rsid w:val="00711316"/>
    <w:rsid w:val="00711C66"/>
    <w:rsid w:val="00711C6D"/>
    <w:rsid w:val="00711E13"/>
    <w:rsid w:val="00712597"/>
    <w:rsid w:val="00712DEC"/>
    <w:rsid w:val="00712EDA"/>
    <w:rsid w:val="00713498"/>
    <w:rsid w:val="007136D0"/>
    <w:rsid w:val="007137A0"/>
    <w:rsid w:val="00713932"/>
    <w:rsid w:val="00713A7D"/>
    <w:rsid w:val="00714CD5"/>
    <w:rsid w:val="007155A9"/>
    <w:rsid w:val="007158E1"/>
    <w:rsid w:val="00715A17"/>
    <w:rsid w:val="00715C5C"/>
    <w:rsid w:val="007161F8"/>
    <w:rsid w:val="00716336"/>
    <w:rsid w:val="00716AA6"/>
    <w:rsid w:val="0071705B"/>
    <w:rsid w:val="007174F6"/>
    <w:rsid w:val="00717A7A"/>
    <w:rsid w:val="00720505"/>
    <w:rsid w:val="007210D8"/>
    <w:rsid w:val="007217AB"/>
    <w:rsid w:val="00722331"/>
    <w:rsid w:val="0072247E"/>
    <w:rsid w:val="007224AE"/>
    <w:rsid w:val="0072344C"/>
    <w:rsid w:val="00723465"/>
    <w:rsid w:val="007236A3"/>
    <w:rsid w:val="007239B6"/>
    <w:rsid w:val="00723BD9"/>
    <w:rsid w:val="00724792"/>
    <w:rsid w:val="007247C7"/>
    <w:rsid w:val="0072490A"/>
    <w:rsid w:val="00724B64"/>
    <w:rsid w:val="0072517D"/>
    <w:rsid w:val="00725780"/>
    <w:rsid w:val="007257A0"/>
    <w:rsid w:val="0072597F"/>
    <w:rsid w:val="00725FB1"/>
    <w:rsid w:val="0072656F"/>
    <w:rsid w:val="00726878"/>
    <w:rsid w:val="00726A86"/>
    <w:rsid w:val="00726AA2"/>
    <w:rsid w:val="0072741A"/>
    <w:rsid w:val="0073067D"/>
    <w:rsid w:val="00730EE2"/>
    <w:rsid w:val="00730F82"/>
    <w:rsid w:val="0073124A"/>
    <w:rsid w:val="00731A6A"/>
    <w:rsid w:val="00731B79"/>
    <w:rsid w:val="00732079"/>
    <w:rsid w:val="007320A2"/>
    <w:rsid w:val="007327CE"/>
    <w:rsid w:val="007329F4"/>
    <w:rsid w:val="00732ABF"/>
    <w:rsid w:val="0073307A"/>
    <w:rsid w:val="0073345D"/>
    <w:rsid w:val="00733893"/>
    <w:rsid w:val="00733BDC"/>
    <w:rsid w:val="007343DC"/>
    <w:rsid w:val="00734A05"/>
    <w:rsid w:val="00734C24"/>
    <w:rsid w:val="00734ECC"/>
    <w:rsid w:val="007359D3"/>
    <w:rsid w:val="00735A10"/>
    <w:rsid w:val="00735B12"/>
    <w:rsid w:val="00735C6F"/>
    <w:rsid w:val="00736245"/>
    <w:rsid w:val="00736635"/>
    <w:rsid w:val="00737114"/>
    <w:rsid w:val="0073740A"/>
    <w:rsid w:val="00737A31"/>
    <w:rsid w:val="00737C18"/>
    <w:rsid w:val="00737EA7"/>
    <w:rsid w:val="007401CD"/>
    <w:rsid w:val="00740267"/>
    <w:rsid w:val="00740814"/>
    <w:rsid w:val="00740C11"/>
    <w:rsid w:val="00742295"/>
    <w:rsid w:val="00742993"/>
    <w:rsid w:val="00742A6A"/>
    <w:rsid w:val="00742B44"/>
    <w:rsid w:val="00742FF2"/>
    <w:rsid w:val="0074417B"/>
    <w:rsid w:val="00744923"/>
    <w:rsid w:val="00744E2C"/>
    <w:rsid w:val="007451D9"/>
    <w:rsid w:val="0074656E"/>
    <w:rsid w:val="007472D5"/>
    <w:rsid w:val="00747E4B"/>
    <w:rsid w:val="007509A9"/>
    <w:rsid w:val="00751ECA"/>
    <w:rsid w:val="007521CA"/>
    <w:rsid w:val="00752316"/>
    <w:rsid w:val="007524BB"/>
    <w:rsid w:val="00752926"/>
    <w:rsid w:val="00752B03"/>
    <w:rsid w:val="00753454"/>
    <w:rsid w:val="00753482"/>
    <w:rsid w:val="00753BB5"/>
    <w:rsid w:val="00753E8C"/>
    <w:rsid w:val="007544F1"/>
    <w:rsid w:val="00754E21"/>
    <w:rsid w:val="00755E4A"/>
    <w:rsid w:val="007562B5"/>
    <w:rsid w:val="007565EA"/>
    <w:rsid w:val="00756832"/>
    <w:rsid w:val="0075799E"/>
    <w:rsid w:val="00757C54"/>
    <w:rsid w:val="00757F0B"/>
    <w:rsid w:val="00760DF2"/>
    <w:rsid w:val="00760E0D"/>
    <w:rsid w:val="007611BA"/>
    <w:rsid w:val="0076124A"/>
    <w:rsid w:val="0076137C"/>
    <w:rsid w:val="0076160F"/>
    <w:rsid w:val="00761BF4"/>
    <w:rsid w:val="007626D0"/>
    <w:rsid w:val="00762767"/>
    <w:rsid w:val="0076322F"/>
    <w:rsid w:val="00763C9A"/>
    <w:rsid w:val="00764537"/>
    <w:rsid w:val="00764FB4"/>
    <w:rsid w:val="007651CA"/>
    <w:rsid w:val="0076561B"/>
    <w:rsid w:val="007661D6"/>
    <w:rsid w:val="0076654B"/>
    <w:rsid w:val="00766603"/>
    <w:rsid w:val="00766AF0"/>
    <w:rsid w:val="00766C3E"/>
    <w:rsid w:val="00767519"/>
    <w:rsid w:val="0077047A"/>
    <w:rsid w:val="007704E1"/>
    <w:rsid w:val="00770C92"/>
    <w:rsid w:val="00770D2B"/>
    <w:rsid w:val="00770E5C"/>
    <w:rsid w:val="0077169B"/>
    <w:rsid w:val="00772569"/>
    <w:rsid w:val="00772E8C"/>
    <w:rsid w:val="00772FDB"/>
    <w:rsid w:val="0077316B"/>
    <w:rsid w:val="007736D3"/>
    <w:rsid w:val="007740B1"/>
    <w:rsid w:val="007747E6"/>
    <w:rsid w:val="007749BF"/>
    <w:rsid w:val="0077500F"/>
    <w:rsid w:val="00775269"/>
    <w:rsid w:val="0077545C"/>
    <w:rsid w:val="0077548E"/>
    <w:rsid w:val="007757AB"/>
    <w:rsid w:val="00775852"/>
    <w:rsid w:val="00775A3A"/>
    <w:rsid w:val="00777315"/>
    <w:rsid w:val="0077757C"/>
    <w:rsid w:val="00777AB2"/>
    <w:rsid w:val="00780130"/>
    <w:rsid w:val="007802E4"/>
    <w:rsid w:val="00780919"/>
    <w:rsid w:val="00780A5F"/>
    <w:rsid w:val="00781589"/>
    <w:rsid w:val="007820D0"/>
    <w:rsid w:val="007823AB"/>
    <w:rsid w:val="00782440"/>
    <w:rsid w:val="007826C8"/>
    <w:rsid w:val="00782903"/>
    <w:rsid w:val="00783DA9"/>
    <w:rsid w:val="00783FD8"/>
    <w:rsid w:val="00784190"/>
    <w:rsid w:val="0078457B"/>
    <w:rsid w:val="00784756"/>
    <w:rsid w:val="00784B3D"/>
    <w:rsid w:val="0078539D"/>
    <w:rsid w:val="007856C1"/>
    <w:rsid w:val="00785B0F"/>
    <w:rsid w:val="00785EFE"/>
    <w:rsid w:val="00787051"/>
    <w:rsid w:val="0079018D"/>
    <w:rsid w:val="007901DC"/>
    <w:rsid w:val="007907FE"/>
    <w:rsid w:val="00790DA0"/>
    <w:rsid w:val="00790FA0"/>
    <w:rsid w:val="007911F5"/>
    <w:rsid w:val="0079131E"/>
    <w:rsid w:val="007914C8"/>
    <w:rsid w:val="00791538"/>
    <w:rsid w:val="0079189A"/>
    <w:rsid w:val="00791A00"/>
    <w:rsid w:val="00791DDB"/>
    <w:rsid w:val="007926F8"/>
    <w:rsid w:val="00792CEE"/>
    <w:rsid w:val="007936A8"/>
    <w:rsid w:val="00793AD8"/>
    <w:rsid w:val="007948AB"/>
    <w:rsid w:val="007948B2"/>
    <w:rsid w:val="0079535A"/>
    <w:rsid w:val="00796070"/>
    <w:rsid w:val="007962B4"/>
    <w:rsid w:val="00796394"/>
    <w:rsid w:val="0079648B"/>
    <w:rsid w:val="007964C1"/>
    <w:rsid w:val="00796B16"/>
    <w:rsid w:val="00796D36"/>
    <w:rsid w:val="00796E6B"/>
    <w:rsid w:val="00796F15"/>
    <w:rsid w:val="007974EF"/>
    <w:rsid w:val="00797E22"/>
    <w:rsid w:val="00797EFF"/>
    <w:rsid w:val="007A00D8"/>
    <w:rsid w:val="007A07D3"/>
    <w:rsid w:val="007A1171"/>
    <w:rsid w:val="007A138F"/>
    <w:rsid w:val="007A1640"/>
    <w:rsid w:val="007A16AB"/>
    <w:rsid w:val="007A1AE4"/>
    <w:rsid w:val="007A2413"/>
    <w:rsid w:val="007A2A0A"/>
    <w:rsid w:val="007A2DB2"/>
    <w:rsid w:val="007A3095"/>
    <w:rsid w:val="007A345E"/>
    <w:rsid w:val="007A39DF"/>
    <w:rsid w:val="007A39E3"/>
    <w:rsid w:val="007A43ED"/>
    <w:rsid w:val="007A4BDD"/>
    <w:rsid w:val="007A54E0"/>
    <w:rsid w:val="007A5709"/>
    <w:rsid w:val="007A6195"/>
    <w:rsid w:val="007A6212"/>
    <w:rsid w:val="007A6490"/>
    <w:rsid w:val="007A6B10"/>
    <w:rsid w:val="007A6CFD"/>
    <w:rsid w:val="007A72EE"/>
    <w:rsid w:val="007A788F"/>
    <w:rsid w:val="007B0189"/>
    <w:rsid w:val="007B01ED"/>
    <w:rsid w:val="007B0397"/>
    <w:rsid w:val="007B0571"/>
    <w:rsid w:val="007B0A18"/>
    <w:rsid w:val="007B0ADB"/>
    <w:rsid w:val="007B16BB"/>
    <w:rsid w:val="007B1FEE"/>
    <w:rsid w:val="007B2366"/>
    <w:rsid w:val="007B26EE"/>
    <w:rsid w:val="007B2A51"/>
    <w:rsid w:val="007B2E1A"/>
    <w:rsid w:val="007B3502"/>
    <w:rsid w:val="007B3976"/>
    <w:rsid w:val="007B3BD6"/>
    <w:rsid w:val="007B3E6D"/>
    <w:rsid w:val="007B3F67"/>
    <w:rsid w:val="007B44ED"/>
    <w:rsid w:val="007B4834"/>
    <w:rsid w:val="007B491A"/>
    <w:rsid w:val="007B497E"/>
    <w:rsid w:val="007B4AAE"/>
    <w:rsid w:val="007B4F53"/>
    <w:rsid w:val="007B5028"/>
    <w:rsid w:val="007B5370"/>
    <w:rsid w:val="007B57E5"/>
    <w:rsid w:val="007B61F5"/>
    <w:rsid w:val="007B63FA"/>
    <w:rsid w:val="007B68B0"/>
    <w:rsid w:val="007B6AB0"/>
    <w:rsid w:val="007B6F71"/>
    <w:rsid w:val="007B7494"/>
    <w:rsid w:val="007B7496"/>
    <w:rsid w:val="007B7A0E"/>
    <w:rsid w:val="007B7C20"/>
    <w:rsid w:val="007B7C63"/>
    <w:rsid w:val="007B7EF0"/>
    <w:rsid w:val="007B7F89"/>
    <w:rsid w:val="007B7FEC"/>
    <w:rsid w:val="007C0011"/>
    <w:rsid w:val="007C0802"/>
    <w:rsid w:val="007C12BE"/>
    <w:rsid w:val="007C144A"/>
    <w:rsid w:val="007C15D5"/>
    <w:rsid w:val="007C1CE0"/>
    <w:rsid w:val="007C1FCD"/>
    <w:rsid w:val="007C2739"/>
    <w:rsid w:val="007C2941"/>
    <w:rsid w:val="007C44A5"/>
    <w:rsid w:val="007C4B0F"/>
    <w:rsid w:val="007C4DAD"/>
    <w:rsid w:val="007C500F"/>
    <w:rsid w:val="007C50A2"/>
    <w:rsid w:val="007C5830"/>
    <w:rsid w:val="007C5933"/>
    <w:rsid w:val="007C599E"/>
    <w:rsid w:val="007C5D56"/>
    <w:rsid w:val="007C5DB8"/>
    <w:rsid w:val="007C5DCE"/>
    <w:rsid w:val="007C6CA2"/>
    <w:rsid w:val="007C776C"/>
    <w:rsid w:val="007C78F0"/>
    <w:rsid w:val="007C7B41"/>
    <w:rsid w:val="007C7CB3"/>
    <w:rsid w:val="007D047F"/>
    <w:rsid w:val="007D04D0"/>
    <w:rsid w:val="007D05B2"/>
    <w:rsid w:val="007D05FA"/>
    <w:rsid w:val="007D0C44"/>
    <w:rsid w:val="007D1906"/>
    <w:rsid w:val="007D1972"/>
    <w:rsid w:val="007D1F33"/>
    <w:rsid w:val="007D1F86"/>
    <w:rsid w:val="007D24D2"/>
    <w:rsid w:val="007D275B"/>
    <w:rsid w:val="007D30B6"/>
    <w:rsid w:val="007D3307"/>
    <w:rsid w:val="007D337C"/>
    <w:rsid w:val="007D3BA5"/>
    <w:rsid w:val="007D4352"/>
    <w:rsid w:val="007D44A7"/>
    <w:rsid w:val="007D44C0"/>
    <w:rsid w:val="007D44CE"/>
    <w:rsid w:val="007D4B19"/>
    <w:rsid w:val="007D4B66"/>
    <w:rsid w:val="007D4E53"/>
    <w:rsid w:val="007D54F8"/>
    <w:rsid w:val="007D5B29"/>
    <w:rsid w:val="007D5E27"/>
    <w:rsid w:val="007D6031"/>
    <w:rsid w:val="007D6DE0"/>
    <w:rsid w:val="007D6F64"/>
    <w:rsid w:val="007D7B02"/>
    <w:rsid w:val="007D7ECD"/>
    <w:rsid w:val="007E0F89"/>
    <w:rsid w:val="007E1043"/>
    <w:rsid w:val="007E170F"/>
    <w:rsid w:val="007E1782"/>
    <w:rsid w:val="007E21F9"/>
    <w:rsid w:val="007E2508"/>
    <w:rsid w:val="007E25AB"/>
    <w:rsid w:val="007E2F41"/>
    <w:rsid w:val="007E37ED"/>
    <w:rsid w:val="007E3833"/>
    <w:rsid w:val="007E44FC"/>
    <w:rsid w:val="007E4604"/>
    <w:rsid w:val="007E5366"/>
    <w:rsid w:val="007E5AC2"/>
    <w:rsid w:val="007E6033"/>
    <w:rsid w:val="007E60B5"/>
    <w:rsid w:val="007E6402"/>
    <w:rsid w:val="007E661D"/>
    <w:rsid w:val="007E6C38"/>
    <w:rsid w:val="007E6D43"/>
    <w:rsid w:val="007E79C5"/>
    <w:rsid w:val="007E7C09"/>
    <w:rsid w:val="007E7DD2"/>
    <w:rsid w:val="007F01FF"/>
    <w:rsid w:val="007F0542"/>
    <w:rsid w:val="007F0798"/>
    <w:rsid w:val="007F0A91"/>
    <w:rsid w:val="007F0EE2"/>
    <w:rsid w:val="007F1002"/>
    <w:rsid w:val="007F2845"/>
    <w:rsid w:val="007F2A69"/>
    <w:rsid w:val="007F2C87"/>
    <w:rsid w:val="007F38A2"/>
    <w:rsid w:val="007F3DD3"/>
    <w:rsid w:val="007F4197"/>
    <w:rsid w:val="007F4200"/>
    <w:rsid w:val="007F43BC"/>
    <w:rsid w:val="007F46C5"/>
    <w:rsid w:val="007F4740"/>
    <w:rsid w:val="007F5683"/>
    <w:rsid w:val="007F5D01"/>
    <w:rsid w:val="007F6819"/>
    <w:rsid w:val="007F7920"/>
    <w:rsid w:val="0080067C"/>
    <w:rsid w:val="008006C6"/>
    <w:rsid w:val="00800BA1"/>
    <w:rsid w:val="00800C4A"/>
    <w:rsid w:val="00800C52"/>
    <w:rsid w:val="00801041"/>
    <w:rsid w:val="00801232"/>
    <w:rsid w:val="0080153E"/>
    <w:rsid w:val="008017AD"/>
    <w:rsid w:val="008018C8"/>
    <w:rsid w:val="00801E31"/>
    <w:rsid w:val="00801E8F"/>
    <w:rsid w:val="00801F87"/>
    <w:rsid w:val="008022D0"/>
    <w:rsid w:val="0080263A"/>
    <w:rsid w:val="00802EF2"/>
    <w:rsid w:val="00803191"/>
    <w:rsid w:val="0080329D"/>
    <w:rsid w:val="00803434"/>
    <w:rsid w:val="00803A76"/>
    <w:rsid w:val="00804896"/>
    <w:rsid w:val="008055A9"/>
    <w:rsid w:val="00805C3B"/>
    <w:rsid w:val="00805D7E"/>
    <w:rsid w:val="00805DE2"/>
    <w:rsid w:val="00805DF6"/>
    <w:rsid w:val="008063BD"/>
    <w:rsid w:val="00806BCD"/>
    <w:rsid w:val="00806FE3"/>
    <w:rsid w:val="0080710B"/>
    <w:rsid w:val="00807175"/>
    <w:rsid w:val="0080742D"/>
    <w:rsid w:val="00807B9A"/>
    <w:rsid w:val="008100AC"/>
    <w:rsid w:val="008101EA"/>
    <w:rsid w:val="0081090D"/>
    <w:rsid w:val="00810C05"/>
    <w:rsid w:val="00810FEC"/>
    <w:rsid w:val="0081151E"/>
    <w:rsid w:val="008119C2"/>
    <w:rsid w:val="00811A5F"/>
    <w:rsid w:val="00811D53"/>
    <w:rsid w:val="00812498"/>
    <w:rsid w:val="008127E6"/>
    <w:rsid w:val="0081336E"/>
    <w:rsid w:val="00813928"/>
    <w:rsid w:val="00814A34"/>
    <w:rsid w:val="00814D06"/>
    <w:rsid w:val="00814EC2"/>
    <w:rsid w:val="008154EC"/>
    <w:rsid w:val="00815D29"/>
    <w:rsid w:val="00815D2E"/>
    <w:rsid w:val="0081666C"/>
    <w:rsid w:val="00816BAB"/>
    <w:rsid w:val="00817334"/>
    <w:rsid w:val="00820123"/>
    <w:rsid w:val="008203E5"/>
    <w:rsid w:val="00820B9B"/>
    <w:rsid w:val="00820BB7"/>
    <w:rsid w:val="00820DC7"/>
    <w:rsid w:val="00820FFB"/>
    <w:rsid w:val="00821698"/>
    <w:rsid w:val="008221FE"/>
    <w:rsid w:val="0082284C"/>
    <w:rsid w:val="00822A05"/>
    <w:rsid w:val="00822AB9"/>
    <w:rsid w:val="00822BF5"/>
    <w:rsid w:val="00823382"/>
    <w:rsid w:val="00823725"/>
    <w:rsid w:val="00823E57"/>
    <w:rsid w:val="00824462"/>
    <w:rsid w:val="00824894"/>
    <w:rsid w:val="00824D88"/>
    <w:rsid w:val="00824FFF"/>
    <w:rsid w:val="00825366"/>
    <w:rsid w:val="00825AED"/>
    <w:rsid w:val="00825E84"/>
    <w:rsid w:val="00826A60"/>
    <w:rsid w:val="00826C7B"/>
    <w:rsid w:val="00826DD9"/>
    <w:rsid w:val="00826E01"/>
    <w:rsid w:val="00827461"/>
    <w:rsid w:val="0082776B"/>
    <w:rsid w:val="008277A8"/>
    <w:rsid w:val="008278B6"/>
    <w:rsid w:val="0082792B"/>
    <w:rsid w:val="008307ED"/>
    <w:rsid w:val="00830B3B"/>
    <w:rsid w:val="00831334"/>
    <w:rsid w:val="008319A0"/>
    <w:rsid w:val="0083284E"/>
    <w:rsid w:val="00832925"/>
    <w:rsid w:val="0083350F"/>
    <w:rsid w:val="0083397C"/>
    <w:rsid w:val="0083402C"/>
    <w:rsid w:val="00834358"/>
    <w:rsid w:val="008346BD"/>
    <w:rsid w:val="00834923"/>
    <w:rsid w:val="00834F2D"/>
    <w:rsid w:val="00834FA2"/>
    <w:rsid w:val="0083553B"/>
    <w:rsid w:val="00835794"/>
    <w:rsid w:val="008359EB"/>
    <w:rsid w:val="00835CD4"/>
    <w:rsid w:val="00835FFA"/>
    <w:rsid w:val="008361BB"/>
    <w:rsid w:val="00836765"/>
    <w:rsid w:val="00836B7A"/>
    <w:rsid w:val="008379AF"/>
    <w:rsid w:val="00837B37"/>
    <w:rsid w:val="00837B90"/>
    <w:rsid w:val="00840121"/>
    <w:rsid w:val="008401B2"/>
    <w:rsid w:val="00840830"/>
    <w:rsid w:val="008409AA"/>
    <w:rsid w:val="00840FB8"/>
    <w:rsid w:val="00841B17"/>
    <w:rsid w:val="00842E0C"/>
    <w:rsid w:val="00843647"/>
    <w:rsid w:val="00843818"/>
    <w:rsid w:val="00843A7A"/>
    <w:rsid w:val="008440C0"/>
    <w:rsid w:val="008447D4"/>
    <w:rsid w:val="008447F5"/>
    <w:rsid w:val="00845936"/>
    <w:rsid w:val="00845D25"/>
    <w:rsid w:val="00846183"/>
    <w:rsid w:val="00846292"/>
    <w:rsid w:val="00846720"/>
    <w:rsid w:val="00847477"/>
    <w:rsid w:val="00847DD4"/>
    <w:rsid w:val="00850662"/>
    <w:rsid w:val="008506E1"/>
    <w:rsid w:val="00850BDC"/>
    <w:rsid w:val="00850D96"/>
    <w:rsid w:val="008515EE"/>
    <w:rsid w:val="008515F9"/>
    <w:rsid w:val="008519FE"/>
    <w:rsid w:val="00851A8E"/>
    <w:rsid w:val="00851EC7"/>
    <w:rsid w:val="008520C4"/>
    <w:rsid w:val="008528D3"/>
    <w:rsid w:val="008532BD"/>
    <w:rsid w:val="00854553"/>
    <w:rsid w:val="008550C0"/>
    <w:rsid w:val="008558D9"/>
    <w:rsid w:val="00855B86"/>
    <w:rsid w:val="00856D47"/>
    <w:rsid w:val="00856E15"/>
    <w:rsid w:val="008572EC"/>
    <w:rsid w:val="008575D4"/>
    <w:rsid w:val="0085763B"/>
    <w:rsid w:val="00857688"/>
    <w:rsid w:val="00857768"/>
    <w:rsid w:val="0085788E"/>
    <w:rsid w:val="00860745"/>
    <w:rsid w:val="00860874"/>
    <w:rsid w:val="008609A3"/>
    <w:rsid w:val="008610B8"/>
    <w:rsid w:val="008611B6"/>
    <w:rsid w:val="00861F12"/>
    <w:rsid w:val="00862008"/>
    <w:rsid w:val="008621A1"/>
    <w:rsid w:val="008625A2"/>
    <w:rsid w:val="00862720"/>
    <w:rsid w:val="008628C8"/>
    <w:rsid w:val="00862ADA"/>
    <w:rsid w:val="00862B2A"/>
    <w:rsid w:val="008630B9"/>
    <w:rsid w:val="008631B3"/>
    <w:rsid w:val="00863B8F"/>
    <w:rsid w:val="00863C35"/>
    <w:rsid w:val="00863F37"/>
    <w:rsid w:val="00864032"/>
    <w:rsid w:val="0086406B"/>
    <w:rsid w:val="008646C1"/>
    <w:rsid w:val="008649B5"/>
    <w:rsid w:val="00864C8C"/>
    <w:rsid w:val="008659FB"/>
    <w:rsid w:val="00865C81"/>
    <w:rsid w:val="0086709D"/>
    <w:rsid w:val="00867651"/>
    <w:rsid w:val="00867664"/>
    <w:rsid w:val="00867B5A"/>
    <w:rsid w:val="00867ECC"/>
    <w:rsid w:val="00870147"/>
    <w:rsid w:val="00870C84"/>
    <w:rsid w:val="00870E8C"/>
    <w:rsid w:val="008719E1"/>
    <w:rsid w:val="00871DB2"/>
    <w:rsid w:val="00872089"/>
    <w:rsid w:val="00872959"/>
    <w:rsid w:val="00872C00"/>
    <w:rsid w:val="00873B1E"/>
    <w:rsid w:val="00874009"/>
    <w:rsid w:val="00874158"/>
    <w:rsid w:val="008743F3"/>
    <w:rsid w:val="00874413"/>
    <w:rsid w:val="00874418"/>
    <w:rsid w:val="0087444A"/>
    <w:rsid w:val="008746F1"/>
    <w:rsid w:val="0087478C"/>
    <w:rsid w:val="0087488F"/>
    <w:rsid w:val="00874C28"/>
    <w:rsid w:val="00875139"/>
    <w:rsid w:val="00875410"/>
    <w:rsid w:val="00875F96"/>
    <w:rsid w:val="00876053"/>
    <w:rsid w:val="00876545"/>
    <w:rsid w:val="00876620"/>
    <w:rsid w:val="00876E78"/>
    <w:rsid w:val="00877711"/>
    <w:rsid w:val="00877FBF"/>
    <w:rsid w:val="00880798"/>
    <w:rsid w:val="00880BBB"/>
    <w:rsid w:val="00880EDF"/>
    <w:rsid w:val="008811FD"/>
    <w:rsid w:val="00881305"/>
    <w:rsid w:val="0088137C"/>
    <w:rsid w:val="008819B6"/>
    <w:rsid w:val="0088208D"/>
    <w:rsid w:val="0088212C"/>
    <w:rsid w:val="00882DE6"/>
    <w:rsid w:val="00883366"/>
    <w:rsid w:val="008835D5"/>
    <w:rsid w:val="00883A20"/>
    <w:rsid w:val="00883D4D"/>
    <w:rsid w:val="00884007"/>
    <w:rsid w:val="0088460C"/>
    <w:rsid w:val="008847DA"/>
    <w:rsid w:val="00884B59"/>
    <w:rsid w:val="00884C56"/>
    <w:rsid w:val="008850BA"/>
    <w:rsid w:val="008852EF"/>
    <w:rsid w:val="00885580"/>
    <w:rsid w:val="00885876"/>
    <w:rsid w:val="00885B2D"/>
    <w:rsid w:val="00885D97"/>
    <w:rsid w:val="00886185"/>
    <w:rsid w:val="008861D9"/>
    <w:rsid w:val="0088638C"/>
    <w:rsid w:val="0088684D"/>
    <w:rsid w:val="00886EDF"/>
    <w:rsid w:val="0088712F"/>
    <w:rsid w:val="00887AA7"/>
    <w:rsid w:val="00887B44"/>
    <w:rsid w:val="00890259"/>
    <w:rsid w:val="008908E5"/>
    <w:rsid w:val="00891216"/>
    <w:rsid w:val="00891CE4"/>
    <w:rsid w:val="00892A60"/>
    <w:rsid w:val="00893909"/>
    <w:rsid w:val="00893942"/>
    <w:rsid w:val="00894406"/>
    <w:rsid w:val="00894B58"/>
    <w:rsid w:val="00894BF7"/>
    <w:rsid w:val="00894FDC"/>
    <w:rsid w:val="008957D3"/>
    <w:rsid w:val="00896414"/>
    <w:rsid w:val="0089716F"/>
    <w:rsid w:val="00897C71"/>
    <w:rsid w:val="00897D8C"/>
    <w:rsid w:val="008A05D6"/>
    <w:rsid w:val="008A05EA"/>
    <w:rsid w:val="008A0F54"/>
    <w:rsid w:val="008A127F"/>
    <w:rsid w:val="008A16F9"/>
    <w:rsid w:val="008A189B"/>
    <w:rsid w:val="008A1CCA"/>
    <w:rsid w:val="008A1D3E"/>
    <w:rsid w:val="008A1E07"/>
    <w:rsid w:val="008A290F"/>
    <w:rsid w:val="008A3038"/>
    <w:rsid w:val="008A3967"/>
    <w:rsid w:val="008A4A10"/>
    <w:rsid w:val="008A4B16"/>
    <w:rsid w:val="008A4D01"/>
    <w:rsid w:val="008A4D63"/>
    <w:rsid w:val="008A4E11"/>
    <w:rsid w:val="008A5875"/>
    <w:rsid w:val="008A5971"/>
    <w:rsid w:val="008A65B2"/>
    <w:rsid w:val="008A6982"/>
    <w:rsid w:val="008A6D62"/>
    <w:rsid w:val="008A70F7"/>
    <w:rsid w:val="008A726F"/>
    <w:rsid w:val="008A7606"/>
    <w:rsid w:val="008A7E69"/>
    <w:rsid w:val="008B0A73"/>
    <w:rsid w:val="008B13E9"/>
    <w:rsid w:val="008B1BBB"/>
    <w:rsid w:val="008B2257"/>
    <w:rsid w:val="008B2436"/>
    <w:rsid w:val="008B26D5"/>
    <w:rsid w:val="008B3576"/>
    <w:rsid w:val="008B3B51"/>
    <w:rsid w:val="008B3E7B"/>
    <w:rsid w:val="008B4057"/>
    <w:rsid w:val="008B4145"/>
    <w:rsid w:val="008B44C8"/>
    <w:rsid w:val="008B4E46"/>
    <w:rsid w:val="008B4F0A"/>
    <w:rsid w:val="008B5071"/>
    <w:rsid w:val="008B5290"/>
    <w:rsid w:val="008B52C4"/>
    <w:rsid w:val="008B5D94"/>
    <w:rsid w:val="008B5EB6"/>
    <w:rsid w:val="008B63B3"/>
    <w:rsid w:val="008B6A40"/>
    <w:rsid w:val="008B72EC"/>
    <w:rsid w:val="008B73FA"/>
    <w:rsid w:val="008C0B4F"/>
    <w:rsid w:val="008C16CC"/>
    <w:rsid w:val="008C2B53"/>
    <w:rsid w:val="008C2BD3"/>
    <w:rsid w:val="008C2CFD"/>
    <w:rsid w:val="008C2FAA"/>
    <w:rsid w:val="008C336C"/>
    <w:rsid w:val="008C3A93"/>
    <w:rsid w:val="008C3AD0"/>
    <w:rsid w:val="008C3FDC"/>
    <w:rsid w:val="008C43A1"/>
    <w:rsid w:val="008C47AD"/>
    <w:rsid w:val="008C5376"/>
    <w:rsid w:val="008C5725"/>
    <w:rsid w:val="008C603A"/>
    <w:rsid w:val="008C62DB"/>
    <w:rsid w:val="008C64D2"/>
    <w:rsid w:val="008C64EF"/>
    <w:rsid w:val="008C6C4B"/>
    <w:rsid w:val="008C6D87"/>
    <w:rsid w:val="008C71C8"/>
    <w:rsid w:val="008C7627"/>
    <w:rsid w:val="008D0681"/>
    <w:rsid w:val="008D0A5A"/>
    <w:rsid w:val="008D0C3C"/>
    <w:rsid w:val="008D148E"/>
    <w:rsid w:val="008D167D"/>
    <w:rsid w:val="008D1FF8"/>
    <w:rsid w:val="008D20FE"/>
    <w:rsid w:val="008D2B26"/>
    <w:rsid w:val="008D2BF9"/>
    <w:rsid w:val="008D2E88"/>
    <w:rsid w:val="008D3116"/>
    <w:rsid w:val="008D3F33"/>
    <w:rsid w:val="008D4476"/>
    <w:rsid w:val="008D492A"/>
    <w:rsid w:val="008D4B58"/>
    <w:rsid w:val="008D4B7F"/>
    <w:rsid w:val="008D4B8A"/>
    <w:rsid w:val="008D4DD2"/>
    <w:rsid w:val="008D5330"/>
    <w:rsid w:val="008D559D"/>
    <w:rsid w:val="008D57E1"/>
    <w:rsid w:val="008D6541"/>
    <w:rsid w:val="008D669D"/>
    <w:rsid w:val="008D7244"/>
    <w:rsid w:val="008D764C"/>
    <w:rsid w:val="008D7D7B"/>
    <w:rsid w:val="008E0F52"/>
    <w:rsid w:val="008E14BE"/>
    <w:rsid w:val="008E1DC1"/>
    <w:rsid w:val="008E1E57"/>
    <w:rsid w:val="008E1EBD"/>
    <w:rsid w:val="008E1F02"/>
    <w:rsid w:val="008E1FA1"/>
    <w:rsid w:val="008E2099"/>
    <w:rsid w:val="008E216C"/>
    <w:rsid w:val="008E2316"/>
    <w:rsid w:val="008E236C"/>
    <w:rsid w:val="008E2E7A"/>
    <w:rsid w:val="008E3063"/>
    <w:rsid w:val="008E30C6"/>
    <w:rsid w:val="008E33E5"/>
    <w:rsid w:val="008E34BE"/>
    <w:rsid w:val="008E3AA8"/>
    <w:rsid w:val="008E3B0F"/>
    <w:rsid w:val="008E3E57"/>
    <w:rsid w:val="008E42CE"/>
    <w:rsid w:val="008E42F4"/>
    <w:rsid w:val="008E4333"/>
    <w:rsid w:val="008E4696"/>
    <w:rsid w:val="008E4A31"/>
    <w:rsid w:val="008E5657"/>
    <w:rsid w:val="008E5E51"/>
    <w:rsid w:val="008E5F6C"/>
    <w:rsid w:val="008E6302"/>
    <w:rsid w:val="008E74F2"/>
    <w:rsid w:val="008E7E3B"/>
    <w:rsid w:val="008E7E47"/>
    <w:rsid w:val="008F00DB"/>
    <w:rsid w:val="008F00F1"/>
    <w:rsid w:val="008F03A0"/>
    <w:rsid w:val="008F0C49"/>
    <w:rsid w:val="008F1264"/>
    <w:rsid w:val="008F13F6"/>
    <w:rsid w:val="008F16C8"/>
    <w:rsid w:val="008F18AA"/>
    <w:rsid w:val="008F1D8C"/>
    <w:rsid w:val="008F2908"/>
    <w:rsid w:val="008F2B63"/>
    <w:rsid w:val="008F38EE"/>
    <w:rsid w:val="008F3A90"/>
    <w:rsid w:val="008F4679"/>
    <w:rsid w:val="008F46E2"/>
    <w:rsid w:val="008F47C6"/>
    <w:rsid w:val="008F4C3A"/>
    <w:rsid w:val="008F524E"/>
    <w:rsid w:val="008F528F"/>
    <w:rsid w:val="008F5C40"/>
    <w:rsid w:val="008F6647"/>
    <w:rsid w:val="008F700E"/>
    <w:rsid w:val="008F72D1"/>
    <w:rsid w:val="008F7D69"/>
    <w:rsid w:val="0090024E"/>
    <w:rsid w:val="00900343"/>
    <w:rsid w:val="009006A2"/>
    <w:rsid w:val="0090102B"/>
    <w:rsid w:val="00901448"/>
    <w:rsid w:val="0090173B"/>
    <w:rsid w:val="00902C43"/>
    <w:rsid w:val="009034F6"/>
    <w:rsid w:val="009036BC"/>
    <w:rsid w:val="00903D30"/>
    <w:rsid w:val="00903D77"/>
    <w:rsid w:val="00904414"/>
    <w:rsid w:val="00905197"/>
    <w:rsid w:val="009052A7"/>
    <w:rsid w:val="00905C47"/>
    <w:rsid w:val="00905CE1"/>
    <w:rsid w:val="00905F10"/>
    <w:rsid w:val="00906379"/>
    <w:rsid w:val="0090668B"/>
    <w:rsid w:val="009068AB"/>
    <w:rsid w:val="00906A8C"/>
    <w:rsid w:val="00907531"/>
    <w:rsid w:val="00907835"/>
    <w:rsid w:val="009101EA"/>
    <w:rsid w:val="009103B3"/>
    <w:rsid w:val="009106FC"/>
    <w:rsid w:val="009108E5"/>
    <w:rsid w:val="00910B8B"/>
    <w:rsid w:val="00910BE4"/>
    <w:rsid w:val="00910E3D"/>
    <w:rsid w:val="00910EB3"/>
    <w:rsid w:val="009118BB"/>
    <w:rsid w:val="0091191F"/>
    <w:rsid w:val="00911AF3"/>
    <w:rsid w:val="00911E7D"/>
    <w:rsid w:val="009120A9"/>
    <w:rsid w:val="009124A1"/>
    <w:rsid w:val="00912BB6"/>
    <w:rsid w:val="00912CC3"/>
    <w:rsid w:val="0091300C"/>
    <w:rsid w:val="009132C6"/>
    <w:rsid w:val="009134C3"/>
    <w:rsid w:val="009134DE"/>
    <w:rsid w:val="009135A7"/>
    <w:rsid w:val="009147EE"/>
    <w:rsid w:val="00914A69"/>
    <w:rsid w:val="00914CDA"/>
    <w:rsid w:val="00915578"/>
    <w:rsid w:val="009159AC"/>
    <w:rsid w:val="00915B81"/>
    <w:rsid w:val="00915C72"/>
    <w:rsid w:val="00915D6B"/>
    <w:rsid w:val="00915F34"/>
    <w:rsid w:val="009160DF"/>
    <w:rsid w:val="009162C7"/>
    <w:rsid w:val="00916381"/>
    <w:rsid w:val="00916EC2"/>
    <w:rsid w:val="00917BE7"/>
    <w:rsid w:val="00917DFE"/>
    <w:rsid w:val="009206DD"/>
    <w:rsid w:val="00920C7A"/>
    <w:rsid w:val="00920E3C"/>
    <w:rsid w:val="009213AB"/>
    <w:rsid w:val="009213BD"/>
    <w:rsid w:val="00921880"/>
    <w:rsid w:val="00922042"/>
    <w:rsid w:val="009220B7"/>
    <w:rsid w:val="00922148"/>
    <w:rsid w:val="00922183"/>
    <w:rsid w:val="0092260F"/>
    <w:rsid w:val="00922ABF"/>
    <w:rsid w:val="00922EBD"/>
    <w:rsid w:val="009230A6"/>
    <w:rsid w:val="00924393"/>
    <w:rsid w:val="00924627"/>
    <w:rsid w:val="009246FB"/>
    <w:rsid w:val="00924BD9"/>
    <w:rsid w:val="009250A8"/>
    <w:rsid w:val="009250C8"/>
    <w:rsid w:val="00925BBC"/>
    <w:rsid w:val="00925BE6"/>
    <w:rsid w:val="009264CF"/>
    <w:rsid w:val="00926697"/>
    <w:rsid w:val="009266D7"/>
    <w:rsid w:val="00926F61"/>
    <w:rsid w:val="00926FA9"/>
    <w:rsid w:val="009275D1"/>
    <w:rsid w:val="00927F67"/>
    <w:rsid w:val="009304A1"/>
    <w:rsid w:val="009306C6"/>
    <w:rsid w:val="00930D65"/>
    <w:rsid w:val="00930D91"/>
    <w:rsid w:val="0093123D"/>
    <w:rsid w:val="009327D2"/>
    <w:rsid w:val="00933040"/>
    <w:rsid w:val="009330E9"/>
    <w:rsid w:val="009333E1"/>
    <w:rsid w:val="00933CB8"/>
    <w:rsid w:val="0093402A"/>
    <w:rsid w:val="00934972"/>
    <w:rsid w:val="00934D97"/>
    <w:rsid w:val="00935715"/>
    <w:rsid w:val="00935D15"/>
    <w:rsid w:val="00935ED5"/>
    <w:rsid w:val="00936084"/>
    <w:rsid w:val="009360DC"/>
    <w:rsid w:val="00936C11"/>
    <w:rsid w:val="00936F44"/>
    <w:rsid w:val="00937883"/>
    <w:rsid w:val="009408CB"/>
    <w:rsid w:val="009411FB"/>
    <w:rsid w:val="009414A9"/>
    <w:rsid w:val="00941B71"/>
    <w:rsid w:val="00941DF9"/>
    <w:rsid w:val="009421AD"/>
    <w:rsid w:val="0094221C"/>
    <w:rsid w:val="0094262C"/>
    <w:rsid w:val="00942A0B"/>
    <w:rsid w:val="009430F9"/>
    <w:rsid w:val="0094335F"/>
    <w:rsid w:val="009438BF"/>
    <w:rsid w:val="0094409C"/>
    <w:rsid w:val="00944159"/>
    <w:rsid w:val="00944223"/>
    <w:rsid w:val="0094475E"/>
    <w:rsid w:val="00944777"/>
    <w:rsid w:val="009448CD"/>
    <w:rsid w:val="009449B2"/>
    <w:rsid w:val="00944A5C"/>
    <w:rsid w:val="00944A82"/>
    <w:rsid w:val="00944BA5"/>
    <w:rsid w:val="00945029"/>
    <w:rsid w:val="00945091"/>
    <w:rsid w:val="0094573A"/>
    <w:rsid w:val="00945A74"/>
    <w:rsid w:val="00945AC7"/>
    <w:rsid w:val="0094651B"/>
    <w:rsid w:val="00946C4D"/>
    <w:rsid w:val="00946CA2"/>
    <w:rsid w:val="00947200"/>
    <w:rsid w:val="00947E28"/>
    <w:rsid w:val="0095013E"/>
    <w:rsid w:val="0095019A"/>
    <w:rsid w:val="009503D7"/>
    <w:rsid w:val="00950D7D"/>
    <w:rsid w:val="0095122B"/>
    <w:rsid w:val="00951434"/>
    <w:rsid w:val="009514B7"/>
    <w:rsid w:val="00952422"/>
    <w:rsid w:val="0095285B"/>
    <w:rsid w:val="00953355"/>
    <w:rsid w:val="00953FE9"/>
    <w:rsid w:val="00954417"/>
    <w:rsid w:val="0095481C"/>
    <w:rsid w:val="0095526F"/>
    <w:rsid w:val="009552E8"/>
    <w:rsid w:val="009554E7"/>
    <w:rsid w:val="00955E4A"/>
    <w:rsid w:val="00955E70"/>
    <w:rsid w:val="009565E8"/>
    <w:rsid w:val="0095660A"/>
    <w:rsid w:val="009567E6"/>
    <w:rsid w:val="00956D98"/>
    <w:rsid w:val="00957076"/>
    <w:rsid w:val="00957132"/>
    <w:rsid w:val="009571F8"/>
    <w:rsid w:val="009576FD"/>
    <w:rsid w:val="009578EB"/>
    <w:rsid w:val="009578FF"/>
    <w:rsid w:val="00957ADA"/>
    <w:rsid w:val="00960443"/>
    <w:rsid w:val="00960446"/>
    <w:rsid w:val="00960499"/>
    <w:rsid w:val="009609B4"/>
    <w:rsid w:val="009610ED"/>
    <w:rsid w:val="00961144"/>
    <w:rsid w:val="00961678"/>
    <w:rsid w:val="00961EE9"/>
    <w:rsid w:val="00961FBF"/>
    <w:rsid w:val="0096311E"/>
    <w:rsid w:val="009633BB"/>
    <w:rsid w:val="00963891"/>
    <w:rsid w:val="00963A36"/>
    <w:rsid w:val="00963D72"/>
    <w:rsid w:val="00964019"/>
    <w:rsid w:val="009643DA"/>
    <w:rsid w:val="0096485F"/>
    <w:rsid w:val="0096559B"/>
    <w:rsid w:val="00965C40"/>
    <w:rsid w:val="009668CA"/>
    <w:rsid w:val="00966A84"/>
    <w:rsid w:val="00966D57"/>
    <w:rsid w:val="00967354"/>
    <w:rsid w:val="00967960"/>
    <w:rsid w:val="00967F25"/>
    <w:rsid w:val="00970AA5"/>
    <w:rsid w:val="00970EB7"/>
    <w:rsid w:val="00970ECB"/>
    <w:rsid w:val="0097140F"/>
    <w:rsid w:val="00971529"/>
    <w:rsid w:val="00971589"/>
    <w:rsid w:val="00971592"/>
    <w:rsid w:val="00971617"/>
    <w:rsid w:val="009717E1"/>
    <w:rsid w:val="009717F8"/>
    <w:rsid w:val="009718DF"/>
    <w:rsid w:val="0097197B"/>
    <w:rsid w:val="00971DDF"/>
    <w:rsid w:val="00971E80"/>
    <w:rsid w:val="0097225C"/>
    <w:rsid w:val="009731D6"/>
    <w:rsid w:val="009732DA"/>
    <w:rsid w:val="00973CB0"/>
    <w:rsid w:val="00973FC6"/>
    <w:rsid w:val="00974746"/>
    <w:rsid w:val="00974E62"/>
    <w:rsid w:val="00974F00"/>
    <w:rsid w:val="00975119"/>
    <w:rsid w:val="00975AD9"/>
    <w:rsid w:val="00975BF5"/>
    <w:rsid w:val="0097606B"/>
    <w:rsid w:val="009763ED"/>
    <w:rsid w:val="00976788"/>
    <w:rsid w:val="00976A72"/>
    <w:rsid w:val="00976AAA"/>
    <w:rsid w:val="00976CF0"/>
    <w:rsid w:val="00976F04"/>
    <w:rsid w:val="009777E5"/>
    <w:rsid w:val="009777F4"/>
    <w:rsid w:val="00977AD8"/>
    <w:rsid w:val="00980775"/>
    <w:rsid w:val="0098084C"/>
    <w:rsid w:val="00980A10"/>
    <w:rsid w:val="00981130"/>
    <w:rsid w:val="0098125E"/>
    <w:rsid w:val="00981BD8"/>
    <w:rsid w:val="0098229C"/>
    <w:rsid w:val="009822BD"/>
    <w:rsid w:val="0098289D"/>
    <w:rsid w:val="009835E0"/>
    <w:rsid w:val="00983AB1"/>
    <w:rsid w:val="00983D08"/>
    <w:rsid w:val="00983D46"/>
    <w:rsid w:val="00983DCA"/>
    <w:rsid w:val="009844B8"/>
    <w:rsid w:val="00984D1A"/>
    <w:rsid w:val="00985262"/>
    <w:rsid w:val="00985CE4"/>
    <w:rsid w:val="00985EF7"/>
    <w:rsid w:val="00986093"/>
    <w:rsid w:val="00986146"/>
    <w:rsid w:val="00986A47"/>
    <w:rsid w:val="00986CF9"/>
    <w:rsid w:val="0098711E"/>
    <w:rsid w:val="0098727B"/>
    <w:rsid w:val="00987416"/>
    <w:rsid w:val="009879B0"/>
    <w:rsid w:val="00987C13"/>
    <w:rsid w:val="00987C4E"/>
    <w:rsid w:val="00990154"/>
    <w:rsid w:val="00990C0E"/>
    <w:rsid w:val="00990D75"/>
    <w:rsid w:val="00991093"/>
    <w:rsid w:val="0099163B"/>
    <w:rsid w:val="0099219C"/>
    <w:rsid w:val="0099219D"/>
    <w:rsid w:val="00992243"/>
    <w:rsid w:val="00992343"/>
    <w:rsid w:val="009923C9"/>
    <w:rsid w:val="009924A1"/>
    <w:rsid w:val="009929FB"/>
    <w:rsid w:val="0099307C"/>
    <w:rsid w:val="00993750"/>
    <w:rsid w:val="0099381C"/>
    <w:rsid w:val="0099383D"/>
    <w:rsid w:val="009938B1"/>
    <w:rsid w:val="00993CB6"/>
    <w:rsid w:val="00994B48"/>
    <w:rsid w:val="00994B7C"/>
    <w:rsid w:val="00995884"/>
    <w:rsid w:val="00996258"/>
    <w:rsid w:val="00996306"/>
    <w:rsid w:val="00996744"/>
    <w:rsid w:val="00996A9F"/>
    <w:rsid w:val="00996E72"/>
    <w:rsid w:val="00997013"/>
    <w:rsid w:val="00997CF4"/>
    <w:rsid w:val="009A1169"/>
    <w:rsid w:val="009A164C"/>
    <w:rsid w:val="009A1AAC"/>
    <w:rsid w:val="009A21C7"/>
    <w:rsid w:val="009A22A9"/>
    <w:rsid w:val="009A28B1"/>
    <w:rsid w:val="009A2BB6"/>
    <w:rsid w:val="009A2CB8"/>
    <w:rsid w:val="009A3125"/>
    <w:rsid w:val="009A3789"/>
    <w:rsid w:val="009A3D54"/>
    <w:rsid w:val="009A4419"/>
    <w:rsid w:val="009A45A2"/>
    <w:rsid w:val="009A5449"/>
    <w:rsid w:val="009A56D4"/>
    <w:rsid w:val="009A5D01"/>
    <w:rsid w:val="009A6919"/>
    <w:rsid w:val="009A6AC7"/>
    <w:rsid w:val="009A6D1D"/>
    <w:rsid w:val="009A6D57"/>
    <w:rsid w:val="009A742F"/>
    <w:rsid w:val="009B0173"/>
    <w:rsid w:val="009B0408"/>
    <w:rsid w:val="009B0491"/>
    <w:rsid w:val="009B0843"/>
    <w:rsid w:val="009B0DEE"/>
    <w:rsid w:val="009B1335"/>
    <w:rsid w:val="009B176D"/>
    <w:rsid w:val="009B18DA"/>
    <w:rsid w:val="009B1CD2"/>
    <w:rsid w:val="009B1E47"/>
    <w:rsid w:val="009B2CED"/>
    <w:rsid w:val="009B3054"/>
    <w:rsid w:val="009B335D"/>
    <w:rsid w:val="009B3801"/>
    <w:rsid w:val="009B3C90"/>
    <w:rsid w:val="009B4874"/>
    <w:rsid w:val="009B4C96"/>
    <w:rsid w:val="009B4EAC"/>
    <w:rsid w:val="009B5450"/>
    <w:rsid w:val="009B55EB"/>
    <w:rsid w:val="009B55F1"/>
    <w:rsid w:val="009B5E1E"/>
    <w:rsid w:val="009B68F1"/>
    <w:rsid w:val="009B76E3"/>
    <w:rsid w:val="009B76F9"/>
    <w:rsid w:val="009B79BD"/>
    <w:rsid w:val="009B7A72"/>
    <w:rsid w:val="009B7BB8"/>
    <w:rsid w:val="009B7D38"/>
    <w:rsid w:val="009C05C7"/>
    <w:rsid w:val="009C0E9B"/>
    <w:rsid w:val="009C0FDB"/>
    <w:rsid w:val="009C126A"/>
    <w:rsid w:val="009C1D4C"/>
    <w:rsid w:val="009C2C4B"/>
    <w:rsid w:val="009C2DD2"/>
    <w:rsid w:val="009C35CB"/>
    <w:rsid w:val="009C3767"/>
    <w:rsid w:val="009C3982"/>
    <w:rsid w:val="009C41B3"/>
    <w:rsid w:val="009C441F"/>
    <w:rsid w:val="009C4676"/>
    <w:rsid w:val="009C490D"/>
    <w:rsid w:val="009C4A07"/>
    <w:rsid w:val="009C4B8E"/>
    <w:rsid w:val="009C4DBC"/>
    <w:rsid w:val="009C51D5"/>
    <w:rsid w:val="009C543C"/>
    <w:rsid w:val="009C599A"/>
    <w:rsid w:val="009C5C3A"/>
    <w:rsid w:val="009C5CF1"/>
    <w:rsid w:val="009C5EFF"/>
    <w:rsid w:val="009C64FC"/>
    <w:rsid w:val="009C650E"/>
    <w:rsid w:val="009C651B"/>
    <w:rsid w:val="009C652F"/>
    <w:rsid w:val="009C66C9"/>
    <w:rsid w:val="009C70DB"/>
    <w:rsid w:val="009C7244"/>
    <w:rsid w:val="009C774A"/>
    <w:rsid w:val="009C7824"/>
    <w:rsid w:val="009D0510"/>
    <w:rsid w:val="009D0E9D"/>
    <w:rsid w:val="009D0EA0"/>
    <w:rsid w:val="009D19BC"/>
    <w:rsid w:val="009D19D6"/>
    <w:rsid w:val="009D1CD0"/>
    <w:rsid w:val="009D2348"/>
    <w:rsid w:val="009D23D6"/>
    <w:rsid w:val="009D255C"/>
    <w:rsid w:val="009D2DD8"/>
    <w:rsid w:val="009D2EA8"/>
    <w:rsid w:val="009D2F0C"/>
    <w:rsid w:val="009D3306"/>
    <w:rsid w:val="009D3578"/>
    <w:rsid w:val="009D3A5F"/>
    <w:rsid w:val="009D4392"/>
    <w:rsid w:val="009D45BD"/>
    <w:rsid w:val="009D493C"/>
    <w:rsid w:val="009D4DE0"/>
    <w:rsid w:val="009D4F88"/>
    <w:rsid w:val="009D5193"/>
    <w:rsid w:val="009D5A3C"/>
    <w:rsid w:val="009D5C32"/>
    <w:rsid w:val="009D5C56"/>
    <w:rsid w:val="009D5DD8"/>
    <w:rsid w:val="009D6472"/>
    <w:rsid w:val="009D6AD6"/>
    <w:rsid w:val="009D6BEB"/>
    <w:rsid w:val="009D78D7"/>
    <w:rsid w:val="009D79F4"/>
    <w:rsid w:val="009D7D19"/>
    <w:rsid w:val="009E0720"/>
    <w:rsid w:val="009E126D"/>
    <w:rsid w:val="009E1382"/>
    <w:rsid w:val="009E1F79"/>
    <w:rsid w:val="009E2592"/>
    <w:rsid w:val="009E27CC"/>
    <w:rsid w:val="009E33D7"/>
    <w:rsid w:val="009E3CD1"/>
    <w:rsid w:val="009E460D"/>
    <w:rsid w:val="009E495D"/>
    <w:rsid w:val="009E4D40"/>
    <w:rsid w:val="009E5520"/>
    <w:rsid w:val="009E5589"/>
    <w:rsid w:val="009E5AF5"/>
    <w:rsid w:val="009E5D4C"/>
    <w:rsid w:val="009E5EB5"/>
    <w:rsid w:val="009E5F79"/>
    <w:rsid w:val="009E6221"/>
    <w:rsid w:val="009E698C"/>
    <w:rsid w:val="009E74F0"/>
    <w:rsid w:val="009E7F23"/>
    <w:rsid w:val="009E7FC8"/>
    <w:rsid w:val="009F0768"/>
    <w:rsid w:val="009F081D"/>
    <w:rsid w:val="009F0877"/>
    <w:rsid w:val="009F102A"/>
    <w:rsid w:val="009F11C0"/>
    <w:rsid w:val="009F151C"/>
    <w:rsid w:val="009F1910"/>
    <w:rsid w:val="009F26E5"/>
    <w:rsid w:val="009F2A19"/>
    <w:rsid w:val="009F2D7B"/>
    <w:rsid w:val="009F333B"/>
    <w:rsid w:val="009F394E"/>
    <w:rsid w:val="009F399B"/>
    <w:rsid w:val="009F514E"/>
    <w:rsid w:val="009F536A"/>
    <w:rsid w:val="009F5BC5"/>
    <w:rsid w:val="009F65F0"/>
    <w:rsid w:val="009F6AD5"/>
    <w:rsid w:val="009F6BCE"/>
    <w:rsid w:val="009F71D3"/>
    <w:rsid w:val="009F7867"/>
    <w:rsid w:val="009F7CB5"/>
    <w:rsid w:val="009F7D66"/>
    <w:rsid w:val="009F7F0B"/>
    <w:rsid w:val="00A00BD2"/>
    <w:rsid w:val="00A00E56"/>
    <w:rsid w:val="00A016DF"/>
    <w:rsid w:val="00A01763"/>
    <w:rsid w:val="00A02651"/>
    <w:rsid w:val="00A027F3"/>
    <w:rsid w:val="00A02D50"/>
    <w:rsid w:val="00A0305C"/>
    <w:rsid w:val="00A03066"/>
    <w:rsid w:val="00A03511"/>
    <w:rsid w:val="00A03978"/>
    <w:rsid w:val="00A03AB1"/>
    <w:rsid w:val="00A03EC2"/>
    <w:rsid w:val="00A043B8"/>
    <w:rsid w:val="00A04921"/>
    <w:rsid w:val="00A04D7E"/>
    <w:rsid w:val="00A051D9"/>
    <w:rsid w:val="00A05633"/>
    <w:rsid w:val="00A05D67"/>
    <w:rsid w:val="00A05DF3"/>
    <w:rsid w:val="00A0617E"/>
    <w:rsid w:val="00A061F2"/>
    <w:rsid w:val="00A066FA"/>
    <w:rsid w:val="00A06E21"/>
    <w:rsid w:val="00A06F49"/>
    <w:rsid w:val="00A0706F"/>
    <w:rsid w:val="00A079A3"/>
    <w:rsid w:val="00A07DFD"/>
    <w:rsid w:val="00A07E08"/>
    <w:rsid w:val="00A07E99"/>
    <w:rsid w:val="00A105D4"/>
    <w:rsid w:val="00A109C8"/>
    <w:rsid w:val="00A10A9B"/>
    <w:rsid w:val="00A10CD1"/>
    <w:rsid w:val="00A10D79"/>
    <w:rsid w:val="00A11212"/>
    <w:rsid w:val="00A11535"/>
    <w:rsid w:val="00A11807"/>
    <w:rsid w:val="00A11E56"/>
    <w:rsid w:val="00A11FFC"/>
    <w:rsid w:val="00A1209D"/>
    <w:rsid w:val="00A12798"/>
    <w:rsid w:val="00A1329C"/>
    <w:rsid w:val="00A133A7"/>
    <w:rsid w:val="00A13A09"/>
    <w:rsid w:val="00A13EEE"/>
    <w:rsid w:val="00A13FC4"/>
    <w:rsid w:val="00A1417D"/>
    <w:rsid w:val="00A14B87"/>
    <w:rsid w:val="00A153BE"/>
    <w:rsid w:val="00A15DEE"/>
    <w:rsid w:val="00A1602C"/>
    <w:rsid w:val="00A16462"/>
    <w:rsid w:val="00A167B5"/>
    <w:rsid w:val="00A16932"/>
    <w:rsid w:val="00A16DBE"/>
    <w:rsid w:val="00A179E0"/>
    <w:rsid w:val="00A17C4F"/>
    <w:rsid w:val="00A201CE"/>
    <w:rsid w:val="00A2025B"/>
    <w:rsid w:val="00A20653"/>
    <w:rsid w:val="00A20A39"/>
    <w:rsid w:val="00A20AC3"/>
    <w:rsid w:val="00A20D26"/>
    <w:rsid w:val="00A21B93"/>
    <w:rsid w:val="00A21D9C"/>
    <w:rsid w:val="00A22059"/>
    <w:rsid w:val="00A225AF"/>
    <w:rsid w:val="00A2300C"/>
    <w:rsid w:val="00A23220"/>
    <w:rsid w:val="00A238BD"/>
    <w:rsid w:val="00A2391E"/>
    <w:rsid w:val="00A23AA1"/>
    <w:rsid w:val="00A23DCA"/>
    <w:rsid w:val="00A240D8"/>
    <w:rsid w:val="00A242FC"/>
    <w:rsid w:val="00A243E4"/>
    <w:rsid w:val="00A2459D"/>
    <w:rsid w:val="00A24B9B"/>
    <w:rsid w:val="00A24E23"/>
    <w:rsid w:val="00A24FA9"/>
    <w:rsid w:val="00A250D5"/>
    <w:rsid w:val="00A2566C"/>
    <w:rsid w:val="00A25F05"/>
    <w:rsid w:val="00A26491"/>
    <w:rsid w:val="00A2731B"/>
    <w:rsid w:val="00A277E7"/>
    <w:rsid w:val="00A30103"/>
    <w:rsid w:val="00A301CA"/>
    <w:rsid w:val="00A30528"/>
    <w:rsid w:val="00A309B3"/>
    <w:rsid w:val="00A30B2D"/>
    <w:rsid w:val="00A30CFA"/>
    <w:rsid w:val="00A311AE"/>
    <w:rsid w:val="00A312A6"/>
    <w:rsid w:val="00A3130E"/>
    <w:rsid w:val="00A3150C"/>
    <w:rsid w:val="00A315B1"/>
    <w:rsid w:val="00A31778"/>
    <w:rsid w:val="00A3193B"/>
    <w:rsid w:val="00A32238"/>
    <w:rsid w:val="00A324CF"/>
    <w:rsid w:val="00A32E8B"/>
    <w:rsid w:val="00A32ED6"/>
    <w:rsid w:val="00A32EF5"/>
    <w:rsid w:val="00A33518"/>
    <w:rsid w:val="00A33776"/>
    <w:rsid w:val="00A33C1A"/>
    <w:rsid w:val="00A33EE3"/>
    <w:rsid w:val="00A34119"/>
    <w:rsid w:val="00A344A5"/>
    <w:rsid w:val="00A346C3"/>
    <w:rsid w:val="00A34D4A"/>
    <w:rsid w:val="00A34DC9"/>
    <w:rsid w:val="00A34E96"/>
    <w:rsid w:val="00A35548"/>
    <w:rsid w:val="00A36155"/>
    <w:rsid w:val="00A3629E"/>
    <w:rsid w:val="00A365AD"/>
    <w:rsid w:val="00A36B93"/>
    <w:rsid w:val="00A3794C"/>
    <w:rsid w:val="00A4015F"/>
    <w:rsid w:val="00A4027D"/>
    <w:rsid w:val="00A40FB7"/>
    <w:rsid w:val="00A41D4A"/>
    <w:rsid w:val="00A4208F"/>
    <w:rsid w:val="00A422FD"/>
    <w:rsid w:val="00A42A85"/>
    <w:rsid w:val="00A42D07"/>
    <w:rsid w:val="00A42ED4"/>
    <w:rsid w:val="00A431FD"/>
    <w:rsid w:val="00A43742"/>
    <w:rsid w:val="00A44B43"/>
    <w:rsid w:val="00A44BC5"/>
    <w:rsid w:val="00A4503E"/>
    <w:rsid w:val="00A450C0"/>
    <w:rsid w:val="00A45468"/>
    <w:rsid w:val="00A45484"/>
    <w:rsid w:val="00A45F16"/>
    <w:rsid w:val="00A4601D"/>
    <w:rsid w:val="00A46CEC"/>
    <w:rsid w:val="00A471A8"/>
    <w:rsid w:val="00A475C1"/>
    <w:rsid w:val="00A4791B"/>
    <w:rsid w:val="00A47B78"/>
    <w:rsid w:val="00A505F7"/>
    <w:rsid w:val="00A50A48"/>
    <w:rsid w:val="00A50DDA"/>
    <w:rsid w:val="00A5103E"/>
    <w:rsid w:val="00A51180"/>
    <w:rsid w:val="00A51242"/>
    <w:rsid w:val="00A51522"/>
    <w:rsid w:val="00A51573"/>
    <w:rsid w:val="00A51A5E"/>
    <w:rsid w:val="00A52259"/>
    <w:rsid w:val="00A5231D"/>
    <w:rsid w:val="00A52895"/>
    <w:rsid w:val="00A52D7D"/>
    <w:rsid w:val="00A539A5"/>
    <w:rsid w:val="00A53DA0"/>
    <w:rsid w:val="00A5404D"/>
    <w:rsid w:val="00A54F99"/>
    <w:rsid w:val="00A555A7"/>
    <w:rsid w:val="00A5570C"/>
    <w:rsid w:val="00A55B0D"/>
    <w:rsid w:val="00A56256"/>
    <w:rsid w:val="00A56725"/>
    <w:rsid w:val="00A5718D"/>
    <w:rsid w:val="00A57587"/>
    <w:rsid w:val="00A5765D"/>
    <w:rsid w:val="00A577F1"/>
    <w:rsid w:val="00A579BD"/>
    <w:rsid w:val="00A607CB"/>
    <w:rsid w:val="00A61092"/>
    <w:rsid w:val="00A61306"/>
    <w:rsid w:val="00A61803"/>
    <w:rsid w:val="00A61FA1"/>
    <w:rsid w:val="00A6269E"/>
    <w:rsid w:val="00A626CE"/>
    <w:rsid w:val="00A6351F"/>
    <w:rsid w:val="00A63809"/>
    <w:rsid w:val="00A63B95"/>
    <w:rsid w:val="00A63DCA"/>
    <w:rsid w:val="00A63F04"/>
    <w:rsid w:val="00A6411C"/>
    <w:rsid w:val="00A64278"/>
    <w:rsid w:val="00A64434"/>
    <w:rsid w:val="00A64A6E"/>
    <w:rsid w:val="00A6519F"/>
    <w:rsid w:val="00A6563D"/>
    <w:rsid w:val="00A65931"/>
    <w:rsid w:val="00A65A70"/>
    <w:rsid w:val="00A65E0B"/>
    <w:rsid w:val="00A66276"/>
    <w:rsid w:val="00A66417"/>
    <w:rsid w:val="00A6665F"/>
    <w:rsid w:val="00A66F00"/>
    <w:rsid w:val="00A66F36"/>
    <w:rsid w:val="00A671FF"/>
    <w:rsid w:val="00A67610"/>
    <w:rsid w:val="00A676D9"/>
    <w:rsid w:val="00A67DF1"/>
    <w:rsid w:val="00A67E4F"/>
    <w:rsid w:val="00A67EFC"/>
    <w:rsid w:val="00A7031E"/>
    <w:rsid w:val="00A7051B"/>
    <w:rsid w:val="00A707A5"/>
    <w:rsid w:val="00A71140"/>
    <w:rsid w:val="00A7157D"/>
    <w:rsid w:val="00A7205E"/>
    <w:rsid w:val="00A72ACC"/>
    <w:rsid w:val="00A73922"/>
    <w:rsid w:val="00A73D24"/>
    <w:rsid w:val="00A7439F"/>
    <w:rsid w:val="00A74692"/>
    <w:rsid w:val="00A74F63"/>
    <w:rsid w:val="00A7507C"/>
    <w:rsid w:val="00A75924"/>
    <w:rsid w:val="00A759B8"/>
    <w:rsid w:val="00A75A52"/>
    <w:rsid w:val="00A7618B"/>
    <w:rsid w:val="00A7640B"/>
    <w:rsid w:val="00A76B43"/>
    <w:rsid w:val="00A770FA"/>
    <w:rsid w:val="00A773A8"/>
    <w:rsid w:val="00A7778B"/>
    <w:rsid w:val="00A77A67"/>
    <w:rsid w:val="00A8016F"/>
    <w:rsid w:val="00A803BC"/>
    <w:rsid w:val="00A80476"/>
    <w:rsid w:val="00A8058D"/>
    <w:rsid w:val="00A80969"/>
    <w:rsid w:val="00A80C7C"/>
    <w:rsid w:val="00A81547"/>
    <w:rsid w:val="00A8307A"/>
    <w:rsid w:val="00A831A9"/>
    <w:rsid w:val="00A83567"/>
    <w:rsid w:val="00A83DA4"/>
    <w:rsid w:val="00A83F8E"/>
    <w:rsid w:val="00A856D6"/>
    <w:rsid w:val="00A85798"/>
    <w:rsid w:val="00A85C6A"/>
    <w:rsid w:val="00A85C85"/>
    <w:rsid w:val="00A8609D"/>
    <w:rsid w:val="00A86304"/>
    <w:rsid w:val="00A86BBF"/>
    <w:rsid w:val="00A86EA7"/>
    <w:rsid w:val="00A87598"/>
    <w:rsid w:val="00A875F7"/>
    <w:rsid w:val="00A87B04"/>
    <w:rsid w:val="00A911A0"/>
    <w:rsid w:val="00A91244"/>
    <w:rsid w:val="00A91774"/>
    <w:rsid w:val="00A91C7F"/>
    <w:rsid w:val="00A92066"/>
    <w:rsid w:val="00A92179"/>
    <w:rsid w:val="00A92776"/>
    <w:rsid w:val="00A93145"/>
    <w:rsid w:val="00A93181"/>
    <w:rsid w:val="00A9380F"/>
    <w:rsid w:val="00A938E6"/>
    <w:rsid w:val="00A93CCF"/>
    <w:rsid w:val="00A9416B"/>
    <w:rsid w:val="00A94523"/>
    <w:rsid w:val="00A94B5A"/>
    <w:rsid w:val="00A94E4E"/>
    <w:rsid w:val="00A95514"/>
    <w:rsid w:val="00A95634"/>
    <w:rsid w:val="00A95BD5"/>
    <w:rsid w:val="00A95C53"/>
    <w:rsid w:val="00A95DAB"/>
    <w:rsid w:val="00A95F21"/>
    <w:rsid w:val="00A95F65"/>
    <w:rsid w:val="00A95F6D"/>
    <w:rsid w:val="00A96097"/>
    <w:rsid w:val="00A96F78"/>
    <w:rsid w:val="00A96FBE"/>
    <w:rsid w:val="00A97274"/>
    <w:rsid w:val="00A979E1"/>
    <w:rsid w:val="00A97F3C"/>
    <w:rsid w:val="00AA04E6"/>
    <w:rsid w:val="00AA0B9E"/>
    <w:rsid w:val="00AA1087"/>
    <w:rsid w:val="00AA161A"/>
    <w:rsid w:val="00AA2094"/>
    <w:rsid w:val="00AA22E4"/>
    <w:rsid w:val="00AA247C"/>
    <w:rsid w:val="00AA25A9"/>
    <w:rsid w:val="00AA26D9"/>
    <w:rsid w:val="00AA278A"/>
    <w:rsid w:val="00AA2822"/>
    <w:rsid w:val="00AA3183"/>
    <w:rsid w:val="00AA3A2E"/>
    <w:rsid w:val="00AA3BBC"/>
    <w:rsid w:val="00AA3E55"/>
    <w:rsid w:val="00AA4605"/>
    <w:rsid w:val="00AA4927"/>
    <w:rsid w:val="00AA4C96"/>
    <w:rsid w:val="00AA5082"/>
    <w:rsid w:val="00AA51AD"/>
    <w:rsid w:val="00AA591E"/>
    <w:rsid w:val="00AA5C5C"/>
    <w:rsid w:val="00AA5D66"/>
    <w:rsid w:val="00AA5DF4"/>
    <w:rsid w:val="00AA6250"/>
    <w:rsid w:val="00AA6445"/>
    <w:rsid w:val="00AA65C9"/>
    <w:rsid w:val="00AA66CB"/>
    <w:rsid w:val="00AA7867"/>
    <w:rsid w:val="00AA7C6D"/>
    <w:rsid w:val="00AB01CB"/>
    <w:rsid w:val="00AB0347"/>
    <w:rsid w:val="00AB0552"/>
    <w:rsid w:val="00AB0A32"/>
    <w:rsid w:val="00AB0B90"/>
    <w:rsid w:val="00AB0E56"/>
    <w:rsid w:val="00AB0ED5"/>
    <w:rsid w:val="00AB18AC"/>
    <w:rsid w:val="00AB1BC9"/>
    <w:rsid w:val="00AB1EB7"/>
    <w:rsid w:val="00AB2D29"/>
    <w:rsid w:val="00AB395E"/>
    <w:rsid w:val="00AB3A15"/>
    <w:rsid w:val="00AB3EF2"/>
    <w:rsid w:val="00AB40C3"/>
    <w:rsid w:val="00AB4BE0"/>
    <w:rsid w:val="00AB4DED"/>
    <w:rsid w:val="00AB4ECC"/>
    <w:rsid w:val="00AB4F0F"/>
    <w:rsid w:val="00AB5127"/>
    <w:rsid w:val="00AB53E3"/>
    <w:rsid w:val="00AB57FD"/>
    <w:rsid w:val="00AB60E2"/>
    <w:rsid w:val="00AB6427"/>
    <w:rsid w:val="00AB6601"/>
    <w:rsid w:val="00AB674E"/>
    <w:rsid w:val="00AB6D79"/>
    <w:rsid w:val="00AB709E"/>
    <w:rsid w:val="00AB7396"/>
    <w:rsid w:val="00AB7806"/>
    <w:rsid w:val="00AB7843"/>
    <w:rsid w:val="00AB7B20"/>
    <w:rsid w:val="00AC02C1"/>
    <w:rsid w:val="00AC062A"/>
    <w:rsid w:val="00AC081A"/>
    <w:rsid w:val="00AC0AB6"/>
    <w:rsid w:val="00AC0FA4"/>
    <w:rsid w:val="00AC10AD"/>
    <w:rsid w:val="00AC17CD"/>
    <w:rsid w:val="00AC1E55"/>
    <w:rsid w:val="00AC3D05"/>
    <w:rsid w:val="00AC3D06"/>
    <w:rsid w:val="00AC427B"/>
    <w:rsid w:val="00AC429F"/>
    <w:rsid w:val="00AC4402"/>
    <w:rsid w:val="00AC447C"/>
    <w:rsid w:val="00AC4B05"/>
    <w:rsid w:val="00AC60B4"/>
    <w:rsid w:val="00AC610E"/>
    <w:rsid w:val="00AC61A4"/>
    <w:rsid w:val="00AC67B6"/>
    <w:rsid w:val="00AC6B41"/>
    <w:rsid w:val="00AC6C2F"/>
    <w:rsid w:val="00AC6E10"/>
    <w:rsid w:val="00AC7905"/>
    <w:rsid w:val="00AC7B2F"/>
    <w:rsid w:val="00AC7D98"/>
    <w:rsid w:val="00AD00C5"/>
    <w:rsid w:val="00AD044D"/>
    <w:rsid w:val="00AD05BB"/>
    <w:rsid w:val="00AD10D7"/>
    <w:rsid w:val="00AD1559"/>
    <w:rsid w:val="00AD165F"/>
    <w:rsid w:val="00AD24CB"/>
    <w:rsid w:val="00AD2794"/>
    <w:rsid w:val="00AD2DC5"/>
    <w:rsid w:val="00AD30B7"/>
    <w:rsid w:val="00AD31E4"/>
    <w:rsid w:val="00AD3455"/>
    <w:rsid w:val="00AD3CAD"/>
    <w:rsid w:val="00AD432E"/>
    <w:rsid w:val="00AD4CB6"/>
    <w:rsid w:val="00AD4E00"/>
    <w:rsid w:val="00AD573F"/>
    <w:rsid w:val="00AD5A99"/>
    <w:rsid w:val="00AD69FF"/>
    <w:rsid w:val="00AD702B"/>
    <w:rsid w:val="00AD7063"/>
    <w:rsid w:val="00AD706D"/>
    <w:rsid w:val="00AD72E6"/>
    <w:rsid w:val="00AD7370"/>
    <w:rsid w:val="00AD7675"/>
    <w:rsid w:val="00AD7C95"/>
    <w:rsid w:val="00AD7FCD"/>
    <w:rsid w:val="00AD86E7"/>
    <w:rsid w:val="00AE0C78"/>
    <w:rsid w:val="00AE0DCE"/>
    <w:rsid w:val="00AE1220"/>
    <w:rsid w:val="00AE2912"/>
    <w:rsid w:val="00AE2AB0"/>
    <w:rsid w:val="00AE2BED"/>
    <w:rsid w:val="00AE3228"/>
    <w:rsid w:val="00AE3DE1"/>
    <w:rsid w:val="00AE3EA0"/>
    <w:rsid w:val="00AE3EE4"/>
    <w:rsid w:val="00AE5439"/>
    <w:rsid w:val="00AE5BB3"/>
    <w:rsid w:val="00AE6016"/>
    <w:rsid w:val="00AE60E8"/>
    <w:rsid w:val="00AE616A"/>
    <w:rsid w:val="00AE61B2"/>
    <w:rsid w:val="00AE78D1"/>
    <w:rsid w:val="00AE7EF0"/>
    <w:rsid w:val="00AE7F89"/>
    <w:rsid w:val="00AE7FFC"/>
    <w:rsid w:val="00AF02F2"/>
    <w:rsid w:val="00AF0410"/>
    <w:rsid w:val="00AF06BF"/>
    <w:rsid w:val="00AF0E5F"/>
    <w:rsid w:val="00AF16A6"/>
    <w:rsid w:val="00AF16F2"/>
    <w:rsid w:val="00AF19C3"/>
    <w:rsid w:val="00AF2229"/>
    <w:rsid w:val="00AF28B9"/>
    <w:rsid w:val="00AF2D54"/>
    <w:rsid w:val="00AF2F3C"/>
    <w:rsid w:val="00AF3458"/>
    <w:rsid w:val="00AF3F7B"/>
    <w:rsid w:val="00AF42B4"/>
    <w:rsid w:val="00AF4B8A"/>
    <w:rsid w:val="00AF4F1B"/>
    <w:rsid w:val="00AF53AD"/>
    <w:rsid w:val="00AF59CD"/>
    <w:rsid w:val="00AF5EC6"/>
    <w:rsid w:val="00AF64F5"/>
    <w:rsid w:val="00AF6874"/>
    <w:rsid w:val="00AF6ABE"/>
    <w:rsid w:val="00AF6C38"/>
    <w:rsid w:val="00AF6E8A"/>
    <w:rsid w:val="00AF7213"/>
    <w:rsid w:val="00AF7771"/>
    <w:rsid w:val="00AF78EB"/>
    <w:rsid w:val="00AF79AD"/>
    <w:rsid w:val="00AF7D92"/>
    <w:rsid w:val="00AF7ECC"/>
    <w:rsid w:val="00B00334"/>
    <w:rsid w:val="00B0078E"/>
    <w:rsid w:val="00B011CC"/>
    <w:rsid w:val="00B01B3E"/>
    <w:rsid w:val="00B01C87"/>
    <w:rsid w:val="00B02548"/>
    <w:rsid w:val="00B03626"/>
    <w:rsid w:val="00B03F09"/>
    <w:rsid w:val="00B04004"/>
    <w:rsid w:val="00B04048"/>
    <w:rsid w:val="00B0411E"/>
    <w:rsid w:val="00B042DA"/>
    <w:rsid w:val="00B04F3D"/>
    <w:rsid w:val="00B05702"/>
    <w:rsid w:val="00B05D0C"/>
    <w:rsid w:val="00B0627C"/>
    <w:rsid w:val="00B06DD9"/>
    <w:rsid w:val="00B07293"/>
    <w:rsid w:val="00B077D5"/>
    <w:rsid w:val="00B07CD6"/>
    <w:rsid w:val="00B07E52"/>
    <w:rsid w:val="00B10010"/>
    <w:rsid w:val="00B10F76"/>
    <w:rsid w:val="00B11687"/>
    <w:rsid w:val="00B11775"/>
    <w:rsid w:val="00B11A53"/>
    <w:rsid w:val="00B11E8C"/>
    <w:rsid w:val="00B12788"/>
    <w:rsid w:val="00B12F75"/>
    <w:rsid w:val="00B13002"/>
    <w:rsid w:val="00B1302D"/>
    <w:rsid w:val="00B14034"/>
    <w:rsid w:val="00B14132"/>
    <w:rsid w:val="00B14761"/>
    <w:rsid w:val="00B1513F"/>
    <w:rsid w:val="00B1568F"/>
    <w:rsid w:val="00B15989"/>
    <w:rsid w:val="00B15B89"/>
    <w:rsid w:val="00B169B6"/>
    <w:rsid w:val="00B16CF0"/>
    <w:rsid w:val="00B16FDC"/>
    <w:rsid w:val="00B1746F"/>
    <w:rsid w:val="00B177D5"/>
    <w:rsid w:val="00B17E8D"/>
    <w:rsid w:val="00B17ECA"/>
    <w:rsid w:val="00B20725"/>
    <w:rsid w:val="00B2087E"/>
    <w:rsid w:val="00B20B11"/>
    <w:rsid w:val="00B20B94"/>
    <w:rsid w:val="00B2110D"/>
    <w:rsid w:val="00B21CE2"/>
    <w:rsid w:val="00B2224C"/>
    <w:rsid w:val="00B22690"/>
    <w:rsid w:val="00B22A61"/>
    <w:rsid w:val="00B2324B"/>
    <w:rsid w:val="00B23A22"/>
    <w:rsid w:val="00B23DC5"/>
    <w:rsid w:val="00B24276"/>
    <w:rsid w:val="00B248D0"/>
    <w:rsid w:val="00B25B9E"/>
    <w:rsid w:val="00B25DD1"/>
    <w:rsid w:val="00B2628E"/>
    <w:rsid w:val="00B2633B"/>
    <w:rsid w:val="00B26586"/>
    <w:rsid w:val="00B26610"/>
    <w:rsid w:val="00B266B0"/>
    <w:rsid w:val="00B26BAA"/>
    <w:rsid w:val="00B26D0A"/>
    <w:rsid w:val="00B270F3"/>
    <w:rsid w:val="00B27921"/>
    <w:rsid w:val="00B27AF1"/>
    <w:rsid w:val="00B3000E"/>
    <w:rsid w:val="00B3091E"/>
    <w:rsid w:val="00B30B8B"/>
    <w:rsid w:val="00B30C57"/>
    <w:rsid w:val="00B3122B"/>
    <w:rsid w:val="00B31787"/>
    <w:rsid w:val="00B320E7"/>
    <w:rsid w:val="00B326A8"/>
    <w:rsid w:val="00B3291A"/>
    <w:rsid w:val="00B329EB"/>
    <w:rsid w:val="00B32FCD"/>
    <w:rsid w:val="00B334C1"/>
    <w:rsid w:val="00B33508"/>
    <w:rsid w:val="00B33716"/>
    <w:rsid w:val="00B3377E"/>
    <w:rsid w:val="00B338E0"/>
    <w:rsid w:val="00B33BEE"/>
    <w:rsid w:val="00B341F4"/>
    <w:rsid w:val="00B34E63"/>
    <w:rsid w:val="00B352CE"/>
    <w:rsid w:val="00B35497"/>
    <w:rsid w:val="00B35DA4"/>
    <w:rsid w:val="00B366B2"/>
    <w:rsid w:val="00B36F27"/>
    <w:rsid w:val="00B376AD"/>
    <w:rsid w:val="00B37831"/>
    <w:rsid w:val="00B40197"/>
    <w:rsid w:val="00B40A96"/>
    <w:rsid w:val="00B41456"/>
    <w:rsid w:val="00B4184B"/>
    <w:rsid w:val="00B41858"/>
    <w:rsid w:val="00B4191F"/>
    <w:rsid w:val="00B41C1E"/>
    <w:rsid w:val="00B41F35"/>
    <w:rsid w:val="00B41F92"/>
    <w:rsid w:val="00B422A7"/>
    <w:rsid w:val="00B42376"/>
    <w:rsid w:val="00B42948"/>
    <w:rsid w:val="00B42A32"/>
    <w:rsid w:val="00B42DAB"/>
    <w:rsid w:val="00B42FA6"/>
    <w:rsid w:val="00B4399E"/>
    <w:rsid w:val="00B43A16"/>
    <w:rsid w:val="00B43DFE"/>
    <w:rsid w:val="00B442DC"/>
    <w:rsid w:val="00B45C3C"/>
    <w:rsid w:val="00B45CE1"/>
    <w:rsid w:val="00B4624E"/>
    <w:rsid w:val="00B46544"/>
    <w:rsid w:val="00B46920"/>
    <w:rsid w:val="00B46A75"/>
    <w:rsid w:val="00B470A7"/>
    <w:rsid w:val="00B476AF"/>
    <w:rsid w:val="00B500CD"/>
    <w:rsid w:val="00B5030F"/>
    <w:rsid w:val="00B5109D"/>
    <w:rsid w:val="00B512BF"/>
    <w:rsid w:val="00B5239C"/>
    <w:rsid w:val="00B52A59"/>
    <w:rsid w:val="00B52F0C"/>
    <w:rsid w:val="00B53259"/>
    <w:rsid w:val="00B5370A"/>
    <w:rsid w:val="00B53893"/>
    <w:rsid w:val="00B538C4"/>
    <w:rsid w:val="00B539E3"/>
    <w:rsid w:val="00B53A1D"/>
    <w:rsid w:val="00B53DB2"/>
    <w:rsid w:val="00B543D8"/>
    <w:rsid w:val="00B54512"/>
    <w:rsid w:val="00B545C7"/>
    <w:rsid w:val="00B548C2"/>
    <w:rsid w:val="00B54B6A"/>
    <w:rsid w:val="00B55428"/>
    <w:rsid w:val="00B556C5"/>
    <w:rsid w:val="00B561C3"/>
    <w:rsid w:val="00B562AF"/>
    <w:rsid w:val="00B56E51"/>
    <w:rsid w:val="00B570BF"/>
    <w:rsid w:val="00B5789A"/>
    <w:rsid w:val="00B578E9"/>
    <w:rsid w:val="00B60471"/>
    <w:rsid w:val="00B60B8F"/>
    <w:rsid w:val="00B61138"/>
    <w:rsid w:val="00B62561"/>
    <w:rsid w:val="00B625CC"/>
    <w:rsid w:val="00B629AD"/>
    <w:rsid w:val="00B62A7F"/>
    <w:rsid w:val="00B62D97"/>
    <w:rsid w:val="00B62EB7"/>
    <w:rsid w:val="00B62F90"/>
    <w:rsid w:val="00B63337"/>
    <w:rsid w:val="00B6369F"/>
    <w:rsid w:val="00B639D7"/>
    <w:rsid w:val="00B64582"/>
    <w:rsid w:val="00B648A4"/>
    <w:rsid w:val="00B64AA1"/>
    <w:rsid w:val="00B64AA7"/>
    <w:rsid w:val="00B64CC1"/>
    <w:rsid w:val="00B65452"/>
    <w:rsid w:val="00B65CA7"/>
    <w:rsid w:val="00B6622E"/>
    <w:rsid w:val="00B664BF"/>
    <w:rsid w:val="00B66594"/>
    <w:rsid w:val="00B66B0E"/>
    <w:rsid w:val="00B66C7C"/>
    <w:rsid w:val="00B66F21"/>
    <w:rsid w:val="00B672FD"/>
    <w:rsid w:val="00B6764F"/>
    <w:rsid w:val="00B676EC"/>
    <w:rsid w:val="00B67805"/>
    <w:rsid w:val="00B70106"/>
    <w:rsid w:val="00B701FE"/>
    <w:rsid w:val="00B7057D"/>
    <w:rsid w:val="00B70CCF"/>
    <w:rsid w:val="00B70CF1"/>
    <w:rsid w:val="00B70EE9"/>
    <w:rsid w:val="00B70F63"/>
    <w:rsid w:val="00B71BAC"/>
    <w:rsid w:val="00B71CA8"/>
    <w:rsid w:val="00B721CD"/>
    <w:rsid w:val="00B7267A"/>
    <w:rsid w:val="00B726FF"/>
    <w:rsid w:val="00B7284D"/>
    <w:rsid w:val="00B72A5B"/>
    <w:rsid w:val="00B72AA4"/>
    <w:rsid w:val="00B72B16"/>
    <w:rsid w:val="00B72CD4"/>
    <w:rsid w:val="00B73060"/>
    <w:rsid w:val="00B73073"/>
    <w:rsid w:val="00B73670"/>
    <w:rsid w:val="00B73F2C"/>
    <w:rsid w:val="00B75454"/>
    <w:rsid w:val="00B761B7"/>
    <w:rsid w:val="00B76BCD"/>
    <w:rsid w:val="00B76EE9"/>
    <w:rsid w:val="00B77231"/>
    <w:rsid w:val="00B77611"/>
    <w:rsid w:val="00B77880"/>
    <w:rsid w:val="00B779C7"/>
    <w:rsid w:val="00B77B84"/>
    <w:rsid w:val="00B77CAB"/>
    <w:rsid w:val="00B80004"/>
    <w:rsid w:val="00B80027"/>
    <w:rsid w:val="00B801D4"/>
    <w:rsid w:val="00B8099D"/>
    <w:rsid w:val="00B80D90"/>
    <w:rsid w:val="00B80F3C"/>
    <w:rsid w:val="00B81DF7"/>
    <w:rsid w:val="00B81FDC"/>
    <w:rsid w:val="00B82613"/>
    <w:rsid w:val="00B828B5"/>
    <w:rsid w:val="00B82ED8"/>
    <w:rsid w:val="00B82F2F"/>
    <w:rsid w:val="00B83E1B"/>
    <w:rsid w:val="00B845D0"/>
    <w:rsid w:val="00B84619"/>
    <w:rsid w:val="00B84766"/>
    <w:rsid w:val="00B84A80"/>
    <w:rsid w:val="00B84E6A"/>
    <w:rsid w:val="00B84E9C"/>
    <w:rsid w:val="00B853C4"/>
    <w:rsid w:val="00B85522"/>
    <w:rsid w:val="00B85576"/>
    <w:rsid w:val="00B85A42"/>
    <w:rsid w:val="00B85B92"/>
    <w:rsid w:val="00B85CEF"/>
    <w:rsid w:val="00B862E0"/>
    <w:rsid w:val="00B877DD"/>
    <w:rsid w:val="00B87CC3"/>
    <w:rsid w:val="00B90E2A"/>
    <w:rsid w:val="00B90F2A"/>
    <w:rsid w:val="00B910A6"/>
    <w:rsid w:val="00B91182"/>
    <w:rsid w:val="00B9198D"/>
    <w:rsid w:val="00B91AEF"/>
    <w:rsid w:val="00B91DB7"/>
    <w:rsid w:val="00B921F3"/>
    <w:rsid w:val="00B92D25"/>
    <w:rsid w:val="00B93008"/>
    <w:rsid w:val="00B9341D"/>
    <w:rsid w:val="00B9406D"/>
    <w:rsid w:val="00B9442B"/>
    <w:rsid w:val="00B944D9"/>
    <w:rsid w:val="00B94BA7"/>
    <w:rsid w:val="00B94E0E"/>
    <w:rsid w:val="00B9515B"/>
    <w:rsid w:val="00B958AE"/>
    <w:rsid w:val="00B958F3"/>
    <w:rsid w:val="00B95DC2"/>
    <w:rsid w:val="00B96413"/>
    <w:rsid w:val="00B96B80"/>
    <w:rsid w:val="00B97CA3"/>
    <w:rsid w:val="00BA0060"/>
    <w:rsid w:val="00BA1104"/>
    <w:rsid w:val="00BA167C"/>
    <w:rsid w:val="00BA1872"/>
    <w:rsid w:val="00BA1913"/>
    <w:rsid w:val="00BA27C9"/>
    <w:rsid w:val="00BA2BC9"/>
    <w:rsid w:val="00BA405C"/>
    <w:rsid w:val="00BA4291"/>
    <w:rsid w:val="00BA4641"/>
    <w:rsid w:val="00BA4A54"/>
    <w:rsid w:val="00BA4B17"/>
    <w:rsid w:val="00BA4C3A"/>
    <w:rsid w:val="00BA4DF6"/>
    <w:rsid w:val="00BA50E6"/>
    <w:rsid w:val="00BA50EB"/>
    <w:rsid w:val="00BA5429"/>
    <w:rsid w:val="00BA5BDE"/>
    <w:rsid w:val="00BA5DDE"/>
    <w:rsid w:val="00BA5FDB"/>
    <w:rsid w:val="00BA6283"/>
    <w:rsid w:val="00BA66FB"/>
    <w:rsid w:val="00BA6BAF"/>
    <w:rsid w:val="00BA6CE2"/>
    <w:rsid w:val="00BA6ED1"/>
    <w:rsid w:val="00BA7205"/>
    <w:rsid w:val="00BA76A9"/>
    <w:rsid w:val="00BA79C5"/>
    <w:rsid w:val="00BA7E3F"/>
    <w:rsid w:val="00BA7E48"/>
    <w:rsid w:val="00BA7EA2"/>
    <w:rsid w:val="00BB0094"/>
    <w:rsid w:val="00BB0595"/>
    <w:rsid w:val="00BB153F"/>
    <w:rsid w:val="00BB1591"/>
    <w:rsid w:val="00BB1AE2"/>
    <w:rsid w:val="00BB1C06"/>
    <w:rsid w:val="00BB20AB"/>
    <w:rsid w:val="00BB213A"/>
    <w:rsid w:val="00BB24BA"/>
    <w:rsid w:val="00BB25B8"/>
    <w:rsid w:val="00BB2F36"/>
    <w:rsid w:val="00BB3097"/>
    <w:rsid w:val="00BB3432"/>
    <w:rsid w:val="00BB38F5"/>
    <w:rsid w:val="00BB3E2B"/>
    <w:rsid w:val="00BB3F2B"/>
    <w:rsid w:val="00BB4244"/>
    <w:rsid w:val="00BB492C"/>
    <w:rsid w:val="00BB50F2"/>
    <w:rsid w:val="00BB53DA"/>
    <w:rsid w:val="00BB5D1C"/>
    <w:rsid w:val="00BB6216"/>
    <w:rsid w:val="00BB6552"/>
    <w:rsid w:val="00BB65E0"/>
    <w:rsid w:val="00BB6826"/>
    <w:rsid w:val="00BB6B9B"/>
    <w:rsid w:val="00BB6F45"/>
    <w:rsid w:val="00BB754F"/>
    <w:rsid w:val="00BC0058"/>
    <w:rsid w:val="00BC07D4"/>
    <w:rsid w:val="00BC0A5D"/>
    <w:rsid w:val="00BC0BE3"/>
    <w:rsid w:val="00BC0EA3"/>
    <w:rsid w:val="00BC10B2"/>
    <w:rsid w:val="00BC1468"/>
    <w:rsid w:val="00BC1AD9"/>
    <w:rsid w:val="00BC1B7A"/>
    <w:rsid w:val="00BC2D2E"/>
    <w:rsid w:val="00BC2F7D"/>
    <w:rsid w:val="00BC31C8"/>
    <w:rsid w:val="00BC3257"/>
    <w:rsid w:val="00BC32E7"/>
    <w:rsid w:val="00BC360B"/>
    <w:rsid w:val="00BC37DE"/>
    <w:rsid w:val="00BC4D35"/>
    <w:rsid w:val="00BC4F81"/>
    <w:rsid w:val="00BC5670"/>
    <w:rsid w:val="00BC58B9"/>
    <w:rsid w:val="00BC5D69"/>
    <w:rsid w:val="00BC5DF5"/>
    <w:rsid w:val="00BC60AC"/>
    <w:rsid w:val="00BC6461"/>
    <w:rsid w:val="00BC676D"/>
    <w:rsid w:val="00BC6858"/>
    <w:rsid w:val="00BC6E00"/>
    <w:rsid w:val="00BC78D4"/>
    <w:rsid w:val="00BD0DFF"/>
    <w:rsid w:val="00BD0EBC"/>
    <w:rsid w:val="00BD143F"/>
    <w:rsid w:val="00BD1781"/>
    <w:rsid w:val="00BD1E9D"/>
    <w:rsid w:val="00BD2744"/>
    <w:rsid w:val="00BD2F13"/>
    <w:rsid w:val="00BD3056"/>
    <w:rsid w:val="00BD3846"/>
    <w:rsid w:val="00BD3DD3"/>
    <w:rsid w:val="00BD3E68"/>
    <w:rsid w:val="00BD4E05"/>
    <w:rsid w:val="00BD4EEA"/>
    <w:rsid w:val="00BD5200"/>
    <w:rsid w:val="00BD5951"/>
    <w:rsid w:val="00BD598A"/>
    <w:rsid w:val="00BD5C68"/>
    <w:rsid w:val="00BD5C7A"/>
    <w:rsid w:val="00BD6363"/>
    <w:rsid w:val="00BD6F05"/>
    <w:rsid w:val="00BD723F"/>
    <w:rsid w:val="00BD75B4"/>
    <w:rsid w:val="00BD7B41"/>
    <w:rsid w:val="00BD7D14"/>
    <w:rsid w:val="00BD7DBD"/>
    <w:rsid w:val="00BE02B4"/>
    <w:rsid w:val="00BE06D0"/>
    <w:rsid w:val="00BE08DC"/>
    <w:rsid w:val="00BE0D3C"/>
    <w:rsid w:val="00BE19D0"/>
    <w:rsid w:val="00BE2036"/>
    <w:rsid w:val="00BE28C1"/>
    <w:rsid w:val="00BE2ACB"/>
    <w:rsid w:val="00BE3492"/>
    <w:rsid w:val="00BE3B62"/>
    <w:rsid w:val="00BE40FD"/>
    <w:rsid w:val="00BE432C"/>
    <w:rsid w:val="00BE48BF"/>
    <w:rsid w:val="00BE4EC9"/>
    <w:rsid w:val="00BE50AE"/>
    <w:rsid w:val="00BE51A5"/>
    <w:rsid w:val="00BE545C"/>
    <w:rsid w:val="00BE608B"/>
    <w:rsid w:val="00BE631E"/>
    <w:rsid w:val="00BE6BEC"/>
    <w:rsid w:val="00BE71A7"/>
    <w:rsid w:val="00BF01D9"/>
    <w:rsid w:val="00BF01F8"/>
    <w:rsid w:val="00BF0871"/>
    <w:rsid w:val="00BF09F0"/>
    <w:rsid w:val="00BF0CCF"/>
    <w:rsid w:val="00BF0FC5"/>
    <w:rsid w:val="00BF10BC"/>
    <w:rsid w:val="00BF122A"/>
    <w:rsid w:val="00BF1879"/>
    <w:rsid w:val="00BF21AC"/>
    <w:rsid w:val="00BF2E53"/>
    <w:rsid w:val="00BF2F67"/>
    <w:rsid w:val="00BF352A"/>
    <w:rsid w:val="00BF3669"/>
    <w:rsid w:val="00BF3C0D"/>
    <w:rsid w:val="00BF3E8F"/>
    <w:rsid w:val="00BF4029"/>
    <w:rsid w:val="00BF4BC7"/>
    <w:rsid w:val="00BF5038"/>
    <w:rsid w:val="00BF539D"/>
    <w:rsid w:val="00BF6252"/>
    <w:rsid w:val="00BF6E82"/>
    <w:rsid w:val="00BF711C"/>
    <w:rsid w:val="00BF748E"/>
    <w:rsid w:val="00BF789B"/>
    <w:rsid w:val="00BF7C3C"/>
    <w:rsid w:val="00C00482"/>
    <w:rsid w:val="00C004AD"/>
    <w:rsid w:val="00C004C0"/>
    <w:rsid w:val="00C00B54"/>
    <w:rsid w:val="00C00B6C"/>
    <w:rsid w:val="00C01901"/>
    <w:rsid w:val="00C0219C"/>
    <w:rsid w:val="00C02542"/>
    <w:rsid w:val="00C03309"/>
    <w:rsid w:val="00C037E0"/>
    <w:rsid w:val="00C03853"/>
    <w:rsid w:val="00C0395F"/>
    <w:rsid w:val="00C03B6B"/>
    <w:rsid w:val="00C03E8A"/>
    <w:rsid w:val="00C04112"/>
    <w:rsid w:val="00C04B14"/>
    <w:rsid w:val="00C04E8D"/>
    <w:rsid w:val="00C04F47"/>
    <w:rsid w:val="00C0506E"/>
    <w:rsid w:val="00C0508E"/>
    <w:rsid w:val="00C052E5"/>
    <w:rsid w:val="00C05A3E"/>
    <w:rsid w:val="00C05E5E"/>
    <w:rsid w:val="00C0620A"/>
    <w:rsid w:val="00C065E2"/>
    <w:rsid w:val="00C072FE"/>
    <w:rsid w:val="00C07B34"/>
    <w:rsid w:val="00C07FC1"/>
    <w:rsid w:val="00C11659"/>
    <w:rsid w:val="00C11749"/>
    <w:rsid w:val="00C11ADE"/>
    <w:rsid w:val="00C11ADF"/>
    <w:rsid w:val="00C126E0"/>
    <w:rsid w:val="00C128BC"/>
    <w:rsid w:val="00C12C2B"/>
    <w:rsid w:val="00C12CA9"/>
    <w:rsid w:val="00C12DA4"/>
    <w:rsid w:val="00C12E39"/>
    <w:rsid w:val="00C13C48"/>
    <w:rsid w:val="00C13D47"/>
    <w:rsid w:val="00C14164"/>
    <w:rsid w:val="00C146AA"/>
    <w:rsid w:val="00C14C53"/>
    <w:rsid w:val="00C1571F"/>
    <w:rsid w:val="00C15D8C"/>
    <w:rsid w:val="00C15D8E"/>
    <w:rsid w:val="00C16CF9"/>
    <w:rsid w:val="00C17012"/>
    <w:rsid w:val="00C1720C"/>
    <w:rsid w:val="00C1752F"/>
    <w:rsid w:val="00C1788A"/>
    <w:rsid w:val="00C178FB"/>
    <w:rsid w:val="00C17C8E"/>
    <w:rsid w:val="00C17DF9"/>
    <w:rsid w:val="00C17E1C"/>
    <w:rsid w:val="00C201CD"/>
    <w:rsid w:val="00C201EB"/>
    <w:rsid w:val="00C202E4"/>
    <w:rsid w:val="00C20ACC"/>
    <w:rsid w:val="00C20BD9"/>
    <w:rsid w:val="00C20FB2"/>
    <w:rsid w:val="00C2236B"/>
    <w:rsid w:val="00C22B28"/>
    <w:rsid w:val="00C22FD2"/>
    <w:rsid w:val="00C23092"/>
    <w:rsid w:val="00C236B3"/>
    <w:rsid w:val="00C24058"/>
    <w:rsid w:val="00C24893"/>
    <w:rsid w:val="00C24C99"/>
    <w:rsid w:val="00C25054"/>
    <w:rsid w:val="00C257B7"/>
    <w:rsid w:val="00C25B5B"/>
    <w:rsid w:val="00C25C92"/>
    <w:rsid w:val="00C26688"/>
    <w:rsid w:val="00C26F8F"/>
    <w:rsid w:val="00C26F92"/>
    <w:rsid w:val="00C27170"/>
    <w:rsid w:val="00C2720D"/>
    <w:rsid w:val="00C272E8"/>
    <w:rsid w:val="00C2749F"/>
    <w:rsid w:val="00C2768A"/>
    <w:rsid w:val="00C27AC7"/>
    <w:rsid w:val="00C27AF2"/>
    <w:rsid w:val="00C27B98"/>
    <w:rsid w:val="00C30064"/>
    <w:rsid w:val="00C301A9"/>
    <w:rsid w:val="00C307EF"/>
    <w:rsid w:val="00C30ABC"/>
    <w:rsid w:val="00C30B60"/>
    <w:rsid w:val="00C3104C"/>
    <w:rsid w:val="00C3194D"/>
    <w:rsid w:val="00C31D14"/>
    <w:rsid w:val="00C31FAA"/>
    <w:rsid w:val="00C33359"/>
    <w:rsid w:val="00C333FD"/>
    <w:rsid w:val="00C33556"/>
    <w:rsid w:val="00C33816"/>
    <w:rsid w:val="00C33974"/>
    <w:rsid w:val="00C33C12"/>
    <w:rsid w:val="00C34313"/>
    <w:rsid w:val="00C348D6"/>
    <w:rsid w:val="00C3504C"/>
    <w:rsid w:val="00C351FE"/>
    <w:rsid w:val="00C365E7"/>
    <w:rsid w:val="00C36E34"/>
    <w:rsid w:val="00C37D70"/>
    <w:rsid w:val="00C37EBD"/>
    <w:rsid w:val="00C40388"/>
    <w:rsid w:val="00C404D7"/>
    <w:rsid w:val="00C404EE"/>
    <w:rsid w:val="00C4171B"/>
    <w:rsid w:val="00C41DEC"/>
    <w:rsid w:val="00C41F5D"/>
    <w:rsid w:val="00C42689"/>
    <w:rsid w:val="00C42988"/>
    <w:rsid w:val="00C42AD8"/>
    <w:rsid w:val="00C42B71"/>
    <w:rsid w:val="00C42BD4"/>
    <w:rsid w:val="00C42C80"/>
    <w:rsid w:val="00C42D84"/>
    <w:rsid w:val="00C4306E"/>
    <w:rsid w:val="00C4372B"/>
    <w:rsid w:val="00C43770"/>
    <w:rsid w:val="00C437EF"/>
    <w:rsid w:val="00C43C9A"/>
    <w:rsid w:val="00C43FF0"/>
    <w:rsid w:val="00C44124"/>
    <w:rsid w:val="00C4417F"/>
    <w:rsid w:val="00C442B9"/>
    <w:rsid w:val="00C44641"/>
    <w:rsid w:val="00C44F57"/>
    <w:rsid w:val="00C455B8"/>
    <w:rsid w:val="00C457EB"/>
    <w:rsid w:val="00C45EF5"/>
    <w:rsid w:val="00C460BE"/>
    <w:rsid w:val="00C46B7E"/>
    <w:rsid w:val="00C46BC0"/>
    <w:rsid w:val="00C474D6"/>
    <w:rsid w:val="00C47538"/>
    <w:rsid w:val="00C47772"/>
    <w:rsid w:val="00C47C24"/>
    <w:rsid w:val="00C50046"/>
    <w:rsid w:val="00C5099B"/>
    <w:rsid w:val="00C50A4E"/>
    <w:rsid w:val="00C5130C"/>
    <w:rsid w:val="00C5195A"/>
    <w:rsid w:val="00C51C37"/>
    <w:rsid w:val="00C520B1"/>
    <w:rsid w:val="00C522D6"/>
    <w:rsid w:val="00C52C52"/>
    <w:rsid w:val="00C53417"/>
    <w:rsid w:val="00C539E8"/>
    <w:rsid w:val="00C53CEB"/>
    <w:rsid w:val="00C54020"/>
    <w:rsid w:val="00C5406F"/>
    <w:rsid w:val="00C542F9"/>
    <w:rsid w:val="00C544F5"/>
    <w:rsid w:val="00C545C5"/>
    <w:rsid w:val="00C54817"/>
    <w:rsid w:val="00C54F35"/>
    <w:rsid w:val="00C54FED"/>
    <w:rsid w:val="00C5518C"/>
    <w:rsid w:val="00C552D4"/>
    <w:rsid w:val="00C552F4"/>
    <w:rsid w:val="00C55311"/>
    <w:rsid w:val="00C55566"/>
    <w:rsid w:val="00C55981"/>
    <w:rsid w:val="00C55EB9"/>
    <w:rsid w:val="00C566FD"/>
    <w:rsid w:val="00C56C73"/>
    <w:rsid w:val="00C57020"/>
    <w:rsid w:val="00C5780B"/>
    <w:rsid w:val="00C57A01"/>
    <w:rsid w:val="00C57A2D"/>
    <w:rsid w:val="00C57D00"/>
    <w:rsid w:val="00C57E3C"/>
    <w:rsid w:val="00C604A8"/>
    <w:rsid w:val="00C60B07"/>
    <w:rsid w:val="00C60B71"/>
    <w:rsid w:val="00C60F29"/>
    <w:rsid w:val="00C6117A"/>
    <w:rsid w:val="00C61D4B"/>
    <w:rsid w:val="00C6277F"/>
    <w:rsid w:val="00C6298E"/>
    <w:rsid w:val="00C62B0A"/>
    <w:rsid w:val="00C6377E"/>
    <w:rsid w:val="00C63980"/>
    <w:rsid w:val="00C63B79"/>
    <w:rsid w:val="00C63C52"/>
    <w:rsid w:val="00C63C95"/>
    <w:rsid w:val="00C63F08"/>
    <w:rsid w:val="00C64825"/>
    <w:rsid w:val="00C6519C"/>
    <w:rsid w:val="00C6528C"/>
    <w:rsid w:val="00C66001"/>
    <w:rsid w:val="00C661E8"/>
    <w:rsid w:val="00C66417"/>
    <w:rsid w:val="00C66789"/>
    <w:rsid w:val="00C669C6"/>
    <w:rsid w:val="00C66D05"/>
    <w:rsid w:val="00C6756F"/>
    <w:rsid w:val="00C6791E"/>
    <w:rsid w:val="00C67C9C"/>
    <w:rsid w:val="00C67E40"/>
    <w:rsid w:val="00C70038"/>
    <w:rsid w:val="00C70084"/>
    <w:rsid w:val="00C70519"/>
    <w:rsid w:val="00C70847"/>
    <w:rsid w:val="00C7090B"/>
    <w:rsid w:val="00C71C2B"/>
    <w:rsid w:val="00C71E44"/>
    <w:rsid w:val="00C71EB7"/>
    <w:rsid w:val="00C7235B"/>
    <w:rsid w:val="00C72854"/>
    <w:rsid w:val="00C72E18"/>
    <w:rsid w:val="00C72F96"/>
    <w:rsid w:val="00C731AD"/>
    <w:rsid w:val="00C73417"/>
    <w:rsid w:val="00C7380B"/>
    <w:rsid w:val="00C73C02"/>
    <w:rsid w:val="00C74317"/>
    <w:rsid w:val="00C74421"/>
    <w:rsid w:val="00C745B3"/>
    <w:rsid w:val="00C75192"/>
    <w:rsid w:val="00C7540A"/>
    <w:rsid w:val="00C75F2F"/>
    <w:rsid w:val="00C75FEE"/>
    <w:rsid w:val="00C768B9"/>
    <w:rsid w:val="00C76F1D"/>
    <w:rsid w:val="00C77937"/>
    <w:rsid w:val="00C77CA4"/>
    <w:rsid w:val="00C77D26"/>
    <w:rsid w:val="00C80029"/>
    <w:rsid w:val="00C80B6D"/>
    <w:rsid w:val="00C80BDF"/>
    <w:rsid w:val="00C815DF"/>
    <w:rsid w:val="00C81819"/>
    <w:rsid w:val="00C81DE3"/>
    <w:rsid w:val="00C820D2"/>
    <w:rsid w:val="00C825A0"/>
    <w:rsid w:val="00C827F9"/>
    <w:rsid w:val="00C828C3"/>
    <w:rsid w:val="00C82998"/>
    <w:rsid w:val="00C82E22"/>
    <w:rsid w:val="00C82FEE"/>
    <w:rsid w:val="00C83D9C"/>
    <w:rsid w:val="00C848E3"/>
    <w:rsid w:val="00C84D39"/>
    <w:rsid w:val="00C85277"/>
    <w:rsid w:val="00C85806"/>
    <w:rsid w:val="00C85CFA"/>
    <w:rsid w:val="00C85D76"/>
    <w:rsid w:val="00C86EB8"/>
    <w:rsid w:val="00C873AC"/>
    <w:rsid w:val="00C8759E"/>
    <w:rsid w:val="00C8775C"/>
    <w:rsid w:val="00C8779C"/>
    <w:rsid w:val="00C87DA6"/>
    <w:rsid w:val="00C87F51"/>
    <w:rsid w:val="00C90203"/>
    <w:rsid w:val="00C9055D"/>
    <w:rsid w:val="00C91857"/>
    <w:rsid w:val="00C9213B"/>
    <w:rsid w:val="00C921CD"/>
    <w:rsid w:val="00C92B69"/>
    <w:rsid w:val="00C93462"/>
    <w:rsid w:val="00C936F3"/>
    <w:rsid w:val="00C93C1F"/>
    <w:rsid w:val="00C94384"/>
    <w:rsid w:val="00C94A34"/>
    <w:rsid w:val="00C94C2B"/>
    <w:rsid w:val="00C94F73"/>
    <w:rsid w:val="00C95609"/>
    <w:rsid w:val="00C96F79"/>
    <w:rsid w:val="00C97CF9"/>
    <w:rsid w:val="00CA004C"/>
    <w:rsid w:val="00CA17DD"/>
    <w:rsid w:val="00CA1863"/>
    <w:rsid w:val="00CA1941"/>
    <w:rsid w:val="00CA23D5"/>
    <w:rsid w:val="00CA2542"/>
    <w:rsid w:val="00CA26CE"/>
    <w:rsid w:val="00CA33FD"/>
    <w:rsid w:val="00CA391D"/>
    <w:rsid w:val="00CA3ACD"/>
    <w:rsid w:val="00CA44F2"/>
    <w:rsid w:val="00CA457E"/>
    <w:rsid w:val="00CA48E3"/>
    <w:rsid w:val="00CA4B6A"/>
    <w:rsid w:val="00CA4D5D"/>
    <w:rsid w:val="00CA4F8B"/>
    <w:rsid w:val="00CA5235"/>
    <w:rsid w:val="00CA5445"/>
    <w:rsid w:val="00CA5761"/>
    <w:rsid w:val="00CA6417"/>
    <w:rsid w:val="00CA68B3"/>
    <w:rsid w:val="00CA6C50"/>
    <w:rsid w:val="00CA7488"/>
    <w:rsid w:val="00CA778E"/>
    <w:rsid w:val="00CA77B3"/>
    <w:rsid w:val="00CA7B03"/>
    <w:rsid w:val="00CB0007"/>
    <w:rsid w:val="00CB00A6"/>
    <w:rsid w:val="00CB09DA"/>
    <w:rsid w:val="00CB0BD9"/>
    <w:rsid w:val="00CB1877"/>
    <w:rsid w:val="00CB1BAE"/>
    <w:rsid w:val="00CB1CAC"/>
    <w:rsid w:val="00CB1DE8"/>
    <w:rsid w:val="00CB1E3B"/>
    <w:rsid w:val="00CB1F1D"/>
    <w:rsid w:val="00CB2794"/>
    <w:rsid w:val="00CB2A71"/>
    <w:rsid w:val="00CB2BE9"/>
    <w:rsid w:val="00CB36E7"/>
    <w:rsid w:val="00CB608F"/>
    <w:rsid w:val="00CB6795"/>
    <w:rsid w:val="00CB694C"/>
    <w:rsid w:val="00CB71F8"/>
    <w:rsid w:val="00CB7284"/>
    <w:rsid w:val="00CB7603"/>
    <w:rsid w:val="00CC11E6"/>
    <w:rsid w:val="00CC17EA"/>
    <w:rsid w:val="00CC180A"/>
    <w:rsid w:val="00CC19DE"/>
    <w:rsid w:val="00CC1F3A"/>
    <w:rsid w:val="00CC26DB"/>
    <w:rsid w:val="00CC275C"/>
    <w:rsid w:val="00CC300C"/>
    <w:rsid w:val="00CC32B2"/>
    <w:rsid w:val="00CC35AE"/>
    <w:rsid w:val="00CC3A26"/>
    <w:rsid w:val="00CC3B5D"/>
    <w:rsid w:val="00CC3DAA"/>
    <w:rsid w:val="00CC4C2C"/>
    <w:rsid w:val="00CC5057"/>
    <w:rsid w:val="00CC5589"/>
    <w:rsid w:val="00CC5B11"/>
    <w:rsid w:val="00CC6046"/>
    <w:rsid w:val="00CC6080"/>
    <w:rsid w:val="00CC6180"/>
    <w:rsid w:val="00CC640F"/>
    <w:rsid w:val="00CC64E4"/>
    <w:rsid w:val="00CC6961"/>
    <w:rsid w:val="00CC6A5E"/>
    <w:rsid w:val="00CC760B"/>
    <w:rsid w:val="00CC7843"/>
    <w:rsid w:val="00CC7E1A"/>
    <w:rsid w:val="00CD078F"/>
    <w:rsid w:val="00CD1004"/>
    <w:rsid w:val="00CD106F"/>
    <w:rsid w:val="00CD121E"/>
    <w:rsid w:val="00CD12C5"/>
    <w:rsid w:val="00CD1338"/>
    <w:rsid w:val="00CD166C"/>
    <w:rsid w:val="00CD16C6"/>
    <w:rsid w:val="00CD185D"/>
    <w:rsid w:val="00CD2727"/>
    <w:rsid w:val="00CD28F0"/>
    <w:rsid w:val="00CD2BF2"/>
    <w:rsid w:val="00CD3158"/>
    <w:rsid w:val="00CD3598"/>
    <w:rsid w:val="00CD3C39"/>
    <w:rsid w:val="00CD3ED8"/>
    <w:rsid w:val="00CD3FBF"/>
    <w:rsid w:val="00CD497A"/>
    <w:rsid w:val="00CD5653"/>
    <w:rsid w:val="00CD5AB8"/>
    <w:rsid w:val="00CD60B1"/>
    <w:rsid w:val="00CD6555"/>
    <w:rsid w:val="00CD71AF"/>
    <w:rsid w:val="00CD720C"/>
    <w:rsid w:val="00CD75E5"/>
    <w:rsid w:val="00CD761D"/>
    <w:rsid w:val="00CD76B5"/>
    <w:rsid w:val="00CD7785"/>
    <w:rsid w:val="00CD78B9"/>
    <w:rsid w:val="00CE1B49"/>
    <w:rsid w:val="00CE1CA5"/>
    <w:rsid w:val="00CE1D01"/>
    <w:rsid w:val="00CE1E1E"/>
    <w:rsid w:val="00CE2323"/>
    <w:rsid w:val="00CE2346"/>
    <w:rsid w:val="00CE2368"/>
    <w:rsid w:val="00CE2CDA"/>
    <w:rsid w:val="00CE30A4"/>
    <w:rsid w:val="00CE3A59"/>
    <w:rsid w:val="00CE4323"/>
    <w:rsid w:val="00CE61AE"/>
    <w:rsid w:val="00CE6F0F"/>
    <w:rsid w:val="00CE7115"/>
    <w:rsid w:val="00CE73B4"/>
    <w:rsid w:val="00CE79FE"/>
    <w:rsid w:val="00CE7D66"/>
    <w:rsid w:val="00CF002F"/>
    <w:rsid w:val="00CF0246"/>
    <w:rsid w:val="00CF031B"/>
    <w:rsid w:val="00CF14D2"/>
    <w:rsid w:val="00CF1875"/>
    <w:rsid w:val="00CF1924"/>
    <w:rsid w:val="00CF1D08"/>
    <w:rsid w:val="00CF2483"/>
    <w:rsid w:val="00CF24E2"/>
    <w:rsid w:val="00CF2BD9"/>
    <w:rsid w:val="00CF2F8E"/>
    <w:rsid w:val="00CF2FFB"/>
    <w:rsid w:val="00CF393D"/>
    <w:rsid w:val="00CF394E"/>
    <w:rsid w:val="00CF4ABD"/>
    <w:rsid w:val="00CF4CF2"/>
    <w:rsid w:val="00CF5A53"/>
    <w:rsid w:val="00CF5D28"/>
    <w:rsid w:val="00CF6266"/>
    <w:rsid w:val="00CF66A2"/>
    <w:rsid w:val="00CF68B8"/>
    <w:rsid w:val="00CF6EAD"/>
    <w:rsid w:val="00CF6F1E"/>
    <w:rsid w:val="00CF6FF8"/>
    <w:rsid w:val="00CF7354"/>
    <w:rsid w:val="00CF7894"/>
    <w:rsid w:val="00CF7E96"/>
    <w:rsid w:val="00D001F9"/>
    <w:rsid w:val="00D0036E"/>
    <w:rsid w:val="00D00BB7"/>
    <w:rsid w:val="00D00CE5"/>
    <w:rsid w:val="00D00D6C"/>
    <w:rsid w:val="00D01EAD"/>
    <w:rsid w:val="00D0344F"/>
    <w:rsid w:val="00D035B9"/>
    <w:rsid w:val="00D040B7"/>
    <w:rsid w:val="00D0431C"/>
    <w:rsid w:val="00D047A8"/>
    <w:rsid w:val="00D04E76"/>
    <w:rsid w:val="00D060FF"/>
    <w:rsid w:val="00D064E8"/>
    <w:rsid w:val="00D06546"/>
    <w:rsid w:val="00D06572"/>
    <w:rsid w:val="00D065CD"/>
    <w:rsid w:val="00D066B5"/>
    <w:rsid w:val="00D06811"/>
    <w:rsid w:val="00D06B37"/>
    <w:rsid w:val="00D06D84"/>
    <w:rsid w:val="00D0724B"/>
    <w:rsid w:val="00D07A60"/>
    <w:rsid w:val="00D10818"/>
    <w:rsid w:val="00D12325"/>
    <w:rsid w:val="00D1252B"/>
    <w:rsid w:val="00D12761"/>
    <w:rsid w:val="00D12C39"/>
    <w:rsid w:val="00D13281"/>
    <w:rsid w:val="00D13299"/>
    <w:rsid w:val="00D13D2D"/>
    <w:rsid w:val="00D14487"/>
    <w:rsid w:val="00D14844"/>
    <w:rsid w:val="00D14C0A"/>
    <w:rsid w:val="00D15D47"/>
    <w:rsid w:val="00D15E7E"/>
    <w:rsid w:val="00D16058"/>
    <w:rsid w:val="00D16862"/>
    <w:rsid w:val="00D16FDD"/>
    <w:rsid w:val="00D174F5"/>
    <w:rsid w:val="00D17601"/>
    <w:rsid w:val="00D179BA"/>
    <w:rsid w:val="00D20016"/>
    <w:rsid w:val="00D206D2"/>
    <w:rsid w:val="00D207A7"/>
    <w:rsid w:val="00D208EA"/>
    <w:rsid w:val="00D20B19"/>
    <w:rsid w:val="00D20C21"/>
    <w:rsid w:val="00D20C74"/>
    <w:rsid w:val="00D21753"/>
    <w:rsid w:val="00D218B1"/>
    <w:rsid w:val="00D21C4C"/>
    <w:rsid w:val="00D22279"/>
    <w:rsid w:val="00D2279F"/>
    <w:rsid w:val="00D22AF1"/>
    <w:rsid w:val="00D22E93"/>
    <w:rsid w:val="00D240A6"/>
    <w:rsid w:val="00D241FE"/>
    <w:rsid w:val="00D242DA"/>
    <w:rsid w:val="00D24724"/>
    <w:rsid w:val="00D247EC"/>
    <w:rsid w:val="00D25930"/>
    <w:rsid w:val="00D25EF5"/>
    <w:rsid w:val="00D26448"/>
    <w:rsid w:val="00D264CE"/>
    <w:rsid w:val="00D26670"/>
    <w:rsid w:val="00D2670E"/>
    <w:rsid w:val="00D26910"/>
    <w:rsid w:val="00D27794"/>
    <w:rsid w:val="00D27B8B"/>
    <w:rsid w:val="00D27C81"/>
    <w:rsid w:val="00D30A5D"/>
    <w:rsid w:val="00D30BF8"/>
    <w:rsid w:val="00D30CF0"/>
    <w:rsid w:val="00D30E03"/>
    <w:rsid w:val="00D30EBD"/>
    <w:rsid w:val="00D3166E"/>
    <w:rsid w:val="00D31681"/>
    <w:rsid w:val="00D3179A"/>
    <w:rsid w:val="00D3191C"/>
    <w:rsid w:val="00D31B6E"/>
    <w:rsid w:val="00D321DB"/>
    <w:rsid w:val="00D3232B"/>
    <w:rsid w:val="00D3239F"/>
    <w:rsid w:val="00D324A4"/>
    <w:rsid w:val="00D3250C"/>
    <w:rsid w:val="00D32721"/>
    <w:rsid w:val="00D328F6"/>
    <w:rsid w:val="00D32A8C"/>
    <w:rsid w:val="00D32CEE"/>
    <w:rsid w:val="00D32DF3"/>
    <w:rsid w:val="00D32ED9"/>
    <w:rsid w:val="00D33473"/>
    <w:rsid w:val="00D33F8C"/>
    <w:rsid w:val="00D34584"/>
    <w:rsid w:val="00D345D4"/>
    <w:rsid w:val="00D3462C"/>
    <w:rsid w:val="00D34DEB"/>
    <w:rsid w:val="00D35198"/>
    <w:rsid w:val="00D352A5"/>
    <w:rsid w:val="00D356C8"/>
    <w:rsid w:val="00D3584B"/>
    <w:rsid w:val="00D35A85"/>
    <w:rsid w:val="00D35F97"/>
    <w:rsid w:val="00D361D6"/>
    <w:rsid w:val="00D36964"/>
    <w:rsid w:val="00D36C02"/>
    <w:rsid w:val="00D36C93"/>
    <w:rsid w:val="00D36E9D"/>
    <w:rsid w:val="00D37910"/>
    <w:rsid w:val="00D37A1A"/>
    <w:rsid w:val="00D37B4A"/>
    <w:rsid w:val="00D37F68"/>
    <w:rsid w:val="00D405EF"/>
    <w:rsid w:val="00D4081B"/>
    <w:rsid w:val="00D40968"/>
    <w:rsid w:val="00D40BDF"/>
    <w:rsid w:val="00D40E1A"/>
    <w:rsid w:val="00D40E5E"/>
    <w:rsid w:val="00D413C3"/>
    <w:rsid w:val="00D419B4"/>
    <w:rsid w:val="00D41C28"/>
    <w:rsid w:val="00D42240"/>
    <w:rsid w:val="00D42352"/>
    <w:rsid w:val="00D427C3"/>
    <w:rsid w:val="00D42EB8"/>
    <w:rsid w:val="00D4321A"/>
    <w:rsid w:val="00D43BC5"/>
    <w:rsid w:val="00D43D3C"/>
    <w:rsid w:val="00D43E0B"/>
    <w:rsid w:val="00D440AD"/>
    <w:rsid w:val="00D441E2"/>
    <w:rsid w:val="00D44530"/>
    <w:rsid w:val="00D44932"/>
    <w:rsid w:val="00D44EBB"/>
    <w:rsid w:val="00D44FAF"/>
    <w:rsid w:val="00D4538B"/>
    <w:rsid w:val="00D458AE"/>
    <w:rsid w:val="00D4601C"/>
    <w:rsid w:val="00D46111"/>
    <w:rsid w:val="00D46389"/>
    <w:rsid w:val="00D4662F"/>
    <w:rsid w:val="00D46A4D"/>
    <w:rsid w:val="00D46E5F"/>
    <w:rsid w:val="00D46F1B"/>
    <w:rsid w:val="00D46F67"/>
    <w:rsid w:val="00D4713F"/>
    <w:rsid w:val="00D47247"/>
    <w:rsid w:val="00D47410"/>
    <w:rsid w:val="00D475FB"/>
    <w:rsid w:val="00D47923"/>
    <w:rsid w:val="00D47B21"/>
    <w:rsid w:val="00D47C16"/>
    <w:rsid w:val="00D502AF"/>
    <w:rsid w:val="00D50310"/>
    <w:rsid w:val="00D50546"/>
    <w:rsid w:val="00D50764"/>
    <w:rsid w:val="00D50A09"/>
    <w:rsid w:val="00D50C12"/>
    <w:rsid w:val="00D51034"/>
    <w:rsid w:val="00D514A9"/>
    <w:rsid w:val="00D51A77"/>
    <w:rsid w:val="00D520C4"/>
    <w:rsid w:val="00D52239"/>
    <w:rsid w:val="00D522DC"/>
    <w:rsid w:val="00D5250C"/>
    <w:rsid w:val="00D5267B"/>
    <w:rsid w:val="00D53372"/>
    <w:rsid w:val="00D53649"/>
    <w:rsid w:val="00D53830"/>
    <w:rsid w:val="00D53C1E"/>
    <w:rsid w:val="00D53DF8"/>
    <w:rsid w:val="00D5437F"/>
    <w:rsid w:val="00D54637"/>
    <w:rsid w:val="00D5498D"/>
    <w:rsid w:val="00D54FB3"/>
    <w:rsid w:val="00D55458"/>
    <w:rsid w:val="00D55889"/>
    <w:rsid w:val="00D55903"/>
    <w:rsid w:val="00D55FF2"/>
    <w:rsid w:val="00D565C4"/>
    <w:rsid w:val="00D56A86"/>
    <w:rsid w:val="00D56B5F"/>
    <w:rsid w:val="00D57011"/>
    <w:rsid w:val="00D57A2F"/>
    <w:rsid w:val="00D57A3F"/>
    <w:rsid w:val="00D57AF0"/>
    <w:rsid w:val="00D6022D"/>
    <w:rsid w:val="00D6062C"/>
    <w:rsid w:val="00D60867"/>
    <w:rsid w:val="00D60B47"/>
    <w:rsid w:val="00D61099"/>
    <w:rsid w:val="00D61815"/>
    <w:rsid w:val="00D619B0"/>
    <w:rsid w:val="00D61F6A"/>
    <w:rsid w:val="00D62197"/>
    <w:rsid w:val="00D627E3"/>
    <w:rsid w:val="00D62ECD"/>
    <w:rsid w:val="00D631C1"/>
    <w:rsid w:val="00D6329D"/>
    <w:rsid w:val="00D638B2"/>
    <w:rsid w:val="00D64426"/>
    <w:rsid w:val="00D64475"/>
    <w:rsid w:val="00D64A2A"/>
    <w:rsid w:val="00D654BE"/>
    <w:rsid w:val="00D65892"/>
    <w:rsid w:val="00D65CB0"/>
    <w:rsid w:val="00D65D78"/>
    <w:rsid w:val="00D66490"/>
    <w:rsid w:val="00D66AAA"/>
    <w:rsid w:val="00D66B04"/>
    <w:rsid w:val="00D670FB"/>
    <w:rsid w:val="00D67BC5"/>
    <w:rsid w:val="00D7005B"/>
    <w:rsid w:val="00D7021B"/>
    <w:rsid w:val="00D70D33"/>
    <w:rsid w:val="00D71862"/>
    <w:rsid w:val="00D71C6A"/>
    <w:rsid w:val="00D71E7F"/>
    <w:rsid w:val="00D71FBA"/>
    <w:rsid w:val="00D7239B"/>
    <w:rsid w:val="00D72FEE"/>
    <w:rsid w:val="00D73077"/>
    <w:rsid w:val="00D732C9"/>
    <w:rsid w:val="00D736A2"/>
    <w:rsid w:val="00D73C57"/>
    <w:rsid w:val="00D73D43"/>
    <w:rsid w:val="00D742FF"/>
    <w:rsid w:val="00D74E33"/>
    <w:rsid w:val="00D758B3"/>
    <w:rsid w:val="00D75A86"/>
    <w:rsid w:val="00D75B01"/>
    <w:rsid w:val="00D75DFA"/>
    <w:rsid w:val="00D76ADC"/>
    <w:rsid w:val="00D76C51"/>
    <w:rsid w:val="00D77008"/>
    <w:rsid w:val="00D77413"/>
    <w:rsid w:val="00D777D6"/>
    <w:rsid w:val="00D77EF7"/>
    <w:rsid w:val="00D80695"/>
    <w:rsid w:val="00D809B9"/>
    <w:rsid w:val="00D80B04"/>
    <w:rsid w:val="00D815AD"/>
    <w:rsid w:val="00D81689"/>
    <w:rsid w:val="00D81F10"/>
    <w:rsid w:val="00D82059"/>
    <w:rsid w:val="00D826BB"/>
    <w:rsid w:val="00D82798"/>
    <w:rsid w:val="00D82BF2"/>
    <w:rsid w:val="00D82F0A"/>
    <w:rsid w:val="00D831DA"/>
    <w:rsid w:val="00D8324D"/>
    <w:rsid w:val="00D832EC"/>
    <w:rsid w:val="00D838C9"/>
    <w:rsid w:val="00D83916"/>
    <w:rsid w:val="00D83C83"/>
    <w:rsid w:val="00D84A57"/>
    <w:rsid w:val="00D84E7B"/>
    <w:rsid w:val="00D85F3E"/>
    <w:rsid w:val="00D86A2E"/>
    <w:rsid w:val="00D87307"/>
    <w:rsid w:val="00D874DF"/>
    <w:rsid w:val="00D8794E"/>
    <w:rsid w:val="00D87A12"/>
    <w:rsid w:val="00D9028C"/>
    <w:rsid w:val="00D9041F"/>
    <w:rsid w:val="00D90737"/>
    <w:rsid w:val="00D90D60"/>
    <w:rsid w:val="00D918C5"/>
    <w:rsid w:val="00D9195D"/>
    <w:rsid w:val="00D92C52"/>
    <w:rsid w:val="00D930E1"/>
    <w:rsid w:val="00D9354D"/>
    <w:rsid w:val="00D93AFA"/>
    <w:rsid w:val="00D9415C"/>
    <w:rsid w:val="00D942CC"/>
    <w:rsid w:val="00D944E4"/>
    <w:rsid w:val="00D94612"/>
    <w:rsid w:val="00D94C49"/>
    <w:rsid w:val="00D94D87"/>
    <w:rsid w:val="00D95123"/>
    <w:rsid w:val="00D95559"/>
    <w:rsid w:val="00D9555E"/>
    <w:rsid w:val="00D95B31"/>
    <w:rsid w:val="00D95DCC"/>
    <w:rsid w:val="00D96025"/>
    <w:rsid w:val="00D9621F"/>
    <w:rsid w:val="00D962DC"/>
    <w:rsid w:val="00D9642B"/>
    <w:rsid w:val="00DA01AE"/>
    <w:rsid w:val="00DA0331"/>
    <w:rsid w:val="00DA043A"/>
    <w:rsid w:val="00DA175F"/>
    <w:rsid w:val="00DA180C"/>
    <w:rsid w:val="00DA18A2"/>
    <w:rsid w:val="00DA1B7B"/>
    <w:rsid w:val="00DA2B10"/>
    <w:rsid w:val="00DA3251"/>
    <w:rsid w:val="00DA3E7B"/>
    <w:rsid w:val="00DA3F17"/>
    <w:rsid w:val="00DA418E"/>
    <w:rsid w:val="00DA437F"/>
    <w:rsid w:val="00DA4419"/>
    <w:rsid w:val="00DA451D"/>
    <w:rsid w:val="00DA470D"/>
    <w:rsid w:val="00DA4A78"/>
    <w:rsid w:val="00DA4CC5"/>
    <w:rsid w:val="00DA504B"/>
    <w:rsid w:val="00DA56DB"/>
    <w:rsid w:val="00DA5793"/>
    <w:rsid w:val="00DA6452"/>
    <w:rsid w:val="00DA6EEC"/>
    <w:rsid w:val="00DA6FE9"/>
    <w:rsid w:val="00DA761C"/>
    <w:rsid w:val="00DA76BF"/>
    <w:rsid w:val="00DA7925"/>
    <w:rsid w:val="00DA7CD8"/>
    <w:rsid w:val="00DA7F89"/>
    <w:rsid w:val="00DB031E"/>
    <w:rsid w:val="00DB040B"/>
    <w:rsid w:val="00DB0657"/>
    <w:rsid w:val="00DB0AB8"/>
    <w:rsid w:val="00DB0C7C"/>
    <w:rsid w:val="00DB0D2A"/>
    <w:rsid w:val="00DB11CD"/>
    <w:rsid w:val="00DB16A0"/>
    <w:rsid w:val="00DB16BD"/>
    <w:rsid w:val="00DB178F"/>
    <w:rsid w:val="00DB1BB7"/>
    <w:rsid w:val="00DB1D98"/>
    <w:rsid w:val="00DB1DAB"/>
    <w:rsid w:val="00DB354E"/>
    <w:rsid w:val="00DB39D4"/>
    <w:rsid w:val="00DB3A47"/>
    <w:rsid w:val="00DB3BF7"/>
    <w:rsid w:val="00DB3D87"/>
    <w:rsid w:val="00DB4099"/>
    <w:rsid w:val="00DB46D0"/>
    <w:rsid w:val="00DB46DF"/>
    <w:rsid w:val="00DB49B6"/>
    <w:rsid w:val="00DB4E06"/>
    <w:rsid w:val="00DB52F7"/>
    <w:rsid w:val="00DB557A"/>
    <w:rsid w:val="00DB5895"/>
    <w:rsid w:val="00DB5C22"/>
    <w:rsid w:val="00DB631E"/>
    <w:rsid w:val="00DB677E"/>
    <w:rsid w:val="00DB6A7F"/>
    <w:rsid w:val="00DB6A80"/>
    <w:rsid w:val="00DB6C06"/>
    <w:rsid w:val="00DB724E"/>
    <w:rsid w:val="00DB7354"/>
    <w:rsid w:val="00DB7B06"/>
    <w:rsid w:val="00DB7B30"/>
    <w:rsid w:val="00DC0373"/>
    <w:rsid w:val="00DC043D"/>
    <w:rsid w:val="00DC0738"/>
    <w:rsid w:val="00DC2135"/>
    <w:rsid w:val="00DC2543"/>
    <w:rsid w:val="00DC286E"/>
    <w:rsid w:val="00DC318A"/>
    <w:rsid w:val="00DC371F"/>
    <w:rsid w:val="00DC3A9D"/>
    <w:rsid w:val="00DC4004"/>
    <w:rsid w:val="00DC4243"/>
    <w:rsid w:val="00DC5168"/>
    <w:rsid w:val="00DC5584"/>
    <w:rsid w:val="00DC55A1"/>
    <w:rsid w:val="00DC5ADC"/>
    <w:rsid w:val="00DC5DF9"/>
    <w:rsid w:val="00DC662F"/>
    <w:rsid w:val="00DC6947"/>
    <w:rsid w:val="00DC6C1E"/>
    <w:rsid w:val="00DC7255"/>
    <w:rsid w:val="00DC72CE"/>
    <w:rsid w:val="00DC7951"/>
    <w:rsid w:val="00DC7A91"/>
    <w:rsid w:val="00DD078D"/>
    <w:rsid w:val="00DD07D9"/>
    <w:rsid w:val="00DD0E0E"/>
    <w:rsid w:val="00DD1C4B"/>
    <w:rsid w:val="00DD1F7B"/>
    <w:rsid w:val="00DD229E"/>
    <w:rsid w:val="00DD23A4"/>
    <w:rsid w:val="00DD25A8"/>
    <w:rsid w:val="00DD3029"/>
    <w:rsid w:val="00DD3535"/>
    <w:rsid w:val="00DD3C76"/>
    <w:rsid w:val="00DD430D"/>
    <w:rsid w:val="00DD5417"/>
    <w:rsid w:val="00DD55E0"/>
    <w:rsid w:val="00DD55F5"/>
    <w:rsid w:val="00DD5EF9"/>
    <w:rsid w:val="00DD66E4"/>
    <w:rsid w:val="00DD6940"/>
    <w:rsid w:val="00DD69DA"/>
    <w:rsid w:val="00DD6CB0"/>
    <w:rsid w:val="00DD6EF9"/>
    <w:rsid w:val="00DD79CE"/>
    <w:rsid w:val="00DE14CD"/>
    <w:rsid w:val="00DE17D3"/>
    <w:rsid w:val="00DE18A3"/>
    <w:rsid w:val="00DE1904"/>
    <w:rsid w:val="00DE19FB"/>
    <w:rsid w:val="00DE1B83"/>
    <w:rsid w:val="00DE1DAA"/>
    <w:rsid w:val="00DE2519"/>
    <w:rsid w:val="00DE2903"/>
    <w:rsid w:val="00DE2EF0"/>
    <w:rsid w:val="00DE3835"/>
    <w:rsid w:val="00DE3B5E"/>
    <w:rsid w:val="00DE3BE8"/>
    <w:rsid w:val="00DE3DBB"/>
    <w:rsid w:val="00DE43A2"/>
    <w:rsid w:val="00DE4A74"/>
    <w:rsid w:val="00DE4B05"/>
    <w:rsid w:val="00DE4EE9"/>
    <w:rsid w:val="00DE5105"/>
    <w:rsid w:val="00DE541C"/>
    <w:rsid w:val="00DE702B"/>
    <w:rsid w:val="00DE737B"/>
    <w:rsid w:val="00DE765F"/>
    <w:rsid w:val="00DE7A14"/>
    <w:rsid w:val="00DE7D7E"/>
    <w:rsid w:val="00DF0253"/>
    <w:rsid w:val="00DF039E"/>
    <w:rsid w:val="00DF08F4"/>
    <w:rsid w:val="00DF0BD2"/>
    <w:rsid w:val="00DF100B"/>
    <w:rsid w:val="00DF11B7"/>
    <w:rsid w:val="00DF190B"/>
    <w:rsid w:val="00DF2885"/>
    <w:rsid w:val="00DF32F3"/>
    <w:rsid w:val="00DF3A95"/>
    <w:rsid w:val="00DF3EBB"/>
    <w:rsid w:val="00DF4359"/>
    <w:rsid w:val="00DF47ED"/>
    <w:rsid w:val="00DF4A33"/>
    <w:rsid w:val="00DF56A4"/>
    <w:rsid w:val="00DF5B28"/>
    <w:rsid w:val="00DF6365"/>
    <w:rsid w:val="00DF6B52"/>
    <w:rsid w:val="00DF6E80"/>
    <w:rsid w:val="00DF7085"/>
    <w:rsid w:val="00DF7126"/>
    <w:rsid w:val="00DF73C1"/>
    <w:rsid w:val="00DF7511"/>
    <w:rsid w:val="00DF7751"/>
    <w:rsid w:val="00DF7C5F"/>
    <w:rsid w:val="00DF7F09"/>
    <w:rsid w:val="00E009B1"/>
    <w:rsid w:val="00E00AA9"/>
    <w:rsid w:val="00E00B50"/>
    <w:rsid w:val="00E00BC3"/>
    <w:rsid w:val="00E011D7"/>
    <w:rsid w:val="00E01286"/>
    <w:rsid w:val="00E01413"/>
    <w:rsid w:val="00E016E1"/>
    <w:rsid w:val="00E01CBF"/>
    <w:rsid w:val="00E02194"/>
    <w:rsid w:val="00E031BB"/>
    <w:rsid w:val="00E0414F"/>
    <w:rsid w:val="00E0417B"/>
    <w:rsid w:val="00E0426B"/>
    <w:rsid w:val="00E042FA"/>
    <w:rsid w:val="00E04322"/>
    <w:rsid w:val="00E04ACF"/>
    <w:rsid w:val="00E04E0E"/>
    <w:rsid w:val="00E04FF3"/>
    <w:rsid w:val="00E0540B"/>
    <w:rsid w:val="00E0576C"/>
    <w:rsid w:val="00E05946"/>
    <w:rsid w:val="00E05C7E"/>
    <w:rsid w:val="00E063EF"/>
    <w:rsid w:val="00E065C2"/>
    <w:rsid w:val="00E068BC"/>
    <w:rsid w:val="00E06C12"/>
    <w:rsid w:val="00E06EC9"/>
    <w:rsid w:val="00E073F0"/>
    <w:rsid w:val="00E10761"/>
    <w:rsid w:val="00E112F2"/>
    <w:rsid w:val="00E1185B"/>
    <w:rsid w:val="00E118C5"/>
    <w:rsid w:val="00E11D7A"/>
    <w:rsid w:val="00E11EEB"/>
    <w:rsid w:val="00E1213C"/>
    <w:rsid w:val="00E128F2"/>
    <w:rsid w:val="00E12A25"/>
    <w:rsid w:val="00E13E5A"/>
    <w:rsid w:val="00E13EE4"/>
    <w:rsid w:val="00E14301"/>
    <w:rsid w:val="00E14CBF"/>
    <w:rsid w:val="00E14E38"/>
    <w:rsid w:val="00E15404"/>
    <w:rsid w:val="00E15A44"/>
    <w:rsid w:val="00E16190"/>
    <w:rsid w:val="00E1619C"/>
    <w:rsid w:val="00E16463"/>
    <w:rsid w:val="00E167EB"/>
    <w:rsid w:val="00E16F82"/>
    <w:rsid w:val="00E16F84"/>
    <w:rsid w:val="00E17F6F"/>
    <w:rsid w:val="00E20018"/>
    <w:rsid w:val="00E20B20"/>
    <w:rsid w:val="00E20C5F"/>
    <w:rsid w:val="00E21303"/>
    <w:rsid w:val="00E21388"/>
    <w:rsid w:val="00E21F16"/>
    <w:rsid w:val="00E22550"/>
    <w:rsid w:val="00E22D75"/>
    <w:rsid w:val="00E22EDC"/>
    <w:rsid w:val="00E230A9"/>
    <w:rsid w:val="00E2329E"/>
    <w:rsid w:val="00E239D1"/>
    <w:rsid w:val="00E243E4"/>
    <w:rsid w:val="00E246B9"/>
    <w:rsid w:val="00E250C5"/>
    <w:rsid w:val="00E262E9"/>
    <w:rsid w:val="00E263B8"/>
    <w:rsid w:val="00E26727"/>
    <w:rsid w:val="00E26970"/>
    <w:rsid w:val="00E26EB9"/>
    <w:rsid w:val="00E27205"/>
    <w:rsid w:val="00E2728F"/>
    <w:rsid w:val="00E274B9"/>
    <w:rsid w:val="00E27791"/>
    <w:rsid w:val="00E30CF7"/>
    <w:rsid w:val="00E30ED0"/>
    <w:rsid w:val="00E30F26"/>
    <w:rsid w:val="00E30F2D"/>
    <w:rsid w:val="00E319DB"/>
    <w:rsid w:val="00E31AFC"/>
    <w:rsid w:val="00E31D9D"/>
    <w:rsid w:val="00E31F8D"/>
    <w:rsid w:val="00E3250F"/>
    <w:rsid w:val="00E325AD"/>
    <w:rsid w:val="00E328D7"/>
    <w:rsid w:val="00E329D9"/>
    <w:rsid w:val="00E32B80"/>
    <w:rsid w:val="00E32D6C"/>
    <w:rsid w:val="00E338A7"/>
    <w:rsid w:val="00E33995"/>
    <w:rsid w:val="00E3409E"/>
    <w:rsid w:val="00E342E6"/>
    <w:rsid w:val="00E34F76"/>
    <w:rsid w:val="00E35926"/>
    <w:rsid w:val="00E35A80"/>
    <w:rsid w:val="00E35B5A"/>
    <w:rsid w:val="00E35E8F"/>
    <w:rsid w:val="00E36079"/>
    <w:rsid w:val="00E3621E"/>
    <w:rsid w:val="00E363B1"/>
    <w:rsid w:val="00E3730E"/>
    <w:rsid w:val="00E37932"/>
    <w:rsid w:val="00E37BE5"/>
    <w:rsid w:val="00E4008F"/>
    <w:rsid w:val="00E402B8"/>
    <w:rsid w:val="00E40446"/>
    <w:rsid w:val="00E409A9"/>
    <w:rsid w:val="00E40B94"/>
    <w:rsid w:val="00E4115E"/>
    <w:rsid w:val="00E41927"/>
    <w:rsid w:val="00E41A27"/>
    <w:rsid w:val="00E41AB4"/>
    <w:rsid w:val="00E42047"/>
    <w:rsid w:val="00E424F4"/>
    <w:rsid w:val="00E42737"/>
    <w:rsid w:val="00E4293C"/>
    <w:rsid w:val="00E43741"/>
    <w:rsid w:val="00E4450A"/>
    <w:rsid w:val="00E44906"/>
    <w:rsid w:val="00E44F5D"/>
    <w:rsid w:val="00E44FDB"/>
    <w:rsid w:val="00E4573C"/>
    <w:rsid w:val="00E45AD9"/>
    <w:rsid w:val="00E45C77"/>
    <w:rsid w:val="00E4608B"/>
    <w:rsid w:val="00E46C9B"/>
    <w:rsid w:val="00E46D7F"/>
    <w:rsid w:val="00E46F30"/>
    <w:rsid w:val="00E501D3"/>
    <w:rsid w:val="00E50942"/>
    <w:rsid w:val="00E50E6D"/>
    <w:rsid w:val="00E526ED"/>
    <w:rsid w:val="00E52C85"/>
    <w:rsid w:val="00E52D27"/>
    <w:rsid w:val="00E532A6"/>
    <w:rsid w:val="00E53A01"/>
    <w:rsid w:val="00E53C76"/>
    <w:rsid w:val="00E54395"/>
    <w:rsid w:val="00E54C24"/>
    <w:rsid w:val="00E557A5"/>
    <w:rsid w:val="00E5588E"/>
    <w:rsid w:val="00E5615E"/>
    <w:rsid w:val="00E564C4"/>
    <w:rsid w:val="00E56688"/>
    <w:rsid w:val="00E567C9"/>
    <w:rsid w:val="00E577B1"/>
    <w:rsid w:val="00E57D40"/>
    <w:rsid w:val="00E57E1A"/>
    <w:rsid w:val="00E604C4"/>
    <w:rsid w:val="00E605A2"/>
    <w:rsid w:val="00E60809"/>
    <w:rsid w:val="00E60B90"/>
    <w:rsid w:val="00E61300"/>
    <w:rsid w:val="00E618B7"/>
    <w:rsid w:val="00E61FB1"/>
    <w:rsid w:val="00E62D5C"/>
    <w:rsid w:val="00E635B9"/>
    <w:rsid w:val="00E6360D"/>
    <w:rsid w:val="00E63A1C"/>
    <w:rsid w:val="00E64F89"/>
    <w:rsid w:val="00E65CF0"/>
    <w:rsid w:val="00E65D15"/>
    <w:rsid w:val="00E66CD8"/>
    <w:rsid w:val="00E66D1C"/>
    <w:rsid w:val="00E67802"/>
    <w:rsid w:val="00E67B64"/>
    <w:rsid w:val="00E67EE5"/>
    <w:rsid w:val="00E7013A"/>
    <w:rsid w:val="00E7079B"/>
    <w:rsid w:val="00E70C79"/>
    <w:rsid w:val="00E70E4E"/>
    <w:rsid w:val="00E72009"/>
    <w:rsid w:val="00E724E9"/>
    <w:rsid w:val="00E72A27"/>
    <w:rsid w:val="00E72C6B"/>
    <w:rsid w:val="00E73503"/>
    <w:rsid w:val="00E73AB7"/>
    <w:rsid w:val="00E73EC0"/>
    <w:rsid w:val="00E746EC"/>
    <w:rsid w:val="00E74F5D"/>
    <w:rsid w:val="00E753DD"/>
    <w:rsid w:val="00E75718"/>
    <w:rsid w:val="00E75807"/>
    <w:rsid w:val="00E75BDC"/>
    <w:rsid w:val="00E76034"/>
    <w:rsid w:val="00E76C98"/>
    <w:rsid w:val="00E77357"/>
    <w:rsid w:val="00E7781A"/>
    <w:rsid w:val="00E779D0"/>
    <w:rsid w:val="00E80440"/>
    <w:rsid w:val="00E80976"/>
    <w:rsid w:val="00E81034"/>
    <w:rsid w:val="00E81194"/>
    <w:rsid w:val="00E817E0"/>
    <w:rsid w:val="00E81B82"/>
    <w:rsid w:val="00E81F1D"/>
    <w:rsid w:val="00E82255"/>
    <w:rsid w:val="00E82D78"/>
    <w:rsid w:val="00E82EE4"/>
    <w:rsid w:val="00E831E7"/>
    <w:rsid w:val="00E838E0"/>
    <w:rsid w:val="00E843B5"/>
    <w:rsid w:val="00E8459A"/>
    <w:rsid w:val="00E8479F"/>
    <w:rsid w:val="00E84A3B"/>
    <w:rsid w:val="00E84BF2"/>
    <w:rsid w:val="00E85307"/>
    <w:rsid w:val="00E85B0A"/>
    <w:rsid w:val="00E85B72"/>
    <w:rsid w:val="00E860E7"/>
    <w:rsid w:val="00E861B2"/>
    <w:rsid w:val="00E869B9"/>
    <w:rsid w:val="00E87718"/>
    <w:rsid w:val="00E87742"/>
    <w:rsid w:val="00E87A18"/>
    <w:rsid w:val="00E87CB7"/>
    <w:rsid w:val="00E907A0"/>
    <w:rsid w:val="00E907E4"/>
    <w:rsid w:val="00E90937"/>
    <w:rsid w:val="00E90A24"/>
    <w:rsid w:val="00E90C34"/>
    <w:rsid w:val="00E90DB7"/>
    <w:rsid w:val="00E91220"/>
    <w:rsid w:val="00E91310"/>
    <w:rsid w:val="00E919AC"/>
    <w:rsid w:val="00E91A38"/>
    <w:rsid w:val="00E91EDB"/>
    <w:rsid w:val="00E927FA"/>
    <w:rsid w:val="00E92C30"/>
    <w:rsid w:val="00E92C92"/>
    <w:rsid w:val="00E9321C"/>
    <w:rsid w:val="00E93499"/>
    <w:rsid w:val="00E93947"/>
    <w:rsid w:val="00E93CB3"/>
    <w:rsid w:val="00E93CBC"/>
    <w:rsid w:val="00E946A6"/>
    <w:rsid w:val="00E947E4"/>
    <w:rsid w:val="00E9480A"/>
    <w:rsid w:val="00E94A86"/>
    <w:rsid w:val="00E9566E"/>
    <w:rsid w:val="00E956F7"/>
    <w:rsid w:val="00E95BDF"/>
    <w:rsid w:val="00E9616B"/>
    <w:rsid w:val="00E96A29"/>
    <w:rsid w:val="00E96B28"/>
    <w:rsid w:val="00E96FE6"/>
    <w:rsid w:val="00E973A1"/>
    <w:rsid w:val="00E97418"/>
    <w:rsid w:val="00EA0118"/>
    <w:rsid w:val="00EA06C6"/>
    <w:rsid w:val="00EA0BDE"/>
    <w:rsid w:val="00EA0F54"/>
    <w:rsid w:val="00EA1059"/>
    <w:rsid w:val="00EA1222"/>
    <w:rsid w:val="00EA1D19"/>
    <w:rsid w:val="00EA1D43"/>
    <w:rsid w:val="00EA209D"/>
    <w:rsid w:val="00EA2653"/>
    <w:rsid w:val="00EA26AF"/>
    <w:rsid w:val="00EA2924"/>
    <w:rsid w:val="00EA29EB"/>
    <w:rsid w:val="00EA2C2A"/>
    <w:rsid w:val="00EA2D5D"/>
    <w:rsid w:val="00EA3B07"/>
    <w:rsid w:val="00EA3F87"/>
    <w:rsid w:val="00EA407B"/>
    <w:rsid w:val="00EA41DD"/>
    <w:rsid w:val="00EA48BA"/>
    <w:rsid w:val="00EA49B0"/>
    <w:rsid w:val="00EA4C04"/>
    <w:rsid w:val="00EA4EC9"/>
    <w:rsid w:val="00EA568E"/>
    <w:rsid w:val="00EA57A4"/>
    <w:rsid w:val="00EA5E0F"/>
    <w:rsid w:val="00EA61E2"/>
    <w:rsid w:val="00EA6211"/>
    <w:rsid w:val="00EA67AC"/>
    <w:rsid w:val="00EA6FE4"/>
    <w:rsid w:val="00EA798D"/>
    <w:rsid w:val="00EA7F4C"/>
    <w:rsid w:val="00EB0658"/>
    <w:rsid w:val="00EB0737"/>
    <w:rsid w:val="00EB0AFB"/>
    <w:rsid w:val="00EB0DD8"/>
    <w:rsid w:val="00EB0FBE"/>
    <w:rsid w:val="00EB1D47"/>
    <w:rsid w:val="00EB2146"/>
    <w:rsid w:val="00EB2317"/>
    <w:rsid w:val="00EB23DB"/>
    <w:rsid w:val="00EB2568"/>
    <w:rsid w:val="00EB26C6"/>
    <w:rsid w:val="00EB279B"/>
    <w:rsid w:val="00EB27C9"/>
    <w:rsid w:val="00EB2ABB"/>
    <w:rsid w:val="00EB2B18"/>
    <w:rsid w:val="00EB2BF3"/>
    <w:rsid w:val="00EB3525"/>
    <w:rsid w:val="00EB495E"/>
    <w:rsid w:val="00EB4A7C"/>
    <w:rsid w:val="00EB4F83"/>
    <w:rsid w:val="00EB531A"/>
    <w:rsid w:val="00EB556F"/>
    <w:rsid w:val="00EB55A9"/>
    <w:rsid w:val="00EB584C"/>
    <w:rsid w:val="00EB5863"/>
    <w:rsid w:val="00EB5D88"/>
    <w:rsid w:val="00EB5FAF"/>
    <w:rsid w:val="00EB6C34"/>
    <w:rsid w:val="00EB6D14"/>
    <w:rsid w:val="00EB6FAA"/>
    <w:rsid w:val="00EB7307"/>
    <w:rsid w:val="00EB772D"/>
    <w:rsid w:val="00EC04EE"/>
    <w:rsid w:val="00EC0B66"/>
    <w:rsid w:val="00EC14B0"/>
    <w:rsid w:val="00EC1927"/>
    <w:rsid w:val="00EC204E"/>
    <w:rsid w:val="00EC249E"/>
    <w:rsid w:val="00EC25C8"/>
    <w:rsid w:val="00EC2CFF"/>
    <w:rsid w:val="00EC2DFB"/>
    <w:rsid w:val="00EC37EE"/>
    <w:rsid w:val="00EC3C70"/>
    <w:rsid w:val="00EC3C94"/>
    <w:rsid w:val="00EC3EFC"/>
    <w:rsid w:val="00EC4307"/>
    <w:rsid w:val="00EC4308"/>
    <w:rsid w:val="00EC4472"/>
    <w:rsid w:val="00EC4904"/>
    <w:rsid w:val="00EC4BF9"/>
    <w:rsid w:val="00EC4DF6"/>
    <w:rsid w:val="00EC55AD"/>
    <w:rsid w:val="00EC5F2F"/>
    <w:rsid w:val="00EC651E"/>
    <w:rsid w:val="00EC65E5"/>
    <w:rsid w:val="00EC692E"/>
    <w:rsid w:val="00EC6A56"/>
    <w:rsid w:val="00EC745E"/>
    <w:rsid w:val="00EC775C"/>
    <w:rsid w:val="00EC7EAF"/>
    <w:rsid w:val="00ED1327"/>
    <w:rsid w:val="00ED160C"/>
    <w:rsid w:val="00ED27C3"/>
    <w:rsid w:val="00ED2ACA"/>
    <w:rsid w:val="00ED2AE2"/>
    <w:rsid w:val="00ED2C5A"/>
    <w:rsid w:val="00ED2FB4"/>
    <w:rsid w:val="00ED33AE"/>
    <w:rsid w:val="00ED3775"/>
    <w:rsid w:val="00ED3BA4"/>
    <w:rsid w:val="00ED4995"/>
    <w:rsid w:val="00ED4A6D"/>
    <w:rsid w:val="00ED4B8C"/>
    <w:rsid w:val="00ED5C13"/>
    <w:rsid w:val="00ED6A4E"/>
    <w:rsid w:val="00ED6D4A"/>
    <w:rsid w:val="00ED721A"/>
    <w:rsid w:val="00ED738C"/>
    <w:rsid w:val="00ED76A8"/>
    <w:rsid w:val="00ED7888"/>
    <w:rsid w:val="00ED7918"/>
    <w:rsid w:val="00ED7FD3"/>
    <w:rsid w:val="00EE00F3"/>
    <w:rsid w:val="00EE0400"/>
    <w:rsid w:val="00EE05F5"/>
    <w:rsid w:val="00EE0BF7"/>
    <w:rsid w:val="00EE0E5D"/>
    <w:rsid w:val="00EE11C2"/>
    <w:rsid w:val="00EE2A61"/>
    <w:rsid w:val="00EE3663"/>
    <w:rsid w:val="00EE4175"/>
    <w:rsid w:val="00EE41B8"/>
    <w:rsid w:val="00EE41C4"/>
    <w:rsid w:val="00EE4951"/>
    <w:rsid w:val="00EE4C3C"/>
    <w:rsid w:val="00EE557E"/>
    <w:rsid w:val="00EE55B0"/>
    <w:rsid w:val="00EE5A27"/>
    <w:rsid w:val="00EE69BE"/>
    <w:rsid w:val="00EE6B32"/>
    <w:rsid w:val="00EE6CA4"/>
    <w:rsid w:val="00EE6DFA"/>
    <w:rsid w:val="00EE6E77"/>
    <w:rsid w:val="00EE76A9"/>
    <w:rsid w:val="00EE7746"/>
    <w:rsid w:val="00EE799E"/>
    <w:rsid w:val="00EE7B0E"/>
    <w:rsid w:val="00EE7CA8"/>
    <w:rsid w:val="00EE7E02"/>
    <w:rsid w:val="00EE7FA7"/>
    <w:rsid w:val="00EF00AD"/>
    <w:rsid w:val="00EF0322"/>
    <w:rsid w:val="00EF1093"/>
    <w:rsid w:val="00EF1466"/>
    <w:rsid w:val="00EF1528"/>
    <w:rsid w:val="00EF1757"/>
    <w:rsid w:val="00EF17FD"/>
    <w:rsid w:val="00EF195E"/>
    <w:rsid w:val="00EF1FCB"/>
    <w:rsid w:val="00EF21C3"/>
    <w:rsid w:val="00EF2C14"/>
    <w:rsid w:val="00EF2E6B"/>
    <w:rsid w:val="00EF3017"/>
    <w:rsid w:val="00EF4862"/>
    <w:rsid w:val="00EF53ED"/>
    <w:rsid w:val="00EF54D1"/>
    <w:rsid w:val="00EF56AF"/>
    <w:rsid w:val="00EF5DF8"/>
    <w:rsid w:val="00EF6075"/>
    <w:rsid w:val="00EF67BB"/>
    <w:rsid w:val="00EF6B03"/>
    <w:rsid w:val="00EF6F24"/>
    <w:rsid w:val="00EF72F9"/>
    <w:rsid w:val="00EF74FD"/>
    <w:rsid w:val="00EF79B6"/>
    <w:rsid w:val="00F0021E"/>
    <w:rsid w:val="00F0030E"/>
    <w:rsid w:val="00F005CB"/>
    <w:rsid w:val="00F00B95"/>
    <w:rsid w:val="00F00CD1"/>
    <w:rsid w:val="00F01E6B"/>
    <w:rsid w:val="00F0241C"/>
    <w:rsid w:val="00F0243F"/>
    <w:rsid w:val="00F0265C"/>
    <w:rsid w:val="00F02BF9"/>
    <w:rsid w:val="00F02CD4"/>
    <w:rsid w:val="00F02DD1"/>
    <w:rsid w:val="00F02FD6"/>
    <w:rsid w:val="00F031EE"/>
    <w:rsid w:val="00F03496"/>
    <w:rsid w:val="00F0354A"/>
    <w:rsid w:val="00F03C0E"/>
    <w:rsid w:val="00F0415F"/>
    <w:rsid w:val="00F05759"/>
    <w:rsid w:val="00F058C3"/>
    <w:rsid w:val="00F05DF8"/>
    <w:rsid w:val="00F05E96"/>
    <w:rsid w:val="00F06008"/>
    <w:rsid w:val="00F064EC"/>
    <w:rsid w:val="00F07701"/>
    <w:rsid w:val="00F07F39"/>
    <w:rsid w:val="00F07F69"/>
    <w:rsid w:val="00F07F6F"/>
    <w:rsid w:val="00F10519"/>
    <w:rsid w:val="00F10CB9"/>
    <w:rsid w:val="00F10E78"/>
    <w:rsid w:val="00F110CD"/>
    <w:rsid w:val="00F110D5"/>
    <w:rsid w:val="00F1113E"/>
    <w:rsid w:val="00F111C2"/>
    <w:rsid w:val="00F1130C"/>
    <w:rsid w:val="00F12351"/>
    <w:rsid w:val="00F12549"/>
    <w:rsid w:val="00F133AB"/>
    <w:rsid w:val="00F1349D"/>
    <w:rsid w:val="00F1394C"/>
    <w:rsid w:val="00F147B7"/>
    <w:rsid w:val="00F14B82"/>
    <w:rsid w:val="00F15193"/>
    <w:rsid w:val="00F16739"/>
    <w:rsid w:val="00F16DE2"/>
    <w:rsid w:val="00F16F96"/>
    <w:rsid w:val="00F17D3E"/>
    <w:rsid w:val="00F2041D"/>
    <w:rsid w:val="00F2052B"/>
    <w:rsid w:val="00F20F53"/>
    <w:rsid w:val="00F211CA"/>
    <w:rsid w:val="00F21A4E"/>
    <w:rsid w:val="00F22183"/>
    <w:rsid w:val="00F2260F"/>
    <w:rsid w:val="00F230AB"/>
    <w:rsid w:val="00F23FAF"/>
    <w:rsid w:val="00F242AD"/>
    <w:rsid w:val="00F247F2"/>
    <w:rsid w:val="00F24912"/>
    <w:rsid w:val="00F2518F"/>
    <w:rsid w:val="00F252A8"/>
    <w:rsid w:val="00F255D9"/>
    <w:rsid w:val="00F25C5A"/>
    <w:rsid w:val="00F26276"/>
    <w:rsid w:val="00F265F7"/>
    <w:rsid w:val="00F266CE"/>
    <w:rsid w:val="00F26D0A"/>
    <w:rsid w:val="00F27696"/>
    <w:rsid w:val="00F27A81"/>
    <w:rsid w:val="00F27FA6"/>
    <w:rsid w:val="00F30ACE"/>
    <w:rsid w:val="00F30D7B"/>
    <w:rsid w:val="00F3125C"/>
    <w:rsid w:val="00F31AC9"/>
    <w:rsid w:val="00F327A1"/>
    <w:rsid w:val="00F33DC8"/>
    <w:rsid w:val="00F34444"/>
    <w:rsid w:val="00F34FE9"/>
    <w:rsid w:val="00F35149"/>
    <w:rsid w:val="00F35893"/>
    <w:rsid w:val="00F36238"/>
    <w:rsid w:val="00F36BDE"/>
    <w:rsid w:val="00F37523"/>
    <w:rsid w:val="00F378F1"/>
    <w:rsid w:val="00F403A1"/>
    <w:rsid w:val="00F403DB"/>
    <w:rsid w:val="00F4065A"/>
    <w:rsid w:val="00F40A47"/>
    <w:rsid w:val="00F41A12"/>
    <w:rsid w:val="00F4275C"/>
    <w:rsid w:val="00F42AD4"/>
    <w:rsid w:val="00F42F33"/>
    <w:rsid w:val="00F434B2"/>
    <w:rsid w:val="00F439CD"/>
    <w:rsid w:val="00F43BE1"/>
    <w:rsid w:val="00F45552"/>
    <w:rsid w:val="00F4557B"/>
    <w:rsid w:val="00F45693"/>
    <w:rsid w:val="00F45A18"/>
    <w:rsid w:val="00F45B08"/>
    <w:rsid w:val="00F45B8B"/>
    <w:rsid w:val="00F50CA8"/>
    <w:rsid w:val="00F50E58"/>
    <w:rsid w:val="00F5111B"/>
    <w:rsid w:val="00F52077"/>
    <w:rsid w:val="00F52339"/>
    <w:rsid w:val="00F5277A"/>
    <w:rsid w:val="00F52F2E"/>
    <w:rsid w:val="00F532E8"/>
    <w:rsid w:val="00F537FF"/>
    <w:rsid w:val="00F5400C"/>
    <w:rsid w:val="00F543E8"/>
    <w:rsid w:val="00F54534"/>
    <w:rsid w:val="00F54E36"/>
    <w:rsid w:val="00F55012"/>
    <w:rsid w:val="00F559CB"/>
    <w:rsid w:val="00F55DC8"/>
    <w:rsid w:val="00F560FE"/>
    <w:rsid w:val="00F56BF9"/>
    <w:rsid w:val="00F570CD"/>
    <w:rsid w:val="00F6016A"/>
    <w:rsid w:val="00F608D8"/>
    <w:rsid w:val="00F60CD6"/>
    <w:rsid w:val="00F6111C"/>
    <w:rsid w:val="00F614C0"/>
    <w:rsid w:val="00F61647"/>
    <w:rsid w:val="00F616B7"/>
    <w:rsid w:val="00F61C68"/>
    <w:rsid w:val="00F6205F"/>
    <w:rsid w:val="00F622F2"/>
    <w:rsid w:val="00F62B99"/>
    <w:rsid w:val="00F62D5E"/>
    <w:rsid w:val="00F62ED2"/>
    <w:rsid w:val="00F63455"/>
    <w:rsid w:val="00F63AFC"/>
    <w:rsid w:val="00F63B12"/>
    <w:rsid w:val="00F64279"/>
    <w:rsid w:val="00F64B92"/>
    <w:rsid w:val="00F65236"/>
    <w:rsid w:val="00F657CF"/>
    <w:rsid w:val="00F65808"/>
    <w:rsid w:val="00F6587D"/>
    <w:rsid w:val="00F658AC"/>
    <w:rsid w:val="00F65DF6"/>
    <w:rsid w:val="00F669E7"/>
    <w:rsid w:val="00F66A00"/>
    <w:rsid w:val="00F66CFB"/>
    <w:rsid w:val="00F6752D"/>
    <w:rsid w:val="00F70C73"/>
    <w:rsid w:val="00F713A3"/>
    <w:rsid w:val="00F71555"/>
    <w:rsid w:val="00F715CB"/>
    <w:rsid w:val="00F71A8F"/>
    <w:rsid w:val="00F71AB8"/>
    <w:rsid w:val="00F71EE8"/>
    <w:rsid w:val="00F73590"/>
    <w:rsid w:val="00F738BE"/>
    <w:rsid w:val="00F74088"/>
    <w:rsid w:val="00F7439F"/>
    <w:rsid w:val="00F74FDF"/>
    <w:rsid w:val="00F75176"/>
    <w:rsid w:val="00F75330"/>
    <w:rsid w:val="00F75659"/>
    <w:rsid w:val="00F758FD"/>
    <w:rsid w:val="00F75984"/>
    <w:rsid w:val="00F75B66"/>
    <w:rsid w:val="00F75E36"/>
    <w:rsid w:val="00F7628A"/>
    <w:rsid w:val="00F76BD9"/>
    <w:rsid w:val="00F76EFF"/>
    <w:rsid w:val="00F76FE4"/>
    <w:rsid w:val="00F80318"/>
    <w:rsid w:val="00F803D0"/>
    <w:rsid w:val="00F80703"/>
    <w:rsid w:val="00F80948"/>
    <w:rsid w:val="00F80B2C"/>
    <w:rsid w:val="00F80E2E"/>
    <w:rsid w:val="00F81275"/>
    <w:rsid w:val="00F81387"/>
    <w:rsid w:val="00F82134"/>
    <w:rsid w:val="00F822E3"/>
    <w:rsid w:val="00F82866"/>
    <w:rsid w:val="00F8296B"/>
    <w:rsid w:val="00F82E90"/>
    <w:rsid w:val="00F831EB"/>
    <w:rsid w:val="00F836AF"/>
    <w:rsid w:val="00F8379C"/>
    <w:rsid w:val="00F83FFA"/>
    <w:rsid w:val="00F841B0"/>
    <w:rsid w:val="00F841C0"/>
    <w:rsid w:val="00F841FB"/>
    <w:rsid w:val="00F84421"/>
    <w:rsid w:val="00F8449B"/>
    <w:rsid w:val="00F84A57"/>
    <w:rsid w:val="00F84B44"/>
    <w:rsid w:val="00F84B7B"/>
    <w:rsid w:val="00F85047"/>
    <w:rsid w:val="00F855C8"/>
    <w:rsid w:val="00F85691"/>
    <w:rsid w:val="00F8582E"/>
    <w:rsid w:val="00F8586B"/>
    <w:rsid w:val="00F85CD1"/>
    <w:rsid w:val="00F87032"/>
    <w:rsid w:val="00F87094"/>
    <w:rsid w:val="00F87267"/>
    <w:rsid w:val="00F87AB3"/>
    <w:rsid w:val="00F87F45"/>
    <w:rsid w:val="00F9014A"/>
    <w:rsid w:val="00F9052D"/>
    <w:rsid w:val="00F907C0"/>
    <w:rsid w:val="00F90D0F"/>
    <w:rsid w:val="00F913DC"/>
    <w:rsid w:val="00F914CF"/>
    <w:rsid w:val="00F91DDA"/>
    <w:rsid w:val="00F9258B"/>
    <w:rsid w:val="00F92F9E"/>
    <w:rsid w:val="00F93429"/>
    <w:rsid w:val="00F9397A"/>
    <w:rsid w:val="00F93A37"/>
    <w:rsid w:val="00F93D1F"/>
    <w:rsid w:val="00F94182"/>
    <w:rsid w:val="00F9431F"/>
    <w:rsid w:val="00F944D9"/>
    <w:rsid w:val="00F947B9"/>
    <w:rsid w:val="00F94A02"/>
    <w:rsid w:val="00F94A3B"/>
    <w:rsid w:val="00F94AB1"/>
    <w:rsid w:val="00F94DB3"/>
    <w:rsid w:val="00F9648D"/>
    <w:rsid w:val="00F96500"/>
    <w:rsid w:val="00F966CE"/>
    <w:rsid w:val="00F971FC"/>
    <w:rsid w:val="00F972B9"/>
    <w:rsid w:val="00F9735A"/>
    <w:rsid w:val="00FA00AF"/>
    <w:rsid w:val="00FA055B"/>
    <w:rsid w:val="00FA06B6"/>
    <w:rsid w:val="00FA0CA9"/>
    <w:rsid w:val="00FA1A11"/>
    <w:rsid w:val="00FA1E01"/>
    <w:rsid w:val="00FA2C35"/>
    <w:rsid w:val="00FA2C75"/>
    <w:rsid w:val="00FA31E7"/>
    <w:rsid w:val="00FA336F"/>
    <w:rsid w:val="00FA3673"/>
    <w:rsid w:val="00FA413A"/>
    <w:rsid w:val="00FA4144"/>
    <w:rsid w:val="00FA4809"/>
    <w:rsid w:val="00FA4DDF"/>
    <w:rsid w:val="00FA541E"/>
    <w:rsid w:val="00FA5488"/>
    <w:rsid w:val="00FA556F"/>
    <w:rsid w:val="00FA5C71"/>
    <w:rsid w:val="00FA60E6"/>
    <w:rsid w:val="00FA6393"/>
    <w:rsid w:val="00FA645E"/>
    <w:rsid w:val="00FA67FB"/>
    <w:rsid w:val="00FA69E1"/>
    <w:rsid w:val="00FA6A01"/>
    <w:rsid w:val="00FA6DD8"/>
    <w:rsid w:val="00FA6E7F"/>
    <w:rsid w:val="00FA7114"/>
    <w:rsid w:val="00FA724F"/>
    <w:rsid w:val="00FA76BC"/>
    <w:rsid w:val="00FA77CB"/>
    <w:rsid w:val="00FA78A3"/>
    <w:rsid w:val="00FA7CEE"/>
    <w:rsid w:val="00FB052D"/>
    <w:rsid w:val="00FB1178"/>
    <w:rsid w:val="00FB1B46"/>
    <w:rsid w:val="00FB1BEC"/>
    <w:rsid w:val="00FB20E2"/>
    <w:rsid w:val="00FB22D7"/>
    <w:rsid w:val="00FB2379"/>
    <w:rsid w:val="00FB240E"/>
    <w:rsid w:val="00FB2894"/>
    <w:rsid w:val="00FB2CE7"/>
    <w:rsid w:val="00FB2D32"/>
    <w:rsid w:val="00FB33A0"/>
    <w:rsid w:val="00FB3BF3"/>
    <w:rsid w:val="00FB3C95"/>
    <w:rsid w:val="00FB3CB7"/>
    <w:rsid w:val="00FB3D16"/>
    <w:rsid w:val="00FB42BE"/>
    <w:rsid w:val="00FB452D"/>
    <w:rsid w:val="00FB4B8A"/>
    <w:rsid w:val="00FB4E42"/>
    <w:rsid w:val="00FB5152"/>
    <w:rsid w:val="00FB5957"/>
    <w:rsid w:val="00FB5F8F"/>
    <w:rsid w:val="00FB680E"/>
    <w:rsid w:val="00FB6B73"/>
    <w:rsid w:val="00FB706D"/>
    <w:rsid w:val="00FB770C"/>
    <w:rsid w:val="00FB7A0B"/>
    <w:rsid w:val="00FC0065"/>
    <w:rsid w:val="00FC0148"/>
    <w:rsid w:val="00FC062F"/>
    <w:rsid w:val="00FC0754"/>
    <w:rsid w:val="00FC0A9D"/>
    <w:rsid w:val="00FC1E7D"/>
    <w:rsid w:val="00FC207C"/>
    <w:rsid w:val="00FC2232"/>
    <w:rsid w:val="00FC2370"/>
    <w:rsid w:val="00FC23DB"/>
    <w:rsid w:val="00FC2E77"/>
    <w:rsid w:val="00FC3AEE"/>
    <w:rsid w:val="00FC4FE5"/>
    <w:rsid w:val="00FC5410"/>
    <w:rsid w:val="00FC5743"/>
    <w:rsid w:val="00FC605C"/>
    <w:rsid w:val="00FC6238"/>
    <w:rsid w:val="00FC7646"/>
    <w:rsid w:val="00FC7951"/>
    <w:rsid w:val="00FC7B47"/>
    <w:rsid w:val="00FC7EAE"/>
    <w:rsid w:val="00FD072B"/>
    <w:rsid w:val="00FD1058"/>
    <w:rsid w:val="00FD12FA"/>
    <w:rsid w:val="00FD194A"/>
    <w:rsid w:val="00FD236B"/>
    <w:rsid w:val="00FD2785"/>
    <w:rsid w:val="00FD33FC"/>
    <w:rsid w:val="00FD3534"/>
    <w:rsid w:val="00FD3730"/>
    <w:rsid w:val="00FD3ADE"/>
    <w:rsid w:val="00FD3B08"/>
    <w:rsid w:val="00FD4806"/>
    <w:rsid w:val="00FD4BA4"/>
    <w:rsid w:val="00FD534E"/>
    <w:rsid w:val="00FD56C7"/>
    <w:rsid w:val="00FD59C1"/>
    <w:rsid w:val="00FD5CBB"/>
    <w:rsid w:val="00FD6564"/>
    <w:rsid w:val="00FD6B74"/>
    <w:rsid w:val="00FD70AE"/>
    <w:rsid w:val="00FD71F9"/>
    <w:rsid w:val="00FD7271"/>
    <w:rsid w:val="00FD7FFD"/>
    <w:rsid w:val="00FE002E"/>
    <w:rsid w:val="00FE0F6C"/>
    <w:rsid w:val="00FE2398"/>
    <w:rsid w:val="00FE2A1C"/>
    <w:rsid w:val="00FE37EC"/>
    <w:rsid w:val="00FE3CCF"/>
    <w:rsid w:val="00FE3EAD"/>
    <w:rsid w:val="00FE4ECB"/>
    <w:rsid w:val="00FE515A"/>
    <w:rsid w:val="00FE5421"/>
    <w:rsid w:val="00FE5624"/>
    <w:rsid w:val="00FE5AEE"/>
    <w:rsid w:val="00FE5D2C"/>
    <w:rsid w:val="00FE5FBF"/>
    <w:rsid w:val="00FE6016"/>
    <w:rsid w:val="00FE61F1"/>
    <w:rsid w:val="00FE638C"/>
    <w:rsid w:val="00FE6C25"/>
    <w:rsid w:val="00FE7FC9"/>
    <w:rsid w:val="00FF033A"/>
    <w:rsid w:val="00FF048D"/>
    <w:rsid w:val="00FF0608"/>
    <w:rsid w:val="00FF0964"/>
    <w:rsid w:val="00FF0F67"/>
    <w:rsid w:val="00FF16F2"/>
    <w:rsid w:val="00FF1F9B"/>
    <w:rsid w:val="00FF2298"/>
    <w:rsid w:val="00FF24D4"/>
    <w:rsid w:val="00FF2B42"/>
    <w:rsid w:val="00FF2D5B"/>
    <w:rsid w:val="00FF2E36"/>
    <w:rsid w:val="00FF371D"/>
    <w:rsid w:val="00FF3B7F"/>
    <w:rsid w:val="00FF4218"/>
    <w:rsid w:val="00FF4EFD"/>
    <w:rsid w:val="00FF4F92"/>
    <w:rsid w:val="00FF54EB"/>
    <w:rsid w:val="00FF57A7"/>
    <w:rsid w:val="00FF6822"/>
    <w:rsid w:val="00FF72B5"/>
    <w:rsid w:val="00FF73D0"/>
    <w:rsid w:val="00FF7DFF"/>
    <w:rsid w:val="03E945F0"/>
    <w:rsid w:val="0634275A"/>
    <w:rsid w:val="0B19BD1E"/>
    <w:rsid w:val="0C29C674"/>
    <w:rsid w:val="0E39905A"/>
    <w:rsid w:val="10E807B4"/>
    <w:rsid w:val="13DBBD0E"/>
    <w:rsid w:val="141204DA"/>
    <w:rsid w:val="14B2953F"/>
    <w:rsid w:val="14E7D7E2"/>
    <w:rsid w:val="16512788"/>
    <w:rsid w:val="1707AAAD"/>
    <w:rsid w:val="171A2801"/>
    <w:rsid w:val="1A219784"/>
    <w:rsid w:val="1A4D24FE"/>
    <w:rsid w:val="1AE54809"/>
    <w:rsid w:val="1E08858A"/>
    <w:rsid w:val="1F90FB7E"/>
    <w:rsid w:val="208FF571"/>
    <w:rsid w:val="20BFB7CE"/>
    <w:rsid w:val="25638B06"/>
    <w:rsid w:val="25818FC1"/>
    <w:rsid w:val="26718AF2"/>
    <w:rsid w:val="27FF391F"/>
    <w:rsid w:val="292E125F"/>
    <w:rsid w:val="29439F6D"/>
    <w:rsid w:val="2ADAB65B"/>
    <w:rsid w:val="2CF2A8ED"/>
    <w:rsid w:val="2E8FDA15"/>
    <w:rsid w:val="32975CEE"/>
    <w:rsid w:val="3523FA96"/>
    <w:rsid w:val="35704B02"/>
    <w:rsid w:val="357C2CEC"/>
    <w:rsid w:val="3598094A"/>
    <w:rsid w:val="366ACC68"/>
    <w:rsid w:val="367A7B3B"/>
    <w:rsid w:val="3799358E"/>
    <w:rsid w:val="388A792E"/>
    <w:rsid w:val="3AFCA7D2"/>
    <w:rsid w:val="3CC38AEA"/>
    <w:rsid w:val="3D6BB063"/>
    <w:rsid w:val="3E61DC49"/>
    <w:rsid w:val="3EBC24D4"/>
    <w:rsid w:val="41C205CD"/>
    <w:rsid w:val="42CF741F"/>
    <w:rsid w:val="4823D762"/>
    <w:rsid w:val="4A8313F8"/>
    <w:rsid w:val="5131AAFB"/>
    <w:rsid w:val="5661704D"/>
    <w:rsid w:val="58A03154"/>
    <w:rsid w:val="5BA67432"/>
    <w:rsid w:val="5C0B8DB2"/>
    <w:rsid w:val="5CA8FBF1"/>
    <w:rsid w:val="5D5C0E1D"/>
    <w:rsid w:val="616E0EEC"/>
    <w:rsid w:val="63C7FDE8"/>
    <w:rsid w:val="664C5956"/>
    <w:rsid w:val="668741B3"/>
    <w:rsid w:val="6859398A"/>
    <w:rsid w:val="6A4406F8"/>
    <w:rsid w:val="6A6B40BD"/>
    <w:rsid w:val="6C12AD9E"/>
    <w:rsid w:val="6F80CD8C"/>
    <w:rsid w:val="7113C53D"/>
    <w:rsid w:val="715B7525"/>
    <w:rsid w:val="7235E4DA"/>
    <w:rsid w:val="725C27BF"/>
    <w:rsid w:val="72763267"/>
    <w:rsid w:val="7295651C"/>
    <w:rsid w:val="7591DA90"/>
    <w:rsid w:val="75A79B93"/>
    <w:rsid w:val="76EE2E29"/>
    <w:rsid w:val="772224CE"/>
    <w:rsid w:val="7724C247"/>
    <w:rsid w:val="78749862"/>
    <w:rsid w:val="7AD99C4D"/>
    <w:rsid w:val="7BA844F3"/>
    <w:rsid w:val="7EDF49CD"/>
    <w:rsid w:val="7FE78F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0293E"/>
  <w15:docId w15:val="{EFCCA932-BA7F-4882-8D5C-9D09B4437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77E2"/>
    <w:pPr>
      <w:overflowPunct w:val="0"/>
      <w:autoSpaceDE w:val="0"/>
      <w:autoSpaceDN w:val="0"/>
      <w:adjustRightInd w:val="0"/>
      <w:spacing w:after="180"/>
    </w:pPr>
    <w:rPr>
      <w:rFonts w:ascii="Times New Roman" w:hAnsi="Times New Roman"/>
      <w:lang w:val="en-GB" w:eastAsia="zh-TW"/>
    </w:rPr>
  </w:style>
  <w:style w:type="paragraph" w:styleId="1">
    <w:name w:val="heading 1"/>
    <w:aliases w:val="H1,h1,Heading 1 3GPP"/>
    <w:next w:val="a"/>
    <w:link w:val="10"/>
    <w:qFormat/>
    <w:rsid w:val="005831DD"/>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aliases w:val="H2,h2,DO NOT USE_h2,h21,Heading 2 3GPP"/>
    <w:basedOn w:val="1"/>
    <w:next w:val="a"/>
    <w:link w:val="20"/>
    <w:qFormat/>
    <w:rsid w:val="005831DD"/>
    <w:pPr>
      <w:numPr>
        <w:ilvl w:val="1"/>
      </w:numPr>
      <w:pBdr>
        <w:top w:val="none" w:sz="0" w:space="0" w:color="auto"/>
      </w:pBdr>
      <w:spacing w:before="180"/>
      <w:outlineLvl w:val="1"/>
    </w:pPr>
    <w:rPr>
      <w:sz w:val="32"/>
    </w:rPr>
  </w:style>
  <w:style w:type="paragraph" w:styleId="3">
    <w:name w:val="heading 3"/>
    <w:aliases w:val="Heading 3 3GPP"/>
    <w:basedOn w:val="2"/>
    <w:next w:val="a"/>
    <w:qFormat/>
    <w:rsid w:val="005831DD"/>
    <w:pPr>
      <w:numPr>
        <w:ilvl w:val="2"/>
      </w:numPr>
      <w:spacing w:before="120"/>
      <w:outlineLvl w:val="2"/>
    </w:pPr>
    <w:rPr>
      <w:sz w:val="28"/>
    </w:rPr>
  </w:style>
  <w:style w:type="paragraph" w:styleId="40">
    <w:name w:val="heading 4"/>
    <w:basedOn w:val="3"/>
    <w:next w:val="a"/>
    <w:qFormat/>
    <w:rsid w:val="005831DD"/>
    <w:pPr>
      <w:numPr>
        <w:ilvl w:val="3"/>
      </w:numPr>
      <w:outlineLvl w:val="3"/>
    </w:pPr>
    <w:rPr>
      <w:sz w:val="24"/>
    </w:rPr>
  </w:style>
  <w:style w:type="paragraph" w:styleId="5">
    <w:name w:val="heading 5"/>
    <w:basedOn w:val="40"/>
    <w:next w:val="a"/>
    <w:qFormat/>
    <w:rsid w:val="005831DD"/>
    <w:pPr>
      <w:numPr>
        <w:ilvl w:val="4"/>
      </w:numPr>
      <w:outlineLvl w:val="4"/>
    </w:pPr>
    <w:rPr>
      <w:sz w:val="22"/>
    </w:rPr>
  </w:style>
  <w:style w:type="paragraph" w:styleId="6">
    <w:name w:val="heading 6"/>
    <w:basedOn w:val="H6"/>
    <w:next w:val="a"/>
    <w:qFormat/>
    <w:rsid w:val="005831DD"/>
    <w:pPr>
      <w:numPr>
        <w:ilvl w:val="5"/>
      </w:numPr>
      <w:outlineLvl w:val="5"/>
    </w:pPr>
  </w:style>
  <w:style w:type="paragraph" w:styleId="7">
    <w:name w:val="heading 7"/>
    <w:basedOn w:val="H6"/>
    <w:next w:val="a"/>
    <w:qFormat/>
    <w:rsid w:val="005831DD"/>
    <w:pPr>
      <w:numPr>
        <w:ilvl w:val="6"/>
      </w:numPr>
      <w:outlineLvl w:val="6"/>
    </w:pPr>
  </w:style>
  <w:style w:type="paragraph" w:styleId="8">
    <w:name w:val="heading 8"/>
    <w:basedOn w:val="1"/>
    <w:next w:val="a"/>
    <w:qFormat/>
    <w:rsid w:val="005831DD"/>
    <w:pPr>
      <w:numPr>
        <w:ilvl w:val="7"/>
      </w:numPr>
      <w:outlineLvl w:val="7"/>
    </w:pPr>
  </w:style>
  <w:style w:type="paragraph" w:styleId="9">
    <w:name w:val="heading 9"/>
    <w:basedOn w:val="8"/>
    <w:next w:val="a"/>
    <w:qFormat/>
    <w:rsid w:val="005831D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31DD"/>
    <w:pPr>
      <w:ind w:left="1985" w:hanging="1985"/>
      <w:outlineLvl w:val="9"/>
    </w:pPr>
    <w:rPr>
      <w:sz w:val="20"/>
    </w:rPr>
  </w:style>
  <w:style w:type="paragraph" w:styleId="TOC8">
    <w:name w:val="toc 8"/>
    <w:basedOn w:val="TOC1"/>
    <w:semiHidden/>
    <w:rsid w:val="005831DD"/>
    <w:pPr>
      <w:spacing w:before="180"/>
      <w:ind w:left="2693" w:hanging="2693"/>
    </w:pPr>
    <w:rPr>
      <w:b/>
    </w:rPr>
  </w:style>
  <w:style w:type="paragraph" w:styleId="TOC1">
    <w:name w:val="toc 1"/>
    <w:semiHidden/>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5831DD"/>
    <w:pPr>
      <w:ind w:left="1701" w:hanging="1701"/>
    </w:pPr>
  </w:style>
  <w:style w:type="paragraph" w:styleId="TOC4">
    <w:name w:val="toc 4"/>
    <w:basedOn w:val="TOC3"/>
    <w:semiHidden/>
    <w:rsid w:val="005831DD"/>
    <w:pPr>
      <w:ind w:left="1418" w:hanging="1418"/>
    </w:pPr>
  </w:style>
  <w:style w:type="paragraph" w:styleId="TOC3">
    <w:name w:val="toc 3"/>
    <w:basedOn w:val="TOC2"/>
    <w:semiHidden/>
    <w:rsid w:val="005831DD"/>
    <w:pPr>
      <w:ind w:left="1134" w:hanging="1134"/>
    </w:pPr>
  </w:style>
  <w:style w:type="paragraph" w:styleId="TOC2">
    <w:name w:val="toc 2"/>
    <w:basedOn w:val="TOC1"/>
    <w:semiHidden/>
    <w:rsid w:val="005831DD"/>
    <w:pPr>
      <w:keepNext w:val="0"/>
      <w:spacing w:before="0"/>
      <w:ind w:left="851" w:hanging="851"/>
    </w:pPr>
    <w:rPr>
      <w:sz w:val="20"/>
    </w:rPr>
  </w:style>
  <w:style w:type="paragraph" w:styleId="21">
    <w:name w:val="index 2"/>
    <w:basedOn w:val="11"/>
    <w:semiHidden/>
    <w:rsid w:val="005831DD"/>
    <w:pPr>
      <w:ind w:left="284"/>
    </w:pPr>
  </w:style>
  <w:style w:type="paragraph" w:styleId="11">
    <w:name w:val="index 1"/>
    <w:basedOn w:val="a"/>
    <w:semiHidden/>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5831DD"/>
    <w:pPr>
      <w:outlineLvl w:val="9"/>
    </w:pPr>
  </w:style>
  <w:style w:type="paragraph" w:styleId="22">
    <w:name w:val="List Number 2"/>
    <w:basedOn w:val="a3"/>
    <w:rsid w:val="005831DD"/>
    <w:pPr>
      <w:ind w:left="851"/>
    </w:pPr>
  </w:style>
  <w:style w:type="paragraph" w:styleId="a3">
    <w:name w:val="List Number"/>
    <w:basedOn w:val="a4"/>
    <w:rsid w:val="005831DD"/>
  </w:style>
  <w:style w:type="paragraph" w:styleId="a4">
    <w:name w:val="List"/>
    <w:basedOn w:val="a"/>
    <w:rsid w:val="005831DD"/>
    <w:pPr>
      <w:ind w:left="568" w:hanging="284"/>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a6"/>
    <w:rsid w:val="005831DD"/>
    <w:pPr>
      <w:widowControl w:val="0"/>
      <w:overflowPunct w:val="0"/>
      <w:autoSpaceDE w:val="0"/>
      <w:autoSpaceDN w:val="0"/>
      <w:adjustRightInd w:val="0"/>
      <w:textAlignment w:val="baseline"/>
    </w:pPr>
    <w:rPr>
      <w:rFonts w:ascii="Arial" w:hAnsi="Arial"/>
      <w:b/>
      <w:noProof/>
      <w:sz w:val="18"/>
    </w:rPr>
  </w:style>
  <w:style w:type="character" w:styleId="a7">
    <w:name w:val="footnote reference"/>
    <w:rsid w:val="005831DD"/>
    <w:rPr>
      <w:b/>
      <w:position w:val="6"/>
      <w:sz w:val="16"/>
    </w:rPr>
  </w:style>
  <w:style w:type="paragraph" w:styleId="a8">
    <w:name w:val="footnote text"/>
    <w:basedOn w:val="a"/>
    <w:link w:val="a9"/>
    <w:rsid w:val="005831DD"/>
    <w:pPr>
      <w:keepLines/>
      <w:spacing w:after="0"/>
      <w:ind w:left="454" w:hanging="454"/>
    </w:pPr>
    <w:rPr>
      <w:sz w:val="16"/>
    </w:rPr>
  </w:style>
  <w:style w:type="paragraph" w:customStyle="1" w:styleId="TAH">
    <w:name w:val="TAH"/>
    <w:basedOn w:val="TAC"/>
    <w:link w:val="TAHCar"/>
    <w:rsid w:val="005831DD"/>
    <w:rPr>
      <w:b/>
    </w:rPr>
  </w:style>
  <w:style w:type="paragraph" w:customStyle="1" w:styleId="TAC">
    <w:name w:val="TAC"/>
    <w:basedOn w:val="TAL"/>
    <w:link w:val="TACChar"/>
    <w:rsid w:val="005831DD"/>
    <w:pPr>
      <w:jc w:val="center"/>
    </w:pPr>
  </w:style>
  <w:style w:type="paragraph" w:customStyle="1" w:styleId="TAL">
    <w:name w:val="TAL"/>
    <w:basedOn w:val="a"/>
    <w:link w:val="TALChar"/>
    <w:rsid w:val="005831DD"/>
    <w:pPr>
      <w:keepNext/>
      <w:keepLines/>
      <w:spacing w:after="0"/>
    </w:pPr>
    <w:rPr>
      <w:rFonts w:ascii="Arial" w:hAnsi="Arial"/>
      <w:sz w:val="18"/>
    </w:rPr>
  </w:style>
  <w:style w:type="paragraph" w:customStyle="1" w:styleId="TF">
    <w:name w:val="TF"/>
    <w:basedOn w:val="TH"/>
    <w:rsid w:val="005831DD"/>
    <w:pPr>
      <w:keepNext w:val="0"/>
      <w:spacing w:before="0" w:after="240"/>
    </w:pPr>
  </w:style>
  <w:style w:type="paragraph" w:customStyle="1" w:styleId="TH">
    <w:name w:val="TH"/>
    <w:basedOn w:val="a"/>
    <w:link w:val="THChar"/>
    <w:rsid w:val="005831DD"/>
    <w:pPr>
      <w:keepNext/>
      <w:keepLines/>
      <w:spacing w:before="60"/>
      <w:jc w:val="center"/>
    </w:pPr>
    <w:rPr>
      <w:rFonts w:ascii="Arial" w:hAnsi="Arial"/>
      <w:b/>
    </w:rPr>
  </w:style>
  <w:style w:type="paragraph" w:customStyle="1" w:styleId="NO">
    <w:name w:val="NO"/>
    <w:basedOn w:val="a"/>
    <w:rsid w:val="005831DD"/>
    <w:pPr>
      <w:keepLines/>
      <w:ind w:left="1135" w:hanging="851"/>
    </w:pPr>
  </w:style>
  <w:style w:type="paragraph" w:styleId="TOC9">
    <w:name w:val="toc 9"/>
    <w:basedOn w:val="TOC8"/>
    <w:semiHidden/>
    <w:rsid w:val="005831DD"/>
    <w:pPr>
      <w:ind w:left="1418" w:hanging="1418"/>
    </w:pPr>
  </w:style>
  <w:style w:type="paragraph" w:customStyle="1" w:styleId="EX">
    <w:name w:val="EX"/>
    <w:basedOn w:val="a"/>
    <w:rsid w:val="005831DD"/>
    <w:pPr>
      <w:keepLines/>
      <w:ind w:left="1702" w:hanging="1418"/>
    </w:pPr>
  </w:style>
  <w:style w:type="paragraph" w:customStyle="1" w:styleId="FP">
    <w:name w:val="FP"/>
    <w:basedOn w:val="a"/>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TOC6">
    <w:name w:val="toc 6"/>
    <w:basedOn w:val="TOC5"/>
    <w:next w:val="a"/>
    <w:semiHidden/>
    <w:rsid w:val="005831DD"/>
    <w:pPr>
      <w:ind w:left="1985" w:hanging="1985"/>
    </w:pPr>
  </w:style>
  <w:style w:type="paragraph" w:styleId="TOC7">
    <w:name w:val="toc 7"/>
    <w:basedOn w:val="TOC6"/>
    <w:next w:val="a"/>
    <w:semiHidden/>
    <w:rsid w:val="005831DD"/>
    <w:pPr>
      <w:ind w:left="2268" w:hanging="2268"/>
    </w:pPr>
  </w:style>
  <w:style w:type="paragraph" w:styleId="23">
    <w:name w:val="List Bullet 2"/>
    <w:basedOn w:val="aa"/>
    <w:rsid w:val="005831DD"/>
    <w:pPr>
      <w:ind w:left="851"/>
    </w:pPr>
  </w:style>
  <w:style w:type="paragraph" w:styleId="aa">
    <w:name w:val="List Bullet"/>
    <w:basedOn w:val="a4"/>
    <w:rsid w:val="005831DD"/>
  </w:style>
  <w:style w:type="paragraph" w:styleId="30">
    <w:name w:val="List Bullet 3"/>
    <w:basedOn w:val="23"/>
    <w:rsid w:val="005831DD"/>
    <w:pPr>
      <w:ind w:left="1135"/>
    </w:pPr>
  </w:style>
  <w:style w:type="paragraph" w:customStyle="1" w:styleId="EQ">
    <w:name w:val="EQ"/>
    <w:basedOn w:val="a"/>
    <w:next w:val="a"/>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24">
    <w:name w:val="List 2"/>
    <w:basedOn w:val="a4"/>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3"/>
    <w:basedOn w:val="24"/>
    <w:rsid w:val="005831DD"/>
    <w:pPr>
      <w:ind w:left="1135"/>
    </w:pPr>
  </w:style>
  <w:style w:type="paragraph" w:styleId="41">
    <w:name w:val="List 4"/>
    <w:basedOn w:val="31"/>
    <w:rsid w:val="005831DD"/>
    <w:pPr>
      <w:ind w:left="1418"/>
    </w:pPr>
  </w:style>
  <w:style w:type="paragraph" w:styleId="50">
    <w:name w:val="List 5"/>
    <w:basedOn w:val="41"/>
    <w:rsid w:val="005831DD"/>
    <w:pPr>
      <w:ind w:left="1702"/>
    </w:pPr>
  </w:style>
  <w:style w:type="paragraph" w:customStyle="1" w:styleId="EditorsNote">
    <w:name w:val="Editor's Note"/>
    <w:basedOn w:val="NO"/>
    <w:rsid w:val="005831DD"/>
    <w:rPr>
      <w:color w:val="FF0000"/>
    </w:rPr>
  </w:style>
  <w:style w:type="paragraph" w:styleId="42">
    <w:name w:val="List Bullet 4"/>
    <w:basedOn w:val="30"/>
    <w:rsid w:val="005831DD"/>
    <w:pPr>
      <w:ind w:left="1418"/>
    </w:pPr>
  </w:style>
  <w:style w:type="paragraph" w:styleId="51">
    <w:name w:val="List Bullet 5"/>
    <w:basedOn w:val="42"/>
    <w:rsid w:val="005831DD"/>
    <w:pPr>
      <w:ind w:left="1702"/>
    </w:pPr>
  </w:style>
  <w:style w:type="paragraph" w:customStyle="1" w:styleId="B1">
    <w:name w:val="B1"/>
    <w:basedOn w:val="a4"/>
    <w:link w:val="B1Char"/>
    <w:rsid w:val="005831DD"/>
  </w:style>
  <w:style w:type="paragraph" w:customStyle="1" w:styleId="B2">
    <w:name w:val="B2"/>
    <w:basedOn w:val="24"/>
    <w:rsid w:val="005831DD"/>
  </w:style>
  <w:style w:type="paragraph" w:customStyle="1" w:styleId="B3">
    <w:name w:val="B3"/>
    <w:basedOn w:val="31"/>
    <w:rsid w:val="005831DD"/>
  </w:style>
  <w:style w:type="paragraph" w:customStyle="1" w:styleId="B4">
    <w:name w:val="B4"/>
    <w:basedOn w:val="41"/>
    <w:rsid w:val="005831DD"/>
  </w:style>
  <w:style w:type="paragraph" w:customStyle="1" w:styleId="B5">
    <w:name w:val="B5"/>
    <w:basedOn w:val="50"/>
    <w:rsid w:val="005831DD"/>
  </w:style>
  <w:style w:type="paragraph" w:styleId="ab">
    <w:name w:val="footer"/>
    <w:basedOn w:val="a5"/>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rsid w:val="005831DD"/>
    <w:pPr>
      <w:spacing w:after="120"/>
    </w:pPr>
    <w:rPr>
      <w:rFonts w:ascii="Arial" w:eastAsia="MS Mincho" w:hAnsi="Arial"/>
      <w:lang w:val="en-GB"/>
    </w:rPr>
  </w:style>
  <w:style w:type="character" w:styleId="ac">
    <w:name w:val="annotation reference"/>
    <w:semiHidden/>
    <w:rsid w:val="005831DD"/>
    <w:rPr>
      <w:sz w:val="16"/>
    </w:rPr>
  </w:style>
  <w:style w:type="paragraph" w:styleId="ad">
    <w:name w:val="annotation text"/>
    <w:basedOn w:val="a"/>
    <w:link w:val="ae"/>
    <w:semiHidden/>
    <w:rsid w:val="005831DD"/>
    <w:pPr>
      <w:overflowPunct/>
      <w:autoSpaceDE/>
      <w:autoSpaceDN/>
      <w:adjustRightInd/>
    </w:pPr>
    <w:rPr>
      <w:rFonts w:eastAsia="MS Mincho"/>
    </w:rPr>
  </w:style>
  <w:style w:type="paragraph" w:styleId="25">
    <w:name w:val="Body Text 2"/>
    <w:basedOn w:val="a"/>
    <w:rsid w:val="005831DD"/>
    <w:pPr>
      <w:overflowPunct/>
      <w:autoSpaceDE/>
      <w:autoSpaceDN/>
      <w:adjustRightInd/>
    </w:pPr>
    <w:rPr>
      <w:rFonts w:eastAsia="MS Mincho"/>
      <w:color w:val="FFFF00"/>
      <w:lang w:eastAsia="ja-JP"/>
    </w:rPr>
  </w:style>
  <w:style w:type="paragraph" w:customStyle="1" w:styleId="00BodyText">
    <w:name w:val="00 BodyText"/>
    <w:basedOn w:val="a"/>
    <w:rsid w:val="005831DD"/>
    <w:pPr>
      <w:overflowPunct/>
      <w:autoSpaceDE/>
      <w:autoSpaceDN/>
      <w:adjustRightInd/>
      <w:spacing w:after="220"/>
    </w:pPr>
    <w:rPr>
      <w:rFonts w:ascii="Arial" w:hAnsi="Arial"/>
      <w:sz w:val="22"/>
      <w:lang w:val="en-US"/>
    </w:rPr>
  </w:style>
  <w:style w:type="paragraph" w:customStyle="1" w:styleId="11BodyText">
    <w:name w:val="11 BodyText"/>
    <w:basedOn w:val="a"/>
    <w:rsid w:val="005831DD"/>
    <w:pPr>
      <w:overflowPunct/>
      <w:autoSpaceDE/>
      <w:autoSpaceDN/>
      <w:adjustRightInd/>
      <w:spacing w:after="220"/>
      <w:ind w:left="1298"/>
    </w:pPr>
    <w:rPr>
      <w:rFonts w:ascii="Arial" w:hAnsi="Arial"/>
      <w:sz w:val="22"/>
      <w:lang w:val="en-US"/>
    </w:rPr>
  </w:style>
  <w:style w:type="paragraph" w:customStyle="1" w:styleId="B6">
    <w:name w:val="B6"/>
    <w:basedOn w:val="B5"/>
    <w:rsid w:val="005831DD"/>
  </w:style>
  <w:style w:type="paragraph" w:styleId="af">
    <w:name w:val="Document Map"/>
    <w:basedOn w:val="a"/>
    <w:semiHidden/>
    <w:rsid w:val="002B2813"/>
    <w:pPr>
      <w:shd w:val="clear" w:color="auto" w:fill="000080"/>
    </w:pPr>
    <w:rPr>
      <w:rFonts w:ascii="Tahoma" w:hAnsi="Tahoma" w:cs="Tahoma"/>
    </w:rPr>
  </w:style>
  <w:style w:type="paragraph" w:styleId="af0">
    <w:name w:val="annotation subject"/>
    <w:basedOn w:val="ad"/>
    <w:next w:val="ad"/>
    <w:semiHidden/>
    <w:rsid w:val="00063D9E"/>
    <w:pPr>
      <w:overflowPunct w:val="0"/>
      <w:autoSpaceDE w:val="0"/>
      <w:autoSpaceDN w:val="0"/>
      <w:adjustRightInd w:val="0"/>
      <w:textAlignment w:val="baseline"/>
    </w:pPr>
    <w:rPr>
      <w:rFonts w:eastAsia="Times New Roman"/>
      <w:b/>
      <w:bCs/>
    </w:rPr>
  </w:style>
  <w:style w:type="paragraph" w:styleId="af1">
    <w:name w:val="Balloon Text"/>
    <w:basedOn w:val="a"/>
    <w:semiHidden/>
    <w:rsid w:val="00063D9E"/>
    <w:rPr>
      <w:rFonts w:ascii="Tahoma" w:hAnsi="Tahoma" w:cs="Tahoma"/>
      <w:sz w:val="16"/>
      <w:szCs w:val="16"/>
    </w:rPr>
  </w:style>
  <w:style w:type="character" w:styleId="af2">
    <w:name w:val="Hyperlink"/>
    <w:uiPriority w:val="99"/>
    <w:qFormat/>
    <w:rsid w:val="000511F9"/>
    <w:rPr>
      <w:color w:val="0000FF"/>
      <w:u w:val="single"/>
    </w:rPr>
  </w:style>
  <w:style w:type="paragraph" w:styleId="af3">
    <w:name w:val="caption"/>
    <w:aliases w:val="cap,cap Char,Caption Char,Caption Char1 Char,cap Char Char1,Caption Char Char1 Char,cap Char2,条目,cap1,cap2,cap11,cap Char Char Char Char Char Char Char,Caption Char2,Caption Char Char Char,Caption Char Char1,fig and tbl,fighead2,Table Caption"/>
    <w:basedOn w:val="a"/>
    <w:next w:val="a"/>
    <w:link w:val="af4"/>
    <w:qFormat/>
    <w:rsid w:val="005831DD"/>
    <w:pPr>
      <w:spacing w:before="120" w:after="120"/>
    </w:pPr>
    <w:rPr>
      <w:b/>
    </w:rPr>
  </w:style>
  <w:style w:type="character" w:customStyle="1" w:styleId="af4">
    <w:name w:val="题注 字符"/>
    <w:aliases w:val="cap 字符,cap Char 字符,Caption Char 字符,Caption Char1 Char 字符,cap Char Char1 字符,Caption Char Char1 Char 字符,cap Char2 字符,条目 字符,cap1 字符,cap2 字符,cap11 字符,cap Char Char Char Char Char Char Char 字符,Caption Char2 字符,Caption Char Char Char 字符,fig and tbl 字符"/>
    <w:link w:val="af3"/>
    <w:rsid w:val="005831DD"/>
    <w:rPr>
      <w:rFonts w:ascii="Times New Roman" w:hAnsi="Times New Roman"/>
      <w:b/>
    </w:rPr>
  </w:style>
  <w:style w:type="paragraph" w:customStyle="1" w:styleId="Doc-text2">
    <w:name w:val="Doc-text2"/>
    <w:basedOn w:val="a"/>
    <w:link w:val="Doc-text2Char"/>
    <w:qFormat/>
    <w:rsid w:val="005831DD"/>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af5">
    <w:name w:val="Revision"/>
    <w:hidden/>
    <w:uiPriority w:val="99"/>
    <w:semiHidden/>
    <w:rsid w:val="005607B8"/>
    <w:rPr>
      <w:rFonts w:ascii="Times New Roman" w:hAnsi="Times New Roman"/>
      <w:lang w:val="en-GB"/>
    </w:rPr>
  </w:style>
  <w:style w:type="paragraph" w:styleId="af6">
    <w:name w:val="List Paragraph"/>
    <w:aliases w:val="- Bullets,목록 단락,リスト段落,列出段落,?? ??,?????,????,Lista1,列出段落1,中等深浅网格 1 - 着色 21,R4_bullets,列表段落1,—ño’i—Ž,¥¡¡¡¡ì¬º¥¹¥È¶ÎÂä,ÁÐ³ö¶ÎÂä,¥ê¥¹¥È¶ÎÂä,1st level - Bullet List Paragraph,Lettre d'introduction,Paragrafo elenco,Normal bullet 2,목록단락,列"/>
    <w:basedOn w:val="a"/>
    <w:link w:val="af7"/>
    <w:uiPriority w:val="34"/>
    <w:qFormat/>
    <w:rsid w:val="007651CA"/>
    <w:pPr>
      <w:overflowPunct/>
      <w:autoSpaceDE/>
      <w:autoSpaceDN/>
      <w:adjustRightInd/>
      <w:spacing w:after="0"/>
      <w:ind w:left="720"/>
      <w:contextualSpacing/>
    </w:pPr>
    <w:rPr>
      <w:sz w:val="24"/>
      <w:szCs w:val="24"/>
      <w:lang w:val="fi-FI" w:eastAsia="zh-CN"/>
    </w:rPr>
  </w:style>
  <w:style w:type="character" w:customStyle="1" w:styleId="a9">
    <w:name w:val="脚注文本 字符"/>
    <w:link w:val="a8"/>
    <w:rsid w:val="007651CA"/>
    <w:rPr>
      <w:rFonts w:ascii="Times New Roman" w:hAnsi="Times New Roman"/>
      <w:sz w:val="16"/>
      <w:lang w:val="en-GB"/>
    </w:rPr>
  </w:style>
  <w:style w:type="paragraph" w:customStyle="1" w:styleId="owapara">
    <w:name w:val="owapara"/>
    <w:basedOn w:val="a"/>
    <w:rsid w:val="00CD121E"/>
    <w:pPr>
      <w:overflowPunct/>
      <w:autoSpaceDE/>
      <w:autoSpaceDN/>
      <w:adjustRightInd/>
      <w:spacing w:after="0"/>
    </w:pPr>
    <w:rPr>
      <w:rFonts w:eastAsia="Calibri"/>
      <w:sz w:val="24"/>
      <w:szCs w:val="24"/>
      <w:lang w:val="en-US"/>
    </w:rPr>
  </w:style>
  <w:style w:type="paragraph" w:styleId="af8">
    <w:name w:val="Body Text"/>
    <w:basedOn w:val="a"/>
    <w:link w:val="af9"/>
    <w:rsid w:val="00C72E18"/>
    <w:pPr>
      <w:spacing w:after="120"/>
    </w:pPr>
  </w:style>
  <w:style w:type="character" w:customStyle="1" w:styleId="af9">
    <w:name w:val="正文文本 字符"/>
    <w:link w:val="af8"/>
    <w:rsid w:val="00C72E18"/>
    <w:rPr>
      <w:rFonts w:ascii="Times New Roman" w:hAnsi="Times New Roman"/>
      <w:lang w:val="en-GB"/>
    </w:rPr>
  </w:style>
  <w:style w:type="character" w:customStyle="1" w:styleId="ae">
    <w:name w:val="批注文字 字符"/>
    <w:link w:val="ad"/>
    <w:semiHidden/>
    <w:rsid w:val="004241C5"/>
    <w:rPr>
      <w:rFonts w:ascii="Times New Roman" w:eastAsia="MS Mincho" w:hAnsi="Times New Roman"/>
      <w:lang w:val="en-GB"/>
    </w:rPr>
  </w:style>
  <w:style w:type="character" w:styleId="afa">
    <w:name w:val="FollowedHyperlink"/>
    <w:semiHidden/>
    <w:unhideWhenUsed/>
    <w:rsid w:val="00B3377E"/>
    <w:rPr>
      <w:color w:val="800080"/>
      <w:u w:val="single"/>
    </w:rPr>
  </w:style>
  <w:style w:type="table" w:styleId="afb">
    <w:name w:val="Table Grid"/>
    <w:basedOn w:val="a1"/>
    <w:qFormat/>
    <w:rsid w:val="00DE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a"/>
    <w:rsid w:val="003B00CA"/>
    <w:pPr>
      <w:widowControl w:val="0"/>
      <w:overflowPunct/>
      <w:snapToGrid w:val="0"/>
      <w:spacing w:afterLines="50" w:line="264" w:lineRule="auto"/>
      <w:jc w:val="both"/>
    </w:pPr>
    <w:rPr>
      <w:rFonts w:eastAsia="Batang"/>
      <w:kern w:val="2"/>
      <w:sz w:val="22"/>
      <w:szCs w:val="24"/>
      <w:lang w:eastAsia="ko-KR"/>
    </w:rPr>
  </w:style>
  <w:style w:type="paragraph" w:styleId="afc">
    <w:name w:val="Normal (Web)"/>
    <w:basedOn w:val="a"/>
    <w:uiPriority w:val="99"/>
    <w:unhideWhenUsed/>
    <w:qFormat/>
    <w:rsid w:val="00F265F7"/>
    <w:pPr>
      <w:overflowPunct/>
      <w:autoSpaceDE/>
      <w:autoSpaceDN/>
      <w:adjustRightInd/>
      <w:spacing w:before="100" w:beforeAutospacing="1" w:after="100" w:afterAutospacing="1"/>
    </w:pPr>
    <w:rPr>
      <w:sz w:val="24"/>
      <w:szCs w:val="24"/>
      <w:lang w:val="en-US"/>
    </w:rPr>
  </w:style>
  <w:style w:type="character" w:customStyle="1" w:styleId="B1Char">
    <w:name w:val="B1 Char"/>
    <w:link w:val="B1"/>
    <w:locked/>
    <w:rsid w:val="00327163"/>
    <w:rPr>
      <w:rFonts w:ascii="Times New Roman" w:hAnsi="Times New Roman"/>
      <w:lang w:val="en-GB"/>
    </w:rPr>
  </w:style>
  <w:style w:type="character" w:customStyle="1" w:styleId="af7">
    <w:name w:val="列表段落 字符"/>
    <w:aliases w:val="- Bullets 字符,목록 단락 字符,リスト段落 字符,列出段落 字符1,?? ?? 字符,????? 字符,???? 字符,Lista1 字符,列出段落1 字符,中等深浅网格 1 - 着色 21 字符,R4_bullets 字符,列表段落1 字符,—ño’i—Ž 字符,¥¡¡¡¡ì¬º¥¹¥È¶ÎÂä 字符,ÁÐ³ö¶ÎÂä 字符,¥ê¥¹¥È¶ÎÂä 字符,1st level - Bullet List Paragraph 字符,Paragrafo elenco 字符"/>
    <w:link w:val="af6"/>
    <w:uiPriority w:val="34"/>
    <w:qFormat/>
    <w:locked/>
    <w:rsid w:val="00142DE2"/>
    <w:rPr>
      <w:rFonts w:ascii="Times New Roman" w:hAnsi="Times New Roman"/>
      <w:sz w:val="24"/>
      <w:szCs w:val="24"/>
      <w:lang w:val="fi-FI" w:eastAsia="zh-CN"/>
    </w:rPr>
  </w:style>
  <w:style w:type="character" w:styleId="afd">
    <w:name w:val="Placeholder Text"/>
    <w:basedOn w:val="a0"/>
    <w:uiPriority w:val="99"/>
    <w:semiHidden/>
    <w:rsid w:val="004D4FBD"/>
    <w:rPr>
      <w:color w:val="808080"/>
    </w:rPr>
  </w:style>
  <w:style w:type="character" w:customStyle="1" w:styleId="a6">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5"/>
    <w:locked/>
    <w:rsid w:val="00D82798"/>
    <w:rPr>
      <w:rFonts w:ascii="Arial" w:hAnsi="Arial"/>
      <w:b/>
      <w:noProof/>
      <w:sz w:val="18"/>
    </w:rPr>
  </w:style>
  <w:style w:type="character" w:customStyle="1" w:styleId="10">
    <w:name w:val="标题 1 字符"/>
    <w:aliases w:val="H1 字符,h1 字符,Heading 1 3GPP 字符"/>
    <w:basedOn w:val="a0"/>
    <w:link w:val="1"/>
    <w:rsid w:val="00704495"/>
    <w:rPr>
      <w:rFonts w:ascii="Arial" w:hAnsi="Arial"/>
      <w:sz w:val="36"/>
      <w:lang w:val="en-GB"/>
    </w:rPr>
  </w:style>
  <w:style w:type="character" w:customStyle="1" w:styleId="20">
    <w:name w:val="标题 2 字符"/>
    <w:aliases w:val="H2 字符,h2 字符,DO NOT USE_h2 字符,h21 字符,Heading 2 3GPP 字符"/>
    <w:basedOn w:val="a0"/>
    <w:link w:val="2"/>
    <w:rsid w:val="00704495"/>
    <w:rPr>
      <w:rFonts w:ascii="Arial" w:hAnsi="Arial"/>
      <w:sz w:val="32"/>
      <w:lang w:val="en-GB"/>
    </w:rPr>
  </w:style>
  <w:style w:type="table" w:styleId="12">
    <w:name w:val="Plain Table 1"/>
    <w:basedOn w:val="a1"/>
    <w:uiPriority w:val="41"/>
    <w:rsid w:val="00724B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rsid w:val="009F102A"/>
    <w:rPr>
      <w:lang w:eastAsia="en-US"/>
    </w:rPr>
  </w:style>
  <w:style w:type="character" w:customStyle="1" w:styleId="THChar">
    <w:name w:val="TH Char"/>
    <w:link w:val="TH"/>
    <w:rsid w:val="009F102A"/>
    <w:rPr>
      <w:rFonts w:ascii="Arial" w:hAnsi="Arial"/>
      <w:b/>
      <w:lang w:val="en-GB"/>
    </w:rPr>
  </w:style>
  <w:style w:type="character" w:customStyle="1" w:styleId="TACChar">
    <w:name w:val="TAC Char"/>
    <w:link w:val="TAC"/>
    <w:locked/>
    <w:rsid w:val="009F102A"/>
    <w:rPr>
      <w:rFonts w:ascii="Arial" w:hAnsi="Arial"/>
      <w:sz w:val="18"/>
      <w:lang w:val="en-GB"/>
    </w:rPr>
  </w:style>
  <w:style w:type="character" w:customStyle="1" w:styleId="TAHCar">
    <w:name w:val="TAH Car"/>
    <w:link w:val="TAH"/>
    <w:qFormat/>
    <w:rsid w:val="009F102A"/>
    <w:rPr>
      <w:rFonts w:ascii="Arial" w:hAnsi="Arial"/>
      <w:b/>
      <w:sz w:val="18"/>
      <w:lang w:val="en-GB"/>
    </w:rPr>
  </w:style>
  <w:style w:type="paragraph" w:styleId="afe">
    <w:name w:val="No Spacing"/>
    <w:uiPriority w:val="1"/>
    <w:qFormat/>
    <w:rsid w:val="00D34DEB"/>
    <w:rPr>
      <w:rFonts w:ascii="Arial" w:eastAsia="Times New Roman" w:hAnsi="Arial"/>
      <w:sz w:val="22"/>
      <w:lang w:val="en-GB"/>
    </w:rPr>
  </w:style>
  <w:style w:type="paragraph" w:customStyle="1" w:styleId="item">
    <w:name w:val="item"/>
    <w:basedOn w:val="a"/>
    <w:rsid w:val="000C5B5B"/>
    <w:pPr>
      <w:numPr>
        <w:numId w:val="2"/>
      </w:numPr>
      <w:overflowPunct/>
      <w:autoSpaceDE/>
      <w:autoSpaceDN/>
      <w:adjustRightInd/>
      <w:spacing w:after="0"/>
      <w:jc w:val="both"/>
    </w:pPr>
    <w:rPr>
      <w:rFonts w:eastAsia="MS Mincho"/>
    </w:rPr>
  </w:style>
  <w:style w:type="table" w:customStyle="1" w:styleId="TableGrid7">
    <w:name w:val="Table Grid7"/>
    <w:basedOn w:val="a1"/>
    <w:next w:val="afb"/>
    <w:uiPriority w:val="39"/>
    <w:qFormat/>
    <w:rsid w:val="000C5B5B"/>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
    <w:qFormat/>
    <w:rsid w:val="000C5B5B"/>
    <w:pPr>
      <w:numPr>
        <w:numId w:val="3"/>
      </w:numPr>
      <w:overflowPunct/>
      <w:autoSpaceDE/>
      <w:autoSpaceDN/>
      <w:adjustRightInd/>
      <w:spacing w:after="0"/>
    </w:pPr>
    <w:rPr>
      <w:rFonts w:ascii="Times" w:eastAsia="Batang" w:hAnsi="Times"/>
      <w:szCs w:val="24"/>
      <w:lang w:val="x-none" w:eastAsia="x-none"/>
    </w:rPr>
  </w:style>
  <w:style w:type="character" w:styleId="aff">
    <w:name w:val="Unresolved Mention"/>
    <w:basedOn w:val="a0"/>
    <w:uiPriority w:val="99"/>
    <w:unhideWhenUsed/>
    <w:rsid w:val="00377D61"/>
    <w:rPr>
      <w:color w:val="605E5C"/>
      <w:shd w:val="clear" w:color="auto" w:fill="E1DFDD"/>
    </w:rPr>
  </w:style>
  <w:style w:type="table" w:styleId="aff0">
    <w:name w:val="Grid Table Light"/>
    <w:basedOn w:val="a1"/>
    <w:uiPriority w:val="40"/>
    <w:rsid w:val="0099307C"/>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a0"/>
    <w:rsid w:val="009E698C"/>
  </w:style>
  <w:style w:type="paragraph" w:customStyle="1" w:styleId="paragraph">
    <w:name w:val="paragraph"/>
    <w:basedOn w:val="a"/>
    <w:rsid w:val="00A7051B"/>
    <w:pPr>
      <w:overflowPunct/>
      <w:autoSpaceDE/>
      <w:autoSpaceDN/>
      <w:adjustRightInd/>
      <w:spacing w:before="100" w:beforeAutospacing="1" w:after="100" w:afterAutospacing="1"/>
    </w:pPr>
    <w:rPr>
      <w:rFonts w:eastAsia="Times New Roman"/>
      <w:sz w:val="24"/>
      <w:szCs w:val="24"/>
      <w:lang w:val="da-DK" w:eastAsia="da-DK"/>
    </w:rPr>
  </w:style>
  <w:style w:type="character" w:customStyle="1" w:styleId="eop">
    <w:name w:val="eop"/>
    <w:basedOn w:val="a0"/>
    <w:rsid w:val="00A7051B"/>
  </w:style>
  <w:style w:type="character" w:styleId="aff1">
    <w:name w:val="Mention"/>
    <w:basedOn w:val="a0"/>
    <w:uiPriority w:val="99"/>
    <w:unhideWhenUsed/>
    <w:rsid w:val="00CB1BAE"/>
    <w:rPr>
      <w:color w:val="2B579A"/>
      <w:shd w:val="clear" w:color="auto" w:fill="E1DFDD"/>
    </w:rPr>
  </w:style>
  <w:style w:type="character" w:customStyle="1" w:styleId="TALChar">
    <w:name w:val="TAL Char"/>
    <w:basedOn w:val="a0"/>
    <w:link w:val="TAL"/>
    <w:locked/>
    <w:rsid w:val="00642084"/>
    <w:rPr>
      <w:rFonts w:ascii="Arial" w:hAnsi="Arial"/>
      <w:sz w:val="18"/>
      <w:lang w:val="en-GB"/>
    </w:rPr>
  </w:style>
  <w:style w:type="table" w:customStyle="1" w:styleId="TableGrid1">
    <w:name w:val="Table Grid1"/>
    <w:basedOn w:val="a1"/>
    <w:next w:val="afb"/>
    <w:uiPriority w:val="39"/>
    <w:qFormat/>
    <w:rsid w:val="002A092C"/>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标题4"/>
    <w:basedOn w:val="a"/>
    <w:rsid w:val="002F4893"/>
    <w:pPr>
      <w:numPr>
        <w:numId w:val="5"/>
      </w:numPr>
      <w:textAlignment w:val="baseline"/>
    </w:pPr>
    <w:rPr>
      <w:rFonts w:eastAsia="Times New Roman"/>
      <w:lang w:val="en-US" w:eastAsia="en-GB"/>
    </w:rPr>
  </w:style>
  <w:style w:type="paragraph" w:customStyle="1" w:styleId="26">
    <w:name w:val="列出段落2"/>
    <w:basedOn w:val="a"/>
    <w:link w:val="aff2"/>
    <w:uiPriority w:val="34"/>
    <w:qFormat/>
    <w:rsid w:val="00A87598"/>
    <w:pPr>
      <w:suppressAutoHyphens/>
      <w:overflowPunct/>
      <w:autoSpaceDE/>
      <w:autoSpaceDN/>
      <w:adjustRightInd/>
      <w:spacing w:after="50"/>
      <w:ind w:left="840"/>
    </w:pPr>
    <w:rPr>
      <w:rFonts w:ascii="Cambria" w:eastAsia="黑体" w:hAnsi="Cambria" w:cs="宋体"/>
      <w:lang w:val="en-US"/>
    </w:rPr>
  </w:style>
  <w:style w:type="character" w:customStyle="1" w:styleId="aff2">
    <w:name w:val="列出段落 字符"/>
    <w:link w:val="26"/>
    <w:uiPriority w:val="34"/>
    <w:qFormat/>
    <w:rsid w:val="00A87598"/>
    <w:rPr>
      <w:rFonts w:ascii="Cambria" w:eastAsia="黑体" w:hAnsi="Cambria" w:cs="宋体"/>
    </w:rPr>
  </w:style>
  <w:style w:type="character" w:styleId="aff3">
    <w:name w:val="Emphasis"/>
    <w:basedOn w:val="a0"/>
    <w:qFormat/>
    <w:rsid w:val="00000011"/>
    <w:rPr>
      <w:i/>
      <w:iCs/>
    </w:rPr>
  </w:style>
  <w:style w:type="paragraph" w:customStyle="1" w:styleId="Reference">
    <w:name w:val="Reference"/>
    <w:basedOn w:val="af8"/>
    <w:locked/>
    <w:rsid w:val="00500AE7"/>
    <w:pPr>
      <w:numPr>
        <w:numId w:val="6"/>
      </w:numPr>
      <w:tabs>
        <w:tab w:val="clear" w:pos="567"/>
        <w:tab w:val="num" w:pos="360"/>
      </w:tabs>
      <w:overflowPunct/>
      <w:autoSpaceDE/>
      <w:autoSpaceDN/>
      <w:adjustRightInd/>
      <w:spacing w:line="256" w:lineRule="auto"/>
      <w:ind w:left="0" w:firstLine="0"/>
      <w:jc w:val="both"/>
    </w:pPr>
    <w:rPr>
      <w:rFonts w:ascii="Arial" w:eastAsiaTheme="minorHAnsi" w:hAnsi="Arial" w:cstheme="minorBidi"/>
      <w:szCs w:val="22"/>
      <w:lang w:val="en-US" w:eastAsia="zh-CN"/>
    </w:rPr>
  </w:style>
  <w:style w:type="table" w:customStyle="1" w:styleId="TableGrid2">
    <w:name w:val="Table Grid2"/>
    <w:basedOn w:val="a1"/>
    <w:next w:val="afb"/>
    <w:uiPriority w:val="39"/>
    <w:rsid w:val="00F61C68"/>
    <w:rPr>
      <w:rFonts w:ascii="Calibri" w:eastAsia="等线"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267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7673">
      <w:bodyDiv w:val="1"/>
      <w:marLeft w:val="0"/>
      <w:marRight w:val="0"/>
      <w:marTop w:val="0"/>
      <w:marBottom w:val="0"/>
      <w:divBdr>
        <w:top w:val="none" w:sz="0" w:space="0" w:color="auto"/>
        <w:left w:val="none" w:sz="0" w:space="0" w:color="auto"/>
        <w:bottom w:val="none" w:sz="0" w:space="0" w:color="auto"/>
        <w:right w:val="none" w:sz="0" w:space="0" w:color="auto"/>
      </w:divBdr>
    </w:div>
    <w:div w:id="19210527">
      <w:bodyDiv w:val="1"/>
      <w:marLeft w:val="0"/>
      <w:marRight w:val="0"/>
      <w:marTop w:val="0"/>
      <w:marBottom w:val="0"/>
      <w:divBdr>
        <w:top w:val="none" w:sz="0" w:space="0" w:color="auto"/>
        <w:left w:val="none" w:sz="0" w:space="0" w:color="auto"/>
        <w:bottom w:val="none" w:sz="0" w:space="0" w:color="auto"/>
        <w:right w:val="none" w:sz="0" w:space="0" w:color="auto"/>
      </w:divBdr>
    </w:div>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30347508">
      <w:bodyDiv w:val="1"/>
      <w:marLeft w:val="0"/>
      <w:marRight w:val="0"/>
      <w:marTop w:val="0"/>
      <w:marBottom w:val="0"/>
      <w:divBdr>
        <w:top w:val="none" w:sz="0" w:space="0" w:color="auto"/>
        <w:left w:val="none" w:sz="0" w:space="0" w:color="auto"/>
        <w:bottom w:val="none" w:sz="0" w:space="0" w:color="auto"/>
        <w:right w:val="none" w:sz="0" w:space="0" w:color="auto"/>
      </w:divBdr>
    </w:div>
    <w:div w:id="35397803">
      <w:bodyDiv w:val="1"/>
      <w:marLeft w:val="0"/>
      <w:marRight w:val="0"/>
      <w:marTop w:val="0"/>
      <w:marBottom w:val="0"/>
      <w:divBdr>
        <w:top w:val="none" w:sz="0" w:space="0" w:color="auto"/>
        <w:left w:val="none" w:sz="0" w:space="0" w:color="auto"/>
        <w:bottom w:val="none" w:sz="0" w:space="0" w:color="auto"/>
        <w:right w:val="none" w:sz="0" w:space="0" w:color="auto"/>
      </w:divBdr>
      <w:divsChild>
        <w:div w:id="873348284">
          <w:marLeft w:val="1267"/>
          <w:marRight w:val="0"/>
          <w:marTop w:val="180"/>
          <w:marBottom w:val="0"/>
          <w:divBdr>
            <w:top w:val="none" w:sz="0" w:space="0" w:color="auto"/>
            <w:left w:val="none" w:sz="0" w:space="0" w:color="auto"/>
            <w:bottom w:val="none" w:sz="0" w:space="0" w:color="auto"/>
            <w:right w:val="none" w:sz="0" w:space="0" w:color="auto"/>
          </w:divBdr>
        </w:div>
        <w:div w:id="1040011497">
          <w:marLeft w:val="432"/>
          <w:marRight w:val="0"/>
          <w:marTop w:val="240"/>
          <w:marBottom w:val="0"/>
          <w:divBdr>
            <w:top w:val="none" w:sz="0" w:space="0" w:color="auto"/>
            <w:left w:val="none" w:sz="0" w:space="0" w:color="auto"/>
            <w:bottom w:val="none" w:sz="0" w:space="0" w:color="auto"/>
            <w:right w:val="none" w:sz="0" w:space="0" w:color="auto"/>
          </w:divBdr>
        </w:div>
      </w:divsChild>
    </w:div>
    <w:div w:id="40254757">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51271603">
      <w:bodyDiv w:val="1"/>
      <w:marLeft w:val="0"/>
      <w:marRight w:val="0"/>
      <w:marTop w:val="0"/>
      <w:marBottom w:val="0"/>
      <w:divBdr>
        <w:top w:val="none" w:sz="0" w:space="0" w:color="auto"/>
        <w:left w:val="none" w:sz="0" w:space="0" w:color="auto"/>
        <w:bottom w:val="none" w:sz="0" w:space="0" w:color="auto"/>
        <w:right w:val="none" w:sz="0" w:space="0" w:color="auto"/>
      </w:divBdr>
    </w:div>
    <w:div w:id="56519829">
      <w:bodyDiv w:val="1"/>
      <w:marLeft w:val="0"/>
      <w:marRight w:val="0"/>
      <w:marTop w:val="0"/>
      <w:marBottom w:val="0"/>
      <w:divBdr>
        <w:top w:val="none" w:sz="0" w:space="0" w:color="auto"/>
        <w:left w:val="none" w:sz="0" w:space="0" w:color="auto"/>
        <w:bottom w:val="none" w:sz="0" w:space="0" w:color="auto"/>
        <w:right w:val="none" w:sz="0" w:space="0" w:color="auto"/>
      </w:divBdr>
    </w:div>
    <w:div w:id="60640209">
      <w:bodyDiv w:val="1"/>
      <w:marLeft w:val="0"/>
      <w:marRight w:val="0"/>
      <w:marTop w:val="0"/>
      <w:marBottom w:val="0"/>
      <w:divBdr>
        <w:top w:val="none" w:sz="0" w:space="0" w:color="auto"/>
        <w:left w:val="none" w:sz="0" w:space="0" w:color="auto"/>
        <w:bottom w:val="none" w:sz="0" w:space="0" w:color="auto"/>
        <w:right w:val="none" w:sz="0" w:space="0" w:color="auto"/>
      </w:divBdr>
    </w:div>
    <w:div w:id="65616401">
      <w:bodyDiv w:val="1"/>
      <w:marLeft w:val="0"/>
      <w:marRight w:val="0"/>
      <w:marTop w:val="0"/>
      <w:marBottom w:val="0"/>
      <w:divBdr>
        <w:top w:val="none" w:sz="0" w:space="0" w:color="auto"/>
        <w:left w:val="none" w:sz="0" w:space="0" w:color="auto"/>
        <w:bottom w:val="none" w:sz="0" w:space="0" w:color="auto"/>
        <w:right w:val="none" w:sz="0" w:space="0" w:color="auto"/>
      </w:divBdr>
      <w:divsChild>
        <w:div w:id="956909933">
          <w:marLeft w:val="432"/>
          <w:marRight w:val="0"/>
          <w:marTop w:val="240"/>
          <w:marBottom w:val="0"/>
          <w:divBdr>
            <w:top w:val="none" w:sz="0" w:space="0" w:color="auto"/>
            <w:left w:val="none" w:sz="0" w:space="0" w:color="auto"/>
            <w:bottom w:val="none" w:sz="0" w:space="0" w:color="auto"/>
            <w:right w:val="none" w:sz="0" w:space="0" w:color="auto"/>
          </w:divBdr>
        </w:div>
        <w:div w:id="1077367148">
          <w:marLeft w:val="432"/>
          <w:marRight w:val="0"/>
          <w:marTop w:val="240"/>
          <w:marBottom w:val="0"/>
          <w:divBdr>
            <w:top w:val="none" w:sz="0" w:space="0" w:color="auto"/>
            <w:left w:val="none" w:sz="0" w:space="0" w:color="auto"/>
            <w:bottom w:val="none" w:sz="0" w:space="0" w:color="auto"/>
            <w:right w:val="none" w:sz="0" w:space="0" w:color="auto"/>
          </w:divBdr>
        </w:div>
      </w:divsChild>
    </w:div>
    <w:div w:id="69931631">
      <w:bodyDiv w:val="1"/>
      <w:marLeft w:val="0"/>
      <w:marRight w:val="0"/>
      <w:marTop w:val="0"/>
      <w:marBottom w:val="0"/>
      <w:divBdr>
        <w:top w:val="none" w:sz="0" w:space="0" w:color="auto"/>
        <w:left w:val="none" w:sz="0" w:space="0" w:color="auto"/>
        <w:bottom w:val="none" w:sz="0" w:space="0" w:color="auto"/>
        <w:right w:val="none" w:sz="0" w:space="0" w:color="auto"/>
      </w:divBdr>
    </w:div>
    <w:div w:id="72899956">
      <w:bodyDiv w:val="1"/>
      <w:marLeft w:val="0"/>
      <w:marRight w:val="0"/>
      <w:marTop w:val="0"/>
      <w:marBottom w:val="0"/>
      <w:divBdr>
        <w:top w:val="none" w:sz="0" w:space="0" w:color="auto"/>
        <w:left w:val="none" w:sz="0" w:space="0" w:color="auto"/>
        <w:bottom w:val="none" w:sz="0" w:space="0" w:color="auto"/>
        <w:right w:val="none" w:sz="0" w:space="0" w:color="auto"/>
      </w:divBdr>
    </w:div>
    <w:div w:id="73162512">
      <w:bodyDiv w:val="1"/>
      <w:marLeft w:val="0"/>
      <w:marRight w:val="0"/>
      <w:marTop w:val="0"/>
      <w:marBottom w:val="0"/>
      <w:divBdr>
        <w:top w:val="none" w:sz="0" w:space="0" w:color="auto"/>
        <w:left w:val="none" w:sz="0" w:space="0" w:color="auto"/>
        <w:bottom w:val="none" w:sz="0" w:space="0" w:color="auto"/>
        <w:right w:val="none" w:sz="0" w:space="0" w:color="auto"/>
      </w:divBdr>
    </w:div>
    <w:div w:id="74327528">
      <w:bodyDiv w:val="1"/>
      <w:marLeft w:val="0"/>
      <w:marRight w:val="0"/>
      <w:marTop w:val="0"/>
      <w:marBottom w:val="0"/>
      <w:divBdr>
        <w:top w:val="none" w:sz="0" w:space="0" w:color="auto"/>
        <w:left w:val="none" w:sz="0" w:space="0" w:color="auto"/>
        <w:bottom w:val="none" w:sz="0" w:space="0" w:color="auto"/>
        <w:right w:val="none" w:sz="0" w:space="0" w:color="auto"/>
      </w:divBdr>
    </w:div>
    <w:div w:id="75396490">
      <w:bodyDiv w:val="1"/>
      <w:marLeft w:val="0"/>
      <w:marRight w:val="0"/>
      <w:marTop w:val="0"/>
      <w:marBottom w:val="0"/>
      <w:divBdr>
        <w:top w:val="none" w:sz="0" w:space="0" w:color="auto"/>
        <w:left w:val="none" w:sz="0" w:space="0" w:color="auto"/>
        <w:bottom w:val="none" w:sz="0" w:space="0" w:color="auto"/>
        <w:right w:val="none" w:sz="0" w:space="0" w:color="auto"/>
      </w:divBdr>
    </w:div>
    <w:div w:id="83302953">
      <w:bodyDiv w:val="1"/>
      <w:marLeft w:val="0"/>
      <w:marRight w:val="0"/>
      <w:marTop w:val="0"/>
      <w:marBottom w:val="0"/>
      <w:divBdr>
        <w:top w:val="none" w:sz="0" w:space="0" w:color="auto"/>
        <w:left w:val="none" w:sz="0" w:space="0" w:color="auto"/>
        <w:bottom w:val="none" w:sz="0" w:space="0" w:color="auto"/>
        <w:right w:val="none" w:sz="0" w:space="0" w:color="auto"/>
      </w:divBdr>
    </w:div>
    <w:div w:id="89741181">
      <w:bodyDiv w:val="1"/>
      <w:marLeft w:val="0"/>
      <w:marRight w:val="0"/>
      <w:marTop w:val="0"/>
      <w:marBottom w:val="0"/>
      <w:divBdr>
        <w:top w:val="none" w:sz="0" w:space="0" w:color="auto"/>
        <w:left w:val="none" w:sz="0" w:space="0" w:color="auto"/>
        <w:bottom w:val="none" w:sz="0" w:space="0" w:color="auto"/>
        <w:right w:val="none" w:sz="0" w:space="0" w:color="auto"/>
      </w:divBdr>
    </w:div>
    <w:div w:id="101388096">
      <w:bodyDiv w:val="1"/>
      <w:marLeft w:val="0"/>
      <w:marRight w:val="0"/>
      <w:marTop w:val="0"/>
      <w:marBottom w:val="0"/>
      <w:divBdr>
        <w:top w:val="none" w:sz="0" w:space="0" w:color="auto"/>
        <w:left w:val="none" w:sz="0" w:space="0" w:color="auto"/>
        <w:bottom w:val="none" w:sz="0" w:space="0" w:color="auto"/>
        <w:right w:val="none" w:sz="0" w:space="0" w:color="auto"/>
      </w:divBdr>
    </w:div>
    <w:div w:id="106432313">
      <w:bodyDiv w:val="1"/>
      <w:marLeft w:val="0"/>
      <w:marRight w:val="0"/>
      <w:marTop w:val="0"/>
      <w:marBottom w:val="0"/>
      <w:divBdr>
        <w:top w:val="none" w:sz="0" w:space="0" w:color="auto"/>
        <w:left w:val="none" w:sz="0" w:space="0" w:color="auto"/>
        <w:bottom w:val="none" w:sz="0" w:space="0" w:color="auto"/>
        <w:right w:val="none" w:sz="0" w:space="0" w:color="auto"/>
      </w:divBdr>
      <w:divsChild>
        <w:div w:id="1263031646">
          <w:marLeft w:val="360"/>
          <w:marRight w:val="0"/>
          <w:marTop w:val="0"/>
          <w:marBottom w:val="60"/>
          <w:divBdr>
            <w:top w:val="none" w:sz="0" w:space="0" w:color="auto"/>
            <w:left w:val="none" w:sz="0" w:space="0" w:color="auto"/>
            <w:bottom w:val="none" w:sz="0" w:space="0" w:color="auto"/>
            <w:right w:val="none" w:sz="0" w:space="0" w:color="auto"/>
          </w:divBdr>
        </w:div>
      </w:divsChild>
    </w:div>
    <w:div w:id="106586254">
      <w:bodyDiv w:val="1"/>
      <w:marLeft w:val="0"/>
      <w:marRight w:val="0"/>
      <w:marTop w:val="0"/>
      <w:marBottom w:val="0"/>
      <w:divBdr>
        <w:top w:val="none" w:sz="0" w:space="0" w:color="auto"/>
        <w:left w:val="none" w:sz="0" w:space="0" w:color="auto"/>
        <w:bottom w:val="none" w:sz="0" w:space="0" w:color="auto"/>
        <w:right w:val="none" w:sz="0" w:space="0" w:color="auto"/>
      </w:divBdr>
    </w:div>
    <w:div w:id="116457489">
      <w:bodyDiv w:val="1"/>
      <w:marLeft w:val="0"/>
      <w:marRight w:val="0"/>
      <w:marTop w:val="0"/>
      <w:marBottom w:val="0"/>
      <w:divBdr>
        <w:top w:val="none" w:sz="0" w:space="0" w:color="auto"/>
        <w:left w:val="none" w:sz="0" w:space="0" w:color="auto"/>
        <w:bottom w:val="none" w:sz="0" w:space="0" w:color="auto"/>
        <w:right w:val="none" w:sz="0" w:space="0" w:color="auto"/>
      </w:divBdr>
    </w:div>
    <w:div w:id="117722633">
      <w:bodyDiv w:val="1"/>
      <w:marLeft w:val="0"/>
      <w:marRight w:val="0"/>
      <w:marTop w:val="0"/>
      <w:marBottom w:val="0"/>
      <w:divBdr>
        <w:top w:val="none" w:sz="0" w:space="0" w:color="auto"/>
        <w:left w:val="none" w:sz="0" w:space="0" w:color="auto"/>
        <w:bottom w:val="none" w:sz="0" w:space="0" w:color="auto"/>
        <w:right w:val="none" w:sz="0" w:space="0" w:color="auto"/>
      </w:divBdr>
    </w:div>
    <w:div w:id="120924570">
      <w:bodyDiv w:val="1"/>
      <w:marLeft w:val="0"/>
      <w:marRight w:val="0"/>
      <w:marTop w:val="0"/>
      <w:marBottom w:val="0"/>
      <w:divBdr>
        <w:top w:val="none" w:sz="0" w:space="0" w:color="auto"/>
        <w:left w:val="none" w:sz="0" w:space="0" w:color="auto"/>
        <w:bottom w:val="none" w:sz="0" w:space="0" w:color="auto"/>
        <w:right w:val="none" w:sz="0" w:space="0" w:color="auto"/>
      </w:divBdr>
    </w:div>
    <w:div w:id="131794423">
      <w:bodyDiv w:val="1"/>
      <w:marLeft w:val="0"/>
      <w:marRight w:val="0"/>
      <w:marTop w:val="0"/>
      <w:marBottom w:val="0"/>
      <w:divBdr>
        <w:top w:val="none" w:sz="0" w:space="0" w:color="auto"/>
        <w:left w:val="none" w:sz="0" w:space="0" w:color="auto"/>
        <w:bottom w:val="none" w:sz="0" w:space="0" w:color="auto"/>
        <w:right w:val="none" w:sz="0" w:space="0" w:color="auto"/>
      </w:divBdr>
    </w:div>
    <w:div w:id="134875047">
      <w:bodyDiv w:val="1"/>
      <w:marLeft w:val="0"/>
      <w:marRight w:val="0"/>
      <w:marTop w:val="0"/>
      <w:marBottom w:val="0"/>
      <w:divBdr>
        <w:top w:val="none" w:sz="0" w:space="0" w:color="auto"/>
        <w:left w:val="none" w:sz="0" w:space="0" w:color="auto"/>
        <w:bottom w:val="none" w:sz="0" w:space="0" w:color="auto"/>
        <w:right w:val="none" w:sz="0" w:space="0" w:color="auto"/>
      </w:divBdr>
    </w:div>
    <w:div w:id="141771373">
      <w:bodyDiv w:val="1"/>
      <w:marLeft w:val="0"/>
      <w:marRight w:val="0"/>
      <w:marTop w:val="0"/>
      <w:marBottom w:val="0"/>
      <w:divBdr>
        <w:top w:val="none" w:sz="0" w:space="0" w:color="auto"/>
        <w:left w:val="none" w:sz="0" w:space="0" w:color="auto"/>
        <w:bottom w:val="none" w:sz="0" w:space="0" w:color="auto"/>
        <w:right w:val="none" w:sz="0" w:space="0" w:color="auto"/>
      </w:divBdr>
    </w:div>
    <w:div w:id="154304089">
      <w:bodyDiv w:val="1"/>
      <w:marLeft w:val="0"/>
      <w:marRight w:val="0"/>
      <w:marTop w:val="0"/>
      <w:marBottom w:val="0"/>
      <w:divBdr>
        <w:top w:val="none" w:sz="0" w:space="0" w:color="auto"/>
        <w:left w:val="none" w:sz="0" w:space="0" w:color="auto"/>
        <w:bottom w:val="none" w:sz="0" w:space="0" w:color="auto"/>
        <w:right w:val="none" w:sz="0" w:space="0" w:color="auto"/>
      </w:divBdr>
      <w:divsChild>
        <w:div w:id="1524827477">
          <w:marLeft w:val="907"/>
          <w:marRight w:val="0"/>
          <w:marTop w:val="0"/>
          <w:marBottom w:val="0"/>
          <w:divBdr>
            <w:top w:val="none" w:sz="0" w:space="0" w:color="auto"/>
            <w:left w:val="none" w:sz="0" w:space="0" w:color="auto"/>
            <w:bottom w:val="none" w:sz="0" w:space="0" w:color="auto"/>
            <w:right w:val="none" w:sz="0" w:space="0" w:color="auto"/>
          </w:divBdr>
        </w:div>
        <w:div w:id="1622296846">
          <w:marLeft w:val="547"/>
          <w:marRight w:val="0"/>
          <w:marTop w:val="0"/>
          <w:marBottom w:val="0"/>
          <w:divBdr>
            <w:top w:val="none" w:sz="0" w:space="0" w:color="auto"/>
            <w:left w:val="none" w:sz="0" w:space="0" w:color="auto"/>
            <w:bottom w:val="none" w:sz="0" w:space="0" w:color="auto"/>
            <w:right w:val="none" w:sz="0" w:space="0" w:color="auto"/>
          </w:divBdr>
        </w:div>
      </w:divsChild>
    </w:div>
    <w:div w:id="163907096">
      <w:bodyDiv w:val="1"/>
      <w:marLeft w:val="0"/>
      <w:marRight w:val="0"/>
      <w:marTop w:val="0"/>
      <w:marBottom w:val="0"/>
      <w:divBdr>
        <w:top w:val="none" w:sz="0" w:space="0" w:color="auto"/>
        <w:left w:val="none" w:sz="0" w:space="0" w:color="auto"/>
        <w:bottom w:val="none" w:sz="0" w:space="0" w:color="auto"/>
        <w:right w:val="none" w:sz="0" w:space="0" w:color="auto"/>
      </w:divBdr>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73109263">
      <w:bodyDiv w:val="1"/>
      <w:marLeft w:val="0"/>
      <w:marRight w:val="0"/>
      <w:marTop w:val="0"/>
      <w:marBottom w:val="0"/>
      <w:divBdr>
        <w:top w:val="none" w:sz="0" w:space="0" w:color="auto"/>
        <w:left w:val="none" w:sz="0" w:space="0" w:color="auto"/>
        <w:bottom w:val="none" w:sz="0" w:space="0" w:color="auto"/>
        <w:right w:val="none" w:sz="0" w:space="0" w:color="auto"/>
      </w:divBdr>
    </w:div>
    <w:div w:id="187305502">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189416315">
      <w:bodyDiv w:val="1"/>
      <w:marLeft w:val="0"/>
      <w:marRight w:val="0"/>
      <w:marTop w:val="0"/>
      <w:marBottom w:val="0"/>
      <w:divBdr>
        <w:top w:val="none" w:sz="0" w:space="0" w:color="auto"/>
        <w:left w:val="none" w:sz="0" w:space="0" w:color="auto"/>
        <w:bottom w:val="none" w:sz="0" w:space="0" w:color="auto"/>
        <w:right w:val="none" w:sz="0" w:space="0" w:color="auto"/>
      </w:divBdr>
    </w:div>
    <w:div w:id="190533886">
      <w:bodyDiv w:val="1"/>
      <w:marLeft w:val="0"/>
      <w:marRight w:val="0"/>
      <w:marTop w:val="0"/>
      <w:marBottom w:val="0"/>
      <w:divBdr>
        <w:top w:val="none" w:sz="0" w:space="0" w:color="auto"/>
        <w:left w:val="none" w:sz="0" w:space="0" w:color="auto"/>
        <w:bottom w:val="none" w:sz="0" w:space="0" w:color="auto"/>
        <w:right w:val="none" w:sz="0" w:space="0" w:color="auto"/>
      </w:divBdr>
    </w:div>
    <w:div w:id="195312007">
      <w:bodyDiv w:val="1"/>
      <w:marLeft w:val="0"/>
      <w:marRight w:val="0"/>
      <w:marTop w:val="0"/>
      <w:marBottom w:val="0"/>
      <w:divBdr>
        <w:top w:val="none" w:sz="0" w:space="0" w:color="auto"/>
        <w:left w:val="none" w:sz="0" w:space="0" w:color="auto"/>
        <w:bottom w:val="none" w:sz="0" w:space="0" w:color="auto"/>
        <w:right w:val="none" w:sz="0" w:space="0" w:color="auto"/>
      </w:divBdr>
    </w:div>
    <w:div w:id="195510863">
      <w:bodyDiv w:val="1"/>
      <w:marLeft w:val="0"/>
      <w:marRight w:val="0"/>
      <w:marTop w:val="0"/>
      <w:marBottom w:val="0"/>
      <w:divBdr>
        <w:top w:val="none" w:sz="0" w:space="0" w:color="auto"/>
        <w:left w:val="none" w:sz="0" w:space="0" w:color="auto"/>
        <w:bottom w:val="none" w:sz="0" w:space="0" w:color="auto"/>
        <w:right w:val="none" w:sz="0" w:space="0" w:color="auto"/>
      </w:divBdr>
    </w:div>
    <w:div w:id="196743652">
      <w:bodyDiv w:val="1"/>
      <w:marLeft w:val="0"/>
      <w:marRight w:val="0"/>
      <w:marTop w:val="0"/>
      <w:marBottom w:val="0"/>
      <w:divBdr>
        <w:top w:val="none" w:sz="0" w:space="0" w:color="auto"/>
        <w:left w:val="none" w:sz="0" w:space="0" w:color="auto"/>
        <w:bottom w:val="none" w:sz="0" w:space="0" w:color="auto"/>
        <w:right w:val="none" w:sz="0" w:space="0" w:color="auto"/>
      </w:divBdr>
      <w:divsChild>
        <w:div w:id="1750536507">
          <w:marLeft w:val="1699"/>
          <w:marRight w:val="0"/>
          <w:marTop w:val="120"/>
          <w:marBottom w:val="0"/>
          <w:divBdr>
            <w:top w:val="none" w:sz="0" w:space="0" w:color="auto"/>
            <w:left w:val="none" w:sz="0" w:space="0" w:color="auto"/>
            <w:bottom w:val="none" w:sz="0" w:space="0" w:color="auto"/>
            <w:right w:val="none" w:sz="0" w:space="0" w:color="auto"/>
          </w:divBdr>
        </w:div>
      </w:divsChild>
    </w:div>
    <w:div w:id="223762843">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37982045">
      <w:bodyDiv w:val="1"/>
      <w:marLeft w:val="0"/>
      <w:marRight w:val="0"/>
      <w:marTop w:val="0"/>
      <w:marBottom w:val="0"/>
      <w:divBdr>
        <w:top w:val="none" w:sz="0" w:space="0" w:color="auto"/>
        <w:left w:val="none" w:sz="0" w:space="0" w:color="auto"/>
        <w:bottom w:val="none" w:sz="0" w:space="0" w:color="auto"/>
        <w:right w:val="none" w:sz="0" w:space="0" w:color="auto"/>
      </w:divBdr>
    </w:div>
    <w:div w:id="241259050">
      <w:bodyDiv w:val="1"/>
      <w:marLeft w:val="0"/>
      <w:marRight w:val="0"/>
      <w:marTop w:val="0"/>
      <w:marBottom w:val="0"/>
      <w:divBdr>
        <w:top w:val="none" w:sz="0" w:space="0" w:color="auto"/>
        <w:left w:val="none" w:sz="0" w:space="0" w:color="auto"/>
        <w:bottom w:val="none" w:sz="0" w:space="0" w:color="auto"/>
        <w:right w:val="none" w:sz="0" w:space="0" w:color="auto"/>
      </w:divBdr>
    </w:div>
    <w:div w:id="242030906">
      <w:bodyDiv w:val="1"/>
      <w:marLeft w:val="0"/>
      <w:marRight w:val="0"/>
      <w:marTop w:val="0"/>
      <w:marBottom w:val="0"/>
      <w:divBdr>
        <w:top w:val="none" w:sz="0" w:space="0" w:color="auto"/>
        <w:left w:val="none" w:sz="0" w:space="0" w:color="auto"/>
        <w:bottom w:val="none" w:sz="0" w:space="0" w:color="auto"/>
        <w:right w:val="none" w:sz="0" w:space="0" w:color="auto"/>
      </w:divBdr>
    </w:div>
    <w:div w:id="242640866">
      <w:bodyDiv w:val="1"/>
      <w:marLeft w:val="0"/>
      <w:marRight w:val="0"/>
      <w:marTop w:val="0"/>
      <w:marBottom w:val="0"/>
      <w:divBdr>
        <w:top w:val="none" w:sz="0" w:space="0" w:color="auto"/>
        <w:left w:val="none" w:sz="0" w:space="0" w:color="auto"/>
        <w:bottom w:val="none" w:sz="0" w:space="0" w:color="auto"/>
        <w:right w:val="none" w:sz="0" w:space="0" w:color="auto"/>
      </w:divBdr>
    </w:div>
    <w:div w:id="251790526">
      <w:bodyDiv w:val="1"/>
      <w:marLeft w:val="0"/>
      <w:marRight w:val="0"/>
      <w:marTop w:val="0"/>
      <w:marBottom w:val="0"/>
      <w:divBdr>
        <w:top w:val="none" w:sz="0" w:space="0" w:color="auto"/>
        <w:left w:val="none" w:sz="0" w:space="0" w:color="auto"/>
        <w:bottom w:val="none" w:sz="0" w:space="0" w:color="auto"/>
        <w:right w:val="none" w:sz="0" w:space="0" w:color="auto"/>
      </w:divBdr>
    </w:div>
    <w:div w:id="252205724">
      <w:bodyDiv w:val="1"/>
      <w:marLeft w:val="0"/>
      <w:marRight w:val="0"/>
      <w:marTop w:val="0"/>
      <w:marBottom w:val="0"/>
      <w:divBdr>
        <w:top w:val="none" w:sz="0" w:space="0" w:color="auto"/>
        <w:left w:val="none" w:sz="0" w:space="0" w:color="auto"/>
        <w:bottom w:val="none" w:sz="0" w:space="0" w:color="auto"/>
        <w:right w:val="none" w:sz="0" w:space="0" w:color="auto"/>
      </w:divBdr>
    </w:div>
    <w:div w:id="270623372">
      <w:bodyDiv w:val="1"/>
      <w:marLeft w:val="0"/>
      <w:marRight w:val="0"/>
      <w:marTop w:val="0"/>
      <w:marBottom w:val="0"/>
      <w:divBdr>
        <w:top w:val="none" w:sz="0" w:space="0" w:color="auto"/>
        <w:left w:val="none" w:sz="0" w:space="0" w:color="auto"/>
        <w:bottom w:val="none" w:sz="0" w:space="0" w:color="auto"/>
        <w:right w:val="none" w:sz="0" w:space="0" w:color="auto"/>
      </w:divBdr>
    </w:div>
    <w:div w:id="274824016">
      <w:bodyDiv w:val="1"/>
      <w:marLeft w:val="0"/>
      <w:marRight w:val="0"/>
      <w:marTop w:val="0"/>
      <w:marBottom w:val="0"/>
      <w:divBdr>
        <w:top w:val="none" w:sz="0" w:space="0" w:color="auto"/>
        <w:left w:val="none" w:sz="0" w:space="0" w:color="auto"/>
        <w:bottom w:val="none" w:sz="0" w:space="0" w:color="auto"/>
        <w:right w:val="none" w:sz="0" w:space="0" w:color="auto"/>
      </w:divBdr>
    </w:div>
    <w:div w:id="290521326">
      <w:bodyDiv w:val="1"/>
      <w:marLeft w:val="0"/>
      <w:marRight w:val="0"/>
      <w:marTop w:val="0"/>
      <w:marBottom w:val="0"/>
      <w:divBdr>
        <w:top w:val="none" w:sz="0" w:space="0" w:color="auto"/>
        <w:left w:val="none" w:sz="0" w:space="0" w:color="auto"/>
        <w:bottom w:val="none" w:sz="0" w:space="0" w:color="auto"/>
        <w:right w:val="none" w:sz="0" w:space="0" w:color="auto"/>
      </w:divBdr>
    </w:div>
    <w:div w:id="294455174">
      <w:bodyDiv w:val="1"/>
      <w:marLeft w:val="0"/>
      <w:marRight w:val="0"/>
      <w:marTop w:val="0"/>
      <w:marBottom w:val="0"/>
      <w:divBdr>
        <w:top w:val="none" w:sz="0" w:space="0" w:color="auto"/>
        <w:left w:val="none" w:sz="0" w:space="0" w:color="auto"/>
        <w:bottom w:val="none" w:sz="0" w:space="0" w:color="auto"/>
        <w:right w:val="none" w:sz="0" w:space="0" w:color="auto"/>
      </w:divBdr>
    </w:div>
    <w:div w:id="294724105">
      <w:bodyDiv w:val="1"/>
      <w:marLeft w:val="0"/>
      <w:marRight w:val="0"/>
      <w:marTop w:val="0"/>
      <w:marBottom w:val="0"/>
      <w:divBdr>
        <w:top w:val="none" w:sz="0" w:space="0" w:color="auto"/>
        <w:left w:val="none" w:sz="0" w:space="0" w:color="auto"/>
        <w:bottom w:val="none" w:sz="0" w:space="0" w:color="auto"/>
        <w:right w:val="none" w:sz="0" w:space="0" w:color="auto"/>
      </w:divBdr>
    </w:div>
    <w:div w:id="301735952">
      <w:bodyDiv w:val="1"/>
      <w:marLeft w:val="0"/>
      <w:marRight w:val="0"/>
      <w:marTop w:val="0"/>
      <w:marBottom w:val="0"/>
      <w:divBdr>
        <w:top w:val="none" w:sz="0" w:space="0" w:color="auto"/>
        <w:left w:val="none" w:sz="0" w:space="0" w:color="auto"/>
        <w:bottom w:val="none" w:sz="0" w:space="0" w:color="auto"/>
        <w:right w:val="none" w:sz="0" w:space="0" w:color="auto"/>
      </w:divBdr>
    </w:div>
    <w:div w:id="316224358">
      <w:bodyDiv w:val="1"/>
      <w:marLeft w:val="0"/>
      <w:marRight w:val="0"/>
      <w:marTop w:val="0"/>
      <w:marBottom w:val="0"/>
      <w:divBdr>
        <w:top w:val="none" w:sz="0" w:space="0" w:color="auto"/>
        <w:left w:val="none" w:sz="0" w:space="0" w:color="auto"/>
        <w:bottom w:val="none" w:sz="0" w:space="0" w:color="auto"/>
        <w:right w:val="none" w:sz="0" w:space="0" w:color="auto"/>
      </w:divBdr>
    </w:div>
    <w:div w:id="318000823">
      <w:bodyDiv w:val="1"/>
      <w:marLeft w:val="0"/>
      <w:marRight w:val="0"/>
      <w:marTop w:val="0"/>
      <w:marBottom w:val="0"/>
      <w:divBdr>
        <w:top w:val="none" w:sz="0" w:space="0" w:color="auto"/>
        <w:left w:val="none" w:sz="0" w:space="0" w:color="auto"/>
        <w:bottom w:val="none" w:sz="0" w:space="0" w:color="auto"/>
        <w:right w:val="none" w:sz="0" w:space="0" w:color="auto"/>
      </w:divBdr>
    </w:div>
    <w:div w:id="326712285">
      <w:bodyDiv w:val="1"/>
      <w:marLeft w:val="0"/>
      <w:marRight w:val="0"/>
      <w:marTop w:val="0"/>
      <w:marBottom w:val="0"/>
      <w:divBdr>
        <w:top w:val="none" w:sz="0" w:space="0" w:color="auto"/>
        <w:left w:val="none" w:sz="0" w:space="0" w:color="auto"/>
        <w:bottom w:val="none" w:sz="0" w:space="0" w:color="auto"/>
        <w:right w:val="none" w:sz="0" w:space="0" w:color="auto"/>
      </w:divBdr>
    </w:div>
    <w:div w:id="328413431">
      <w:bodyDiv w:val="1"/>
      <w:marLeft w:val="0"/>
      <w:marRight w:val="0"/>
      <w:marTop w:val="0"/>
      <w:marBottom w:val="0"/>
      <w:divBdr>
        <w:top w:val="none" w:sz="0" w:space="0" w:color="auto"/>
        <w:left w:val="none" w:sz="0" w:space="0" w:color="auto"/>
        <w:bottom w:val="none" w:sz="0" w:space="0" w:color="auto"/>
        <w:right w:val="none" w:sz="0" w:space="0" w:color="auto"/>
      </w:divBdr>
    </w:div>
    <w:div w:id="329604963">
      <w:bodyDiv w:val="1"/>
      <w:marLeft w:val="0"/>
      <w:marRight w:val="0"/>
      <w:marTop w:val="0"/>
      <w:marBottom w:val="0"/>
      <w:divBdr>
        <w:top w:val="none" w:sz="0" w:space="0" w:color="auto"/>
        <w:left w:val="none" w:sz="0" w:space="0" w:color="auto"/>
        <w:bottom w:val="none" w:sz="0" w:space="0" w:color="auto"/>
        <w:right w:val="none" w:sz="0" w:space="0" w:color="auto"/>
      </w:divBdr>
      <w:divsChild>
        <w:div w:id="186405601">
          <w:marLeft w:val="547"/>
          <w:marRight w:val="0"/>
          <w:marTop w:val="0"/>
          <w:marBottom w:val="0"/>
          <w:divBdr>
            <w:top w:val="none" w:sz="0" w:space="0" w:color="auto"/>
            <w:left w:val="none" w:sz="0" w:space="0" w:color="auto"/>
            <w:bottom w:val="none" w:sz="0" w:space="0" w:color="auto"/>
            <w:right w:val="none" w:sz="0" w:space="0" w:color="auto"/>
          </w:divBdr>
        </w:div>
        <w:div w:id="1088888710">
          <w:marLeft w:val="547"/>
          <w:marRight w:val="0"/>
          <w:marTop w:val="0"/>
          <w:marBottom w:val="0"/>
          <w:divBdr>
            <w:top w:val="none" w:sz="0" w:space="0" w:color="auto"/>
            <w:left w:val="none" w:sz="0" w:space="0" w:color="auto"/>
            <w:bottom w:val="none" w:sz="0" w:space="0" w:color="auto"/>
            <w:right w:val="none" w:sz="0" w:space="0" w:color="auto"/>
          </w:divBdr>
        </w:div>
        <w:div w:id="1179588212">
          <w:marLeft w:val="547"/>
          <w:marRight w:val="0"/>
          <w:marTop w:val="0"/>
          <w:marBottom w:val="0"/>
          <w:divBdr>
            <w:top w:val="none" w:sz="0" w:space="0" w:color="auto"/>
            <w:left w:val="none" w:sz="0" w:space="0" w:color="auto"/>
            <w:bottom w:val="none" w:sz="0" w:space="0" w:color="auto"/>
            <w:right w:val="none" w:sz="0" w:space="0" w:color="auto"/>
          </w:divBdr>
        </w:div>
        <w:div w:id="1990674527">
          <w:marLeft w:val="547"/>
          <w:marRight w:val="0"/>
          <w:marTop w:val="0"/>
          <w:marBottom w:val="0"/>
          <w:divBdr>
            <w:top w:val="none" w:sz="0" w:space="0" w:color="auto"/>
            <w:left w:val="none" w:sz="0" w:space="0" w:color="auto"/>
            <w:bottom w:val="none" w:sz="0" w:space="0" w:color="auto"/>
            <w:right w:val="none" w:sz="0" w:space="0" w:color="auto"/>
          </w:divBdr>
        </w:div>
      </w:divsChild>
    </w:div>
    <w:div w:id="333070368">
      <w:bodyDiv w:val="1"/>
      <w:marLeft w:val="0"/>
      <w:marRight w:val="0"/>
      <w:marTop w:val="0"/>
      <w:marBottom w:val="0"/>
      <w:divBdr>
        <w:top w:val="none" w:sz="0" w:space="0" w:color="auto"/>
        <w:left w:val="none" w:sz="0" w:space="0" w:color="auto"/>
        <w:bottom w:val="none" w:sz="0" w:space="0" w:color="auto"/>
        <w:right w:val="none" w:sz="0" w:space="0" w:color="auto"/>
      </w:divBdr>
    </w:div>
    <w:div w:id="345446132">
      <w:bodyDiv w:val="1"/>
      <w:marLeft w:val="0"/>
      <w:marRight w:val="0"/>
      <w:marTop w:val="0"/>
      <w:marBottom w:val="0"/>
      <w:divBdr>
        <w:top w:val="none" w:sz="0" w:space="0" w:color="auto"/>
        <w:left w:val="none" w:sz="0" w:space="0" w:color="auto"/>
        <w:bottom w:val="none" w:sz="0" w:space="0" w:color="auto"/>
        <w:right w:val="none" w:sz="0" w:space="0" w:color="auto"/>
      </w:divBdr>
    </w:div>
    <w:div w:id="354621122">
      <w:bodyDiv w:val="1"/>
      <w:marLeft w:val="0"/>
      <w:marRight w:val="0"/>
      <w:marTop w:val="0"/>
      <w:marBottom w:val="0"/>
      <w:divBdr>
        <w:top w:val="none" w:sz="0" w:space="0" w:color="auto"/>
        <w:left w:val="none" w:sz="0" w:space="0" w:color="auto"/>
        <w:bottom w:val="none" w:sz="0" w:space="0" w:color="auto"/>
        <w:right w:val="none" w:sz="0" w:space="0" w:color="auto"/>
      </w:divBdr>
    </w:div>
    <w:div w:id="361054801">
      <w:bodyDiv w:val="1"/>
      <w:marLeft w:val="0"/>
      <w:marRight w:val="0"/>
      <w:marTop w:val="0"/>
      <w:marBottom w:val="0"/>
      <w:divBdr>
        <w:top w:val="none" w:sz="0" w:space="0" w:color="auto"/>
        <w:left w:val="none" w:sz="0" w:space="0" w:color="auto"/>
        <w:bottom w:val="none" w:sz="0" w:space="0" w:color="auto"/>
        <w:right w:val="none" w:sz="0" w:space="0" w:color="auto"/>
      </w:divBdr>
    </w:div>
    <w:div w:id="363139879">
      <w:bodyDiv w:val="1"/>
      <w:marLeft w:val="0"/>
      <w:marRight w:val="0"/>
      <w:marTop w:val="0"/>
      <w:marBottom w:val="0"/>
      <w:divBdr>
        <w:top w:val="none" w:sz="0" w:space="0" w:color="auto"/>
        <w:left w:val="none" w:sz="0" w:space="0" w:color="auto"/>
        <w:bottom w:val="none" w:sz="0" w:space="0" w:color="auto"/>
        <w:right w:val="none" w:sz="0" w:space="0" w:color="auto"/>
      </w:divBdr>
    </w:div>
    <w:div w:id="371074446">
      <w:bodyDiv w:val="1"/>
      <w:marLeft w:val="0"/>
      <w:marRight w:val="0"/>
      <w:marTop w:val="0"/>
      <w:marBottom w:val="0"/>
      <w:divBdr>
        <w:top w:val="none" w:sz="0" w:space="0" w:color="auto"/>
        <w:left w:val="none" w:sz="0" w:space="0" w:color="auto"/>
        <w:bottom w:val="none" w:sz="0" w:space="0" w:color="auto"/>
        <w:right w:val="none" w:sz="0" w:space="0" w:color="auto"/>
      </w:divBdr>
    </w:div>
    <w:div w:id="375738294">
      <w:bodyDiv w:val="1"/>
      <w:marLeft w:val="0"/>
      <w:marRight w:val="0"/>
      <w:marTop w:val="0"/>
      <w:marBottom w:val="0"/>
      <w:divBdr>
        <w:top w:val="none" w:sz="0" w:space="0" w:color="auto"/>
        <w:left w:val="none" w:sz="0" w:space="0" w:color="auto"/>
        <w:bottom w:val="none" w:sz="0" w:space="0" w:color="auto"/>
        <w:right w:val="none" w:sz="0" w:space="0" w:color="auto"/>
      </w:divBdr>
    </w:div>
    <w:div w:id="379405342">
      <w:bodyDiv w:val="1"/>
      <w:marLeft w:val="0"/>
      <w:marRight w:val="0"/>
      <w:marTop w:val="0"/>
      <w:marBottom w:val="0"/>
      <w:divBdr>
        <w:top w:val="none" w:sz="0" w:space="0" w:color="auto"/>
        <w:left w:val="none" w:sz="0" w:space="0" w:color="auto"/>
        <w:bottom w:val="none" w:sz="0" w:space="0" w:color="auto"/>
        <w:right w:val="none" w:sz="0" w:space="0" w:color="auto"/>
      </w:divBdr>
    </w:div>
    <w:div w:id="381170780">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3189851">
      <w:bodyDiv w:val="1"/>
      <w:marLeft w:val="0"/>
      <w:marRight w:val="0"/>
      <w:marTop w:val="0"/>
      <w:marBottom w:val="0"/>
      <w:divBdr>
        <w:top w:val="none" w:sz="0" w:space="0" w:color="auto"/>
        <w:left w:val="none" w:sz="0" w:space="0" w:color="auto"/>
        <w:bottom w:val="none" w:sz="0" w:space="0" w:color="auto"/>
        <w:right w:val="none" w:sz="0" w:space="0" w:color="auto"/>
      </w:divBdr>
    </w:div>
    <w:div w:id="404649976">
      <w:bodyDiv w:val="1"/>
      <w:marLeft w:val="0"/>
      <w:marRight w:val="0"/>
      <w:marTop w:val="0"/>
      <w:marBottom w:val="0"/>
      <w:divBdr>
        <w:top w:val="none" w:sz="0" w:space="0" w:color="auto"/>
        <w:left w:val="none" w:sz="0" w:space="0" w:color="auto"/>
        <w:bottom w:val="none" w:sz="0" w:space="0" w:color="auto"/>
        <w:right w:val="none" w:sz="0" w:space="0" w:color="auto"/>
      </w:divBdr>
    </w:div>
    <w:div w:id="407843476">
      <w:bodyDiv w:val="1"/>
      <w:marLeft w:val="0"/>
      <w:marRight w:val="0"/>
      <w:marTop w:val="0"/>
      <w:marBottom w:val="0"/>
      <w:divBdr>
        <w:top w:val="none" w:sz="0" w:space="0" w:color="auto"/>
        <w:left w:val="none" w:sz="0" w:space="0" w:color="auto"/>
        <w:bottom w:val="none" w:sz="0" w:space="0" w:color="auto"/>
        <w:right w:val="none" w:sz="0" w:space="0" w:color="auto"/>
      </w:divBdr>
    </w:div>
    <w:div w:id="408583387">
      <w:bodyDiv w:val="1"/>
      <w:marLeft w:val="0"/>
      <w:marRight w:val="0"/>
      <w:marTop w:val="0"/>
      <w:marBottom w:val="0"/>
      <w:divBdr>
        <w:top w:val="none" w:sz="0" w:space="0" w:color="auto"/>
        <w:left w:val="none" w:sz="0" w:space="0" w:color="auto"/>
        <w:bottom w:val="none" w:sz="0" w:space="0" w:color="auto"/>
        <w:right w:val="none" w:sz="0" w:space="0" w:color="auto"/>
      </w:divBdr>
    </w:div>
    <w:div w:id="412511034">
      <w:bodyDiv w:val="1"/>
      <w:marLeft w:val="0"/>
      <w:marRight w:val="0"/>
      <w:marTop w:val="0"/>
      <w:marBottom w:val="0"/>
      <w:divBdr>
        <w:top w:val="none" w:sz="0" w:space="0" w:color="auto"/>
        <w:left w:val="none" w:sz="0" w:space="0" w:color="auto"/>
        <w:bottom w:val="none" w:sz="0" w:space="0" w:color="auto"/>
        <w:right w:val="none" w:sz="0" w:space="0" w:color="auto"/>
      </w:divBdr>
      <w:divsChild>
        <w:div w:id="186868572">
          <w:marLeft w:val="720"/>
          <w:marRight w:val="0"/>
          <w:marTop w:val="0"/>
          <w:marBottom w:val="120"/>
          <w:divBdr>
            <w:top w:val="none" w:sz="0" w:space="0" w:color="auto"/>
            <w:left w:val="none" w:sz="0" w:space="0" w:color="auto"/>
            <w:bottom w:val="none" w:sz="0" w:space="0" w:color="auto"/>
            <w:right w:val="none" w:sz="0" w:space="0" w:color="auto"/>
          </w:divBdr>
        </w:div>
        <w:div w:id="459542721">
          <w:marLeft w:val="720"/>
          <w:marRight w:val="0"/>
          <w:marTop w:val="0"/>
          <w:marBottom w:val="120"/>
          <w:divBdr>
            <w:top w:val="none" w:sz="0" w:space="0" w:color="auto"/>
            <w:left w:val="none" w:sz="0" w:space="0" w:color="auto"/>
            <w:bottom w:val="none" w:sz="0" w:space="0" w:color="auto"/>
            <w:right w:val="none" w:sz="0" w:space="0" w:color="auto"/>
          </w:divBdr>
        </w:div>
        <w:div w:id="498621671">
          <w:marLeft w:val="360"/>
          <w:marRight w:val="0"/>
          <w:marTop w:val="0"/>
          <w:marBottom w:val="120"/>
          <w:divBdr>
            <w:top w:val="none" w:sz="0" w:space="0" w:color="auto"/>
            <w:left w:val="none" w:sz="0" w:space="0" w:color="auto"/>
            <w:bottom w:val="none" w:sz="0" w:space="0" w:color="auto"/>
            <w:right w:val="none" w:sz="0" w:space="0" w:color="auto"/>
          </w:divBdr>
        </w:div>
        <w:div w:id="557594148">
          <w:marLeft w:val="720"/>
          <w:marRight w:val="0"/>
          <w:marTop w:val="0"/>
          <w:marBottom w:val="120"/>
          <w:divBdr>
            <w:top w:val="none" w:sz="0" w:space="0" w:color="auto"/>
            <w:left w:val="none" w:sz="0" w:space="0" w:color="auto"/>
            <w:bottom w:val="none" w:sz="0" w:space="0" w:color="auto"/>
            <w:right w:val="none" w:sz="0" w:space="0" w:color="auto"/>
          </w:divBdr>
        </w:div>
        <w:div w:id="804354135">
          <w:marLeft w:val="720"/>
          <w:marRight w:val="0"/>
          <w:marTop w:val="0"/>
          <w:marBottom w:val="120"/>
          <w:divBdr>
            <w:top w:val="none" w:sz="0" w:space="0" w:color="auto"/>
            <w:left w:val="none" w:sz="0" w:space="0" w:color="auto"/>
            <w:bottom w:val="none" w:sz="0" w:space="0" w:color="auto"/>
            <w:right w:val="none" w:sz="0" w:space="0" w:color="auto"/>
          </w:divBdr>
        </w:div>
        <w:div w:id="1150556459">
          <w:marLeft w:val="360"/>
          <w:marRight w:val="0"/>
          <w:marTop w:val="0"/>
          <w:marBottom w:val="120"/>
          <w:divBdr>
            <w:top w:val="none" w:sz="0" w:space="0" w:color="auto"/>
            <w:left w:val="none" w:sz="0" w:space="0" w:color="auto"/>
            <w:bottom w:val="none" w:sz="0" w:space="0" w:color="auto"/>
            <w:right w:val="none" w:sz="0" w:space="0" w:color="auto"/>
          </w:divBdr>
        </w:div>
        <w:div w:id="1185091842">
          <w:marLeft w:val="720"/>
          <w:marRight w:val="0"/>
          <w:marTop w:val="0"/>
          <w:marBottom w:val="120"/>
          <w:divBdr>
            <w:top w:val="none" w:sz="0" w:space="0" w:color="auto"/>
            <w:left w:val="none" w:sz="0" w:space="0" w:color="auto"/>
            <w:bottom w:val="none" w:sz="0" w:space="0" w:color="auto"/>
            <w:right w:val="none" w:sz="0" w:space="0" w:color="auto"/>
          </w:divBdr>
        </w:div>
        <w:div w:id="1422331815">
          <w:marLeft w:val="720"/>
          <w:marRight w:val="0"/>
          <w:marTop w:val="0"/>
          <w:marBottom w:val="120"/>
          <w:divBdr>
            <w:top w:val="none" w:sz="0" w:space="0" w:color="auto"/>
            <w:left w:val="none" w:sz="0" w:space="0" w:color="auto"/>
            <w:bottom w:val="none" w:sz="0" w:space="0" w:color="auto"/>
            <w:right w:val="none" w:sz="0" w:space="0" w:color="auto"/>
          </w:divBdr>
        </w:div>
        <w:div w:id="1628849303">
          <w:marLeft w:val="360"/>
          <w:marRight w:val="0"/>
          <w:marTop w:val="0"/>
          <w:marBottom w:val="120"/>
          <w:divBdr>
            <w:top w:val="none" w:sz="0" w:space="0" w:color="auto"/>
            <w:left w:val="none" w:sz="0" w:space="0" w:color="auto"/>
            <w:bottom w:val="none" w:sz="0" w:space="0" w:color="auto"/>
            <w:right w:val="none" w:sz="0" w:space="0" w:color="auto"/>
          </w:divBdr>
        </w:div>
      </w:divsChild>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39224308">
      <w:bodyDiv w:val="1"/>
      <w:marLeft w:val="0"/>
      <w:marRight w:val="0"/>
      <w:marTop w:val="0"/>
      <w:marBottom w:val="0"/>
      <w:divBdr>
        <w:top w:val="none" w:sz="0" w:space="0" w:color="auto"/>
        <w:left w:val="none" w:sz="0" w:space="0" w:color="auto"/>
        <w:bottom w:val="none" w:sz="0" w:space="0" w:color="auto"/>
        <w:right w:val="none" w:sz="0" w:space="0" w:color="auto"/>
      </w:divBdr>
    </w:div>
    <w:div w:id="439490290">
      <w:bodyDiv w:val="1"/>
      <w:marLeft w:val="0"/>
      <w:marRight w:val="0"/>
      <w:marTop w:val="0"/>
      <w:marBottom w:val="0"/>
      <w:divBdr>
        <w:top w:val="none" w:sz="0" w:space="0" w:color="auto"/>
        <w:left w:val="none" w:sz="0" w:space="0" w:color="auto"/>
        <w:bottom w:val="none" w:sz="0" w:space="0" w:color="auto"/>
        <w:right w:val="none" w:sz="0" w:space="0" w:color="auto"/>
      </w:divBdr>
    </w:div>
    <w:div w:id="448548155">
      <w:bodyDiv w:val="1"/>
      <w:marLeft w:val="0"/>
      <w:marRight w:val="0"/>
      <w:marTop w:val="0"/>
      <w:marBottom w:val="0"/>
      <w:divBdr>
        <w:top w:val="none" w:sz="0" w:space="0" w:color="auto"/>
        <w:left w:val="none" w:sz="0" w:space="0" w:color="auto"/>
        <w:bottom w:val="none" w:sz="0" w:space="0" w:color="auto"/>
        <w:right w:val="none" w:sz="0" w:space="0" w:color="auto"/>
      </w:divBdr>
    </w:div>
    <w:div w:id="458110885">
      <w:bodyDiv w:val="1"/>
      <w:marLeft w:val="0"/>
      <w:marRight w:val="0"/>
      <w:marTop w:val="0"/>
      <w:marBottom w:val="0"/>
      <w:divBdr>
        <w:top w:val="none" w:sz="0" w:space="0" w:color="auto"/>
        <w:left w:val="none" w:sz="0" w:space="0" w:color="auto"/>
        <w:bottom w:val="none" w:sz="0" w:space="0" w:color="auto"/>
        <w:right w:val="none" w:sz="0" w:space="0" w:color="auto"/>
      </w:divBdr>
    </w:div>
    <w:div w:id="459349429">
      <w:bodyDiv w:val="1"/>
      <w:marLeft w:val="0"/>
      <w:marRight w:val="0"/>
      <w:marTop w:val="0"/>
      <w:marBottom w:val="0"/>
      <w:divBdr>
        <w:top w:val="none" w:sz="0" w:space="0" w:color="auto"/>
        <w:left w:val="none" w:sz="0" w:space="0" w:color="auto"/>
        <w:bottom w:val="none" w:sz="0" w:space="0" w:color="auto"/>
        <w:right w:val="none" w:sz="0" w:space="0" w:color="auto"/>
      </w:divBdr>
    </w:div>
    <w:div w:id="470633327">
      <w:bodyDiv w:val="1"/>
      <w:marLeft w:val="0"/>
      <w:marRight w:val="0"/>
      <w:marTop w:val="0"/>
      <w:marBottom w:val="0"/>
      <w:divBdr>
        <w:top w:val="none" w:sz="0" w:space="0" w:color="auto"/>
        <w:left w:val="none" w:sz="0" w:space="0" w:color="auto"/>
        <w:bottom w:val="none" w:sz="0" w:space="0" w:color="auto"/>
        <w:right w:val="none" w:sz="0" w:space="0" w:color="auto"/>
      </w:divBdr>
    </w:div>
    <w:div w:id="481851963">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0315083">
      <w:bodyDiv w:val="1"/>
      <w:marLeft w:val="0"/>
      <w:marRight w:val="0"/>
      <w:marTop w:val="0"/>
      <w:marBottom w:val="0"/>
      <w:divBdr>
        <w:top w:val="none" w:sz="0" w:space="0" w:color="auto"/>
        <w:left w:val="none" w:sz="0" w:space="0" w:color="auto"/>
        <w:bottom w:val="none" w:sz="0" w:space="0" w:color="auto"/>
        <w:right w:val="none" w:sz="0" w:space="0" w:color="auto"/>
      </w:divBdr>
    </w:div>
    <w:div w:id="501164317">
      <w:bodyDiv w:val="1"/>
      <w:marLeft w:val="0"/>
      <w:marRight w:val="0"/>
      <w:marTop w:val="0"/>
      <w:marBottom w:val="0"/>
      <w:divBdr>
        <w:top w:val="none" w:sz="0" w:space="0" w:color="auto"/>
        <w:left w:val="none" w:sz="0" w:space="0" w:color="auto"/>
        <w:bottom w:val="none" w:sz="0" w:space="0" w:color="auto"/>
        <w:right w:val="none" w:sz="0" w:space="0" w:color="auto"/>
      </w:divBdr>
    </w:div>
    <w:div w:id="507906150">
      <w:bodyDiv w:val="1"/>
      <w:marLeft w:val="0"/>
      <w:marRight w:val="0"/>
      <w:marTop w:val="0"/>
      <w:marBottom w:val="0"/>
      <w:divBdr>
        <w:top w:val="none" w:sz="0" w:space="0" w:color="auto"/>
        <w:left w:val="none" w:sz="0" w:space="0" w:color="auto"/>
        <w:bottom w:val="none" w:sz="0" w:space="0" w:color="auto"/>
        <w:right w:val="none" w:sz="0" w:space="0" w:color="auto"/>
      </w:divBdr>
      <w:divsChild>
        <w:div w:id="130901031">
          <w:marLeft w:val="1267"/>
          <w:marRight w:val="0"/>
          <w:marTop w:val="180"/>
          <w:marBottom w:val="0"/>
          <w:divBdr>
            <w:top w:val="none" w:sz="0" w:space="0" w:color="auto"/>
            <w:left w:val="none" w:sz="0" w:space="0" w:color="auto"/>
            <w:bottom w:val="none" w:sz="0" w:space="0" w:color="auto"/>
            <w:right w:val="none" w:sz="0" w:space="0" w:color="auto"/>
          </w:divBdr>
        </w:div>
        <w:div w:id="383214364">
          <w:marLeft w:val="1267"/>
          <w:marRight w:val="0"/>
          <w:marTop w:val="180"/>
          <w:marBottom w:val="0"/>
          <w:divBdr>
            <w:top w:val="none" w:sz="0" w:space="0" w:color="auto"/>
            <w:left w:val="none" w:sz="0" w:space="0" w:color="auto"/>
            <w:bottom w:val="none" w:sz="0" w:space="0" w:color="auto"/>
            <w:right w:val="none" w:sz="0" w:space="0" w:color="auto"/>
          </w:divBdr>
        </w:div>
        <w:div w:id="1466776010">
          <w:marLeft w:val="1699"/>
          <w:marRight w:val="0"/>
          <w:marTop w:val="120"/>
          <w:marBottom w:val="0"/>
          <w:divBdr>
            <w:top w:val="none" w:sz="0" w:space="0" w:color="auto"/>
            <w:left w:val="none" w:sz="0" w:space="0" w:color="auto"/>
            <w:bottom w:val="none" w:sz="0" w:space="0" w:color="auto"/>
            <w:right w:val="none" w:sz="0" w:space="0" w:color="auto"/>
          </w:divBdr>
        </w:div>
      </w:divsChild>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15730736">
      <w:bodyDiv w:val="1"/>
      <w:marLeft w:val="0"/>
      <w:marRight w:val="0"/>
      <w:marTop w:val="0"/>
      <w:marBottom w:val="0"/>
      <w:divBdr>
        <w:top w:val="none" w:sz="0" w:space="0" w:color="auto"/>
        <w:left w:val="none" w:sz="0" w:space="0" w:color="auto"/>
        <w:bottom w:val="none" w:sz="0" w:space="0" w:color="auto"/>
        <w:right w:val="none" w:sz="0" w:space="0" w:color="auto"/>
      </w:divBdr>
    </w:div>
    <w:div w:id="517355333">
      <w:bodyDiv w:val="1"/>
      <w:marLeft w:val="0"/>
      <w:marRight w:val="0"/>
      <w:marTop w:val="0"/>
      <w:marBottom w:val="0"/>
      <w:divBdr>
        <w:top w:val="none" w:sz="0" w:space="0" w:color="auto"/>
        <w:left w:val="none" w:sz="0" w:space="0" w:color="auto"/>
        <w:bottom w:val="none" w:sz="0" w:space="0" w:color="auto"/>
        <w:right w:val="none" w:sz="0" w:space="0" w:color="auto"/>
      </w:divBdr>
    </w:div>
    <w:div w:id="518592874">
      <w:bodyDiv w:val="1"/>
      <w:marLeft w:val="0"/>
      <w:marRight w:val="0"/>
      <w:marTop w:val="0"/>
      <w:marBottom w:val="0"/>
      <w:divBdr>
        <w:top w:val="none" w:sz="0" w:space="0" w:color="auto"/>
        <w:left w:val="none" w:sz="0" w:space="0" w:color="auto"/>
        <w:bottom w:val="none" w:sz="0" w:space="0" w:color="auto"/>
        <w:right w:val="none" w:sz="0" w:space="0" w:color="auto"/>
      </w:divBdr>
    </w:div>
    <w:div w:id="533924652">
      <w:bodyDiv w:val="1"/>
      <w:marLeft w:val="0"/>
      <w:marRight w:val="0"/>
      <w:marTop w:val="0"/>
      <w:marBottom w:val="0"/>
      <w:divBdr>
        <w:top w:val="none" w:sz="0" w:space="0" w:color="auto"/>
        <w:left w:val="none" w:sz="0" w:space="0" w:color="auto"/>
        <w:bottom w:val="none" w:sz="0" w:space="0" w:color="auto"/>
        <w:right w:val="none" w:sz="0" w:space="0" w:color="auto"/>
      </w:divBdr>
    </w:div>
    <w:div w:id="537934573">
      <w:bodyDiv w:val="1"/>
      <w:marLeft w:val="0"/>
      <w:marRight w:val="0"/>
      <w:marTop w:val="0"/>
      <w:marBottom w:val="0"/>
      <w:divBdr>
        <w:top w:val="none" w:sz="0" w:space="0" w:color="auto"/>
        <w:left w:val="none" w:sz="0" w:space="0" w:color="auto"/>
        <w:bottom w:val="none" w:sz="0" w:space="0" w:color="auto"/>
        <w:right w:val="none" w:sz="0" w:space="0" w:color="auto"/>
      </w:divBdr>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549879378">
      <w:bodyDiv w:val="1"/>
      <w:marLeft w:val="0"/>
      <w:marRight w:val="0"/>
      <w:marTop w:val="0"/>
      <w:marBottom w:val="0"/>
      <w:divBdr>
        <w:top w:val="none" w:sz="0" w:space="0" w:color="auto"/>
        <w:left w:val="none" w:sz="0" w:space="0" w:color="auto"/>
        <w:bottom w:val="none" w:sz="0" w:space="0" w:color="auto"/>
        <w:right w:val="none" w:sz="0" w:space="0" w:color="auto"/>
      </w:divBdr>
    </w:div>
    <w:div w:id="553153747">
      <w:bodyDiv w:val="1"/>
      <w:marLeft w:val="0"/>
      <w:marRight w:val="0"/>
      <w:marTop w:val="0"/>
      <w:marBottom w:val="0"/>
      <w:divBdr>
        <w:top w:val="none" w:sz="0" w:space="0" w:color="auto"/>
        <w:left w:val="none" w:sz="0" w:space="0" w:color="auto"/>
        <w:bottom w:val="none" w:sz="0" w:space="0" w:color="auto"/>
        <w:right w:val="none" w:sz="0" w:space="0" w:color="auto"/>
      </w:divBdr>
    </w:div>
    <w:div w:id="565846509">
      <w:bodyDiv w:val="1"/>
      <w:marLeft w:val="0"/>
      <w:marRight w:val="0"/>
      <w:marTop w:val="0"/>
      <w:marBottom w:val="0"/>
      <w:divBdr>
        <w:top w:val="none" w:sz="0" w:space="0" w:color="auto"/>
        <w:left w:val="none" w:sz="0" w:space="0" w:color="auto"/>
        <w:bottom w:val="none" w:sz="0" w:space="0" w:color="auto"/>
        <w:right w:val="none" w:sz="0" w:space="0" w:color="auto"/>
      </w:divBdr>
    </w:div>
    <w:div w:id="570850397">
      <w:bodyDiv w:val="1"/>
      <w:marLeft w:val="0"/>
      <w:marRight w:val="0"/>
      <w:marTop w:val="0"/>
      <w:marBottom w:val="0"/>
      <w:divBdr>
        <w:top w:val="none" w:sz="0" w:space="0" w:color="auto"/>
        <w:left w:val="none" w:sz="0" w:space="0" w:color="auto"/>
        <w:bottom w:val="none" w:sz="0" w:space="0" w:color="auto"/>
        <w:right w:val="none" w:sz="0" w:space="0" w:color="auto"/>
      </w:divBdr>
    </w:div>
    <w:div w:id="583689713">
      <w:bodyDiv w:val="1"/>
      <w:marLeft w:val="0"/>
      <w:marRight w:val="0"/>
      <w:marTop w:val="0"/>
      <w:marBottom w:val="0"/>
      <w:divBdr>
        <w:top w:val="none" w:sz="0" w:space="0" w:color="auto"/>
        <w:left w:val="none" w:sz="0" w:space="0" w:color="auto"/>
        <w:bottom w:val="none" w:sz="0" w:space="0" w:color="auto"/>
        <w:right w:val="none" w:sz="0" w:space="0" w:color="auto"/>
      </w:divBdr>
    </w:div>
    <w:div w:id="585727876">
      <w:bodyDiv w:val="1"/>
      <w:marLeft w:val="0"/>
      <w:marRight w:val="0"/>
      <w:marTop w:val="0"/>
      <w:marBottom w:val="0"/>
      <w:divBdr>
        <w:top w:val="none" w:sz="0" w:space="0" w:color="auto"/>
        <w:left w:val="none" w:sz="0" w:space="0" w:color="auto"/>
        <w:bottom w:val="none" w:sz="0" w:space="0" w:color="auto"/>
        <w:right w:val="none" w:sz="0" w:space="0" w:color="auto"/>
      </w:divBdr>
    </w:div>
    <w:div w:id="585842171">
      <w:bodyDiv w:val="1"/>
      <w:marLeft w:val="0"/>
      <w:marRight w:val="0"/>
      <w:marTop w:val="0"/>
      <w:marBottom w:val="0"/>
      <w:divBdr>
        <w:top w:val="none" w:sz="0" w:space="0" w:color="auto"/>
        <w:left w:val="none" w:sz="0" w:space="0" w:color="auto"/>
        <w:bottom w:val="none" w:sz="0" w:space="0" w:color="auto"/>
        <w:right w:val="none" w:sz="0" w:space="0" w:color="auto"/>
      </w:divBdr>
      <w:divsChild>
        <w:div w:id="2024629606">
          <w:marLeft w:val="446"/>
          <w:marRight w:val="0"/>
          <w:marTop w:val="0"/>
          <w:marBottom w:val="0"/>
          <w:divBdr>
            <w:top w:val="none" w:sz="0" w:space="0" w:color="auto"/>
            <w:left w:val="none" w:sz="0" w:space="0" w:color="auto"/>
            <w:bottom w:val="none" w:sz="0" w:space="0" w:color="auto"/>
            <w:right w:val="none" w:sz="0" w:space="0" w:color="auto"/>
          </w:divBdr>
        </w:div>
      </w:divsChild>
    </w:div>
    <w:div w:id="607004023">
      <w:bodyDiv w:val="1"/>
      <w:marLeft w:val="0"/>
      <w:marRight w:val="0"/>
      <w:marTop w:val="0"/>
      <w:marBottom w:val="0"/>
      <w:divBdr>
        <w:top w:val="none" w:sz="0" w:space="0" w:color="auto"/>
        <w:left w:val="none" w:sz="0" w:space="0" w:color="auto"/>
        <w:bottom w:val="none" w:sz="0" w:space="0" w:color="auto"/>
        <w:right w:val="none" w:sz="0" w:space="0" w:color="auto"/>
      </w:divBdr>
    </w:div>
    <w:div w:id="639844040">
      <w:bodyDiv w:val="1"/>
      <w:marLeft w:val="0"/>
      <w:marRight w:val="0"/>
      <w:marTop w:val="0"/>
      <w:marBottom w:val="0"/>
      <w:divBdr>
        <w:top w:val="none" w:sz="0" w:space="0" w:color="auto"/>
        <w:left w:val="none" w:sz="0" w:space="0" w:color="auto"/>
        <w:bottom w:val="none" w:sz="0" w:space="0" w:color="auto"/>
        <w:right w:val="none" w:sz="0" w:space="0" w:color="auto"/>
      </w:divBdr>
    </w:div>
    <w:div w:id="641270368">
      <w:bodyDiv w:val="1"/>
      <w:marLeft w:val="0"/>
      <w:marRight w:val="0"/>
      <w:marTop w:val="0"/>
      <w:marBottom w:val="0"/>
      <w:divBdr>
        <w:top w:val="none" w:sz="0" w:space="0" w:color="auto"/>
        <w:left w:val="none" w:sz="0" w:space="0" w:color="auto"/>
        <w:bottom w:val="none" w:sz="0" w:space="0" w:color="auto"/>
        <w:right w:val="none" w:sz="0" w:space="0" w:color="auto"/>
      </w:divBdr>
    </w:div>
    <w:div w:id="648094555">
      <w:bodyDiv w:val="1"/>
      <w:marLeft w:val="0"/>
      <w:marRight w:val="0"/>
      <w:marTop w:val="0"/>
      <w:marBottom w:val="0"/>
      <w:divBdr>
        <w:top w:val="none" w:sz="0" w:space="0" w:color="auto"/>
        <w:left w:val="none" w:sz="0" w:space="0" w:color="auto"/>
        <w:bottom w:val="none" w:sz="0" w:space="0" w:color="auto"/>
        <w:right w:val="none" w:sz="0" w:space="0" w:color="auto"/>
      </w:divBdr>
    </w:div>
    <w:div w:id="658387460">
      <w:bodyDiv w:val="1"/>
      <w:marLeft w:val="0"/>
      <w:marRight w:val="0"/>
      <w:marTop w:val="0"/>
      <w:marBottom w:val="0"/>
      <w:divBdr>
        <w:top w:val="none" w:sz="0" w:space="0" w:color="auto"/>
        <w:left w:val="none" w:sz="0" w:space="0" w:color="auto"/>
        <w:bottom w:val="none" w:sz="0" w:space="0" w:color="auto"/>
        <w:right w:val="none" w:sz="0" w:space="0" w:color="auto"/>
      </w:divBdr>
    </w:div>
    <w:div w:id="662051415">
      <w:bodyDiv w:val="1"/>
      <w:marLeft w:val="0"/>
      <w:marRight w:val="0"/>
      <w:marTop w:val="0"/>
      <w:marBottom w:val="0"/>
      <w:divBdr>
        <w:top w:val="none" w:sz="0" w:space="0" w:color="auto"/>
        <w:left w:val="none" w:sz="0" w:space="0" w:color="auto"/>
        <w:bottom w:val="none" w:sz="0" w:space="0" w:color="auto"/>
        <w:right w:val="none" w:sz="0" w:space="0" w:color="auto"/>
      </w:divBdr>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66446247">
      <w:bodyDiv w:val="1"/>
      <w:marLeft w:val="0"/>
      <w:marRight w:val="0"/>
      <w:marTop w:val="0"/>
      <w:marBottom w:val="0"/>
      <w:divBdr>
        <w:top w:val="none" w:sz="0" w:space="0" w:color="auto"/>
        <w:left w:val="none" w:sz="0" w:space="0" w:color="auto"/>
        <w:bottom w:val="none" w:sz="0" w:space="0" w:color="auto"/>
        <w:right w:val="none" w:sz="0" w:space="0" w:color="auto"/>
      </w:divBdr>
    </w:div>
    <w:div w:id="668800623">
      <w:bodyDiv w:val="1"/>
      <w:marLeft w:val="0"/>
      <w:marRight w:val="0"/>
      <w:marTop w:val="0"/>
      <w:marBottom w:val="0"/>
      <w:divBdr>
        <w:top w:val="none" w:sz="0" w:space="0" w:color="auto"/>
        <w:left w:val="none" w:sz="0" w:space="0" w:color="auto"/>
        <w:bottom w:val="none" w:sz="0" w:space="0" w:color="auto"/>
        <w:right w:val="none" w:sz="0" w:space="0" w:color="auto"/>
      </w:divBdr>
    </w:div>
    <w:div w:id="670065296">
      <w:bodyDiv w:val="1"/>
      <w:marLeft w:val="0"/>
      <w:marRight w:val="0"/>
      <w:marTop w:val="0"/>
      <w:marBottom w:val="0"/>
      <w:divBdr>
        <w:top w:val="none" w:sz="0" w:space="0" w:color="auto"/>
        <w:left w:val="none" w:sz="0" w:space="0" w:color="auto"/>
        <w:bottom w:val="none" w:sz="0" w:space="0" w:color="auto"/>
        <w:right w:val="none" w:sz="0" w:space="0" w:color="auto"/>
      </w:divBdr>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682820265">
      <w:bodyDiv w:val="1"/>
      <w:marLeft w:val="0"/>
      <w:marRight w:val="0"/>
      <w:marTop w:val="0"/>
      <w:marBottom w:val="0"/>
      <w:divBdr>
        <w:top w:val="none" w:sz="0" w:space="0" w:color="auto"/>
        <w:left w:val="none" w:sz="0" w:space="0" w:color="auto"/>
        <w:bottom w:val="none" w:sz="0" w:space="0" w:color="auto"/>
        <w:right w:val="none" w:sz="0" w:space="0" w:color="auto"/>
      </w:divBdr>
    </w:div>
    <w:div w:id="684017754">
      <w:bodyDiv w:val="1"/>
      <w:marLeft w:val="0"/>
      <w:marRight w:val="0"/>
      <w:marTop w:val="0"/>
      <w:marBottom w:val="0"/>
      <w:divBdr>
        <w:top w:val="none" w:sz="0" w:space="0" w:color="auto"/>
        <w:left w:val="none" w:sz="0" w:space="0" w:color="auto"/>
        <w:bottom w:val="none" w:sz="0" w:space="0" w:color="auto"/>
        <w:right w:val="none" w:sz="0" w:space="0" w:color="auto"/>
      </w:divBdr>
      <w:divsChild>
        <w:div w:id="937446800">
          <w:marLeft w:val="1267"/>
          <w:marRight w:val="0"/>
          <w:marTop w:val="180"/>
          <w:marBottom w:val="0"/>
          <w:divBdr>
            <w:top w:val="none" w:sz="0" w:space="0" w:color="auto"/>
            <w:left w:val="none" w:sz="0" w:space="0" w:color="auto"/>
            <w:bottom w:val="none" w:sz="0" w:space="0" w:color="auto"/>
            <w:right w:val="none" w:sz="0" w:space="0" w:color="auto"/>
          </w:divBdr>
        </w:div>
      </w:divsChild>
    </w:div>
    <w:div w:id="688802662">
      <w:bodyDiv w:val="1"/>
      <w:marLeft w:val="0"/>
      <w:marRight w:val="0"/>
      <w:marTop w:val="0"/>
      <w:marBottom w:val="0"/>
      <w:divBdr>
        <w:top w:val="none" w:sz="0" w:space="0" w:color="auto"/>
        <w:left w:val="none" w:sz="0" w:space="0" w:color="auto"/>
        <w:bottom w:val="none" w:sz="0" w:space="0" w:color="auto"/>
        <w:right w:val="none" w:sz="0" w:space="0" w:color="auto"/>
      </w:divBdr>
    </w:div>
    <w:div w:id="689455492">
      <w:bodyDiv w:val="1"/>
      <w:marLeft w:val="0"/>
      <w:marRight w:val="0"/>
      <w:marTop w:val="0"/>
      <w:marBottom w:val="0"/>
      <w:divBdr>
        <w:top w:val="none" w:sz="0" w:space="0" w:color="auto"/>
        <w:left w:val="none" w:sz="0" w:space="0" w:color="auto"/>
        <w:bottom w:val="none" w:sz="0" w:space="0" w:color="auto"/>
        <w:right w:val="none" w:sz="0" w:space="0" w:color="auto"/>
      </w:divBdr>
    </w:div>
    <w:div w:id="691689477">
      <w:bodyDiv w:val="1"/>
      <w:marLeft w:val="0"/>
      <w:marRight w:val="0"/>
      <w:marTop w:val="0"/>
      <w:marBottom w:val="0"/>
      <w:divBdr>
        <w:top w:val="none" w:sz="0" w:space="0" w:color="auto"/>
        <w:left w:val="none" w:sz="0" w:space="0" w:color="auto"/>
        <w:bottom w:val="none" w:sz="0" w:space="0" w:color="auto"/>
        <w:right w:val="none" w:sz="0" w:space="0" w:color="auto"/>
      </w:divBdr>
    </w:div>
    <w:div w:id="703291879">
      <w:bodyDiv w:val="1"/>
      <w:marLeft w:val="0"/>
      <w:marRight w:val="0"/>
      <w:marTop w:val="0"/>
      <w:marBottom w:val="0"/>
      <w:divBdr>
        <w:top w:val="none" w:sz="0" w:space="0" w:color="auto"/>
        <w:left w:val="none" w:sz="0" w:space="0" w:color="auto"/>
        <w:bottom w:val="none" w:sz="0" w:space="0" w:color="auto"/>
        <w:right w:val="none" w:sz="0" w:space="0" w:color="auto"/>
      </w:divBdr>
    </w:div>
    <w:div w:id="704791317">
      <w:bodyDiv w:val="1"/>
      <w:marLeft w:val="0"/>
      <w:marRight w:val="0"/>
      <w:marTop w:val="0"/>
      <w:marBottom w:val="0"/>
      <w:divBdr>
        <w:top w:val="none" w:sz="0" w:space="0" w:color="auto"/>
        <w:left w:val="none" w:sz="0" w:space="0" w:color="auto"/>
        <w:bottom w:val="none" w:sz="0" w:space="0" w:color="auto"/>
        <w:right w:val="none" w:sz="0" w:space="0" w:color="auto"/>
      </w:divBdr>
    </w:div>
    <w:div w:id="725493685">
      <w:bodyDiv w:val="1"/>
      <w:marLeft w:val="0"/>
      <w:marRight w:val="0"/>
      <w:marTop w:val="0"/>
      <w:marBottom w:val="0"/>
      <w:divBdr>
        <w:top w:val="none" w:sz="0" w:space="0" w:color="auto"/>
        <w:left w:val="none" w:sz="0" w:space="0" w:color="auto"/>
        <w:bottom w:val="none" w:sz="0" w:space="0" w:color="auto"/>
        <w:right w:val="none" w:sz="0" w:space="0" w:color="auto"/>
      </w:divBdr>
    </w:div>
    <w:div w:id="729693415">
      <w:bodyDiv w:val="1"/>
      <w:marLeft w:val="0"/>
      <w:marRight w:val="0"/>
      <w:marTop w:val="0"/>
      <w:marBottom w:val="0"/>
      <w:divBdr>
        <w:top w:val="none" w:sz="0" w:space="0" w:color="auto"/>
        <w:left w:val="none" w:sz="0" w:space="0" w:color="auto"/>
        <w:bottom w:val="none" w:sz="0" w:space="0" w:color="auto"/>
        <w:right w:val="none" w:sz="0" w:space="0" w:color="auto"/>
      </w:divBdr>
    </w:div>
    <w:div w:id="731125474">
      <w:bodyDiv w:val="1"/>
      <w:marLeft w:val="0"/>
      <w:marRight w:val="0"/>
      <w:marTop w:val="0"/>
      <w:marBottom w:val="0"/>
      <w:divBdr>
        <w:top w:val="none" w:sz="0" w:space="0" w:color="auto"/>
        <w:left w:val="none" w:sz="0" w:space="0" w:color="auto"/>
        <w:bottom w:val="none" w:sz="0" w:space="0" w:color="auto"/>
        <w:right w:val="none" w:sz="0" w:space="0" w:color="auto"/>
      </w:divBdr>
    </w:div>
    <w:div w:id="733159168">
      <w:bodyDiv w:val="1"/>
      <w:marLeft w:val="0"/>
      <w:marRight w:val="0"/>
      <w:marTop w:val="0"/>
      <w:marBottom w:val="0"/>
      <w:divBdr>
        <w:top w:val="none" w:sz="0" w:space="0" w:color="auto"/>
        <w:left w:val="none" w:sz="0" w:space="0" w:color="auto"/>
        <w:bottom w:val="none" w:sz="0" w:space="0" w:color="auto"/>
        <w:right w:val="none" w:sz="0" w:space="0" w:color="auto"/>
      </w:divBdr>
    </w:div>
    <w:div w:id="734088480">
      <w:bodyDiv w:val="1"/>
      <w:marLeft w:val="0"/>
      <w:marRight w:val="0"/>
      <w:marTop w:val="0"/>
      <w:marBottom w:val="0"/>
      <w:divBdr>
        <w:top w:val="none" w:sz="0" w:space="0" w:color="auto"/>
        <w:left w:val="none" w:sz="0" w:space="0" w:color="auto"/>
        <w:bottom w:val="none" w:sz="0" w:space="0" w:color="auto"/>
        <w:right w:val="none" w:sz="0" w:space="0" w:color="auto"/>
      </w:divBdr>
    </w:div>
    <w:div w:id="736170089">
      <w:bodyDiv w:val="1"/>
      <w:marLeft w:val="0"/>
      <w:marRight w:val="0"/>
      <w:marTop w:val="0"/>
      <w:marBottom w:val="0"/>
      <w:divBdr>
        <w:top w:val="none" w:sz="0" w:space="0" w:color="auto"/>
        <w:left w:val="none" w:sz="0" w:space="0" w:color="auto"/>
        <w:bottom w:val="none" w:sz="0" w:space="0" w:color="auto"/>
        <w:right w:val="none" w:sz="0" w:space="0" w:color="auto"/>
      </w:divBdr>
    </w:div>
    <w:div w:id="743256693">
      <w:bodyDiv w:val="1"/>
      <w:marLeft w:val="0"/>
      <w:marRight w:val="0"/>
      <w:marTop w:val="0"/>
      <w:marBottom w:val="0"/>
      <w:divBdr>
        <w:top w:val="none" w:sz="0" w:space="0" w:color="auto"/>
        <w:left w:val="none" w:sz="0" w:space="0" w:color="auto"/>
        <w:bottom w:val="none" w:sz="0" w:space="0" w:color="auto"/>
        <w:right w:val="none" w:sz="0" w:space="0" w:color="auto"/>
      </w:divBdr>
    </w:div>
    <w:div w:id="746614713">
      <w:bodyDiv w:val="1"/>
      <w:marLeft w:val="0"/>
      <w:marRight w:val="0"/>
      <w:marTop w:val="0"/>
      <w:marBottom w:val="0"/>
      <w:divBdr>
        <w:top w:val="none" w:sz="0" w:space="0" w:color="auto"/>
        <w:left w:val="none" w:sz="0" w:space="0" w:color="auto"/>
        <w:bottom w:val="none" w:sz="0" w:space="0" w:color="auto"/>
        <w:right w:val="none" w:sz="0" w:space="0" w:color="auto"/>
      </w:divBdr>
    </w:div>
    <w:div w:id="755133011">
      <w:bodyDiv w:val="1"/>
      <w:marLeft w:val="0"/>
      <w:marRight w:val="0"/>
      <w:marTop w:val="0"/>
      <w:marBottom w:val="0"/>
      <w:divBdr>
        <w:top w:val="none" w:sz="0" w:space="0" w:color="auto"/>
        <w:left w:val="none" w:sz="0" w:space="0" w:color="auto"/>
        <w:bottom w:val="none" w:sz="0" w:space="0" w:color="auto"/>
        <w:right w:val="none" w:sz="0" w:space="0" w:color="auto"/>
      </w:divBdr>
    </w:div>
    <w:div w:id="756053651">
      <w:bodyDiv w:val="1"/>
      <w:marLeft w:val="0"/>
      <w:marRight w:val="0"/>
      <w:marTop w:val="0"/>
      <w:marBottom w:val="0"/>
      <w:divBdr>
        <w:top w:val="none" w:sz="0" w:space="0" w:color="auto"/>
        <w:left w:val="none" w:sz="0" w:space="0" w:color="auto"/>
        <w:bottom w:val="none" w:sz="0" w:space="0" w:color="auto"/>
        <w:right w:val="none" w:sz="0" w:space="0" w:color="auto"/>
      </w:divBdr>
    </w:div>
    <w:div w:id="779302562">
      <w:bodyDiv w:val="1"/>
      <w:marLeft w:val="0"/>
      <w:marRight w:val="0"/>
      <w:marTop w:val="0"/>
      <w:marBottom w:val="0"/>
      <w:divBdr>
        <w:top w:val="none" w:sz="0" w:space="0" w:color="auto"/>
        <w:left w:val="none" w:sz="0" w:space="0" w:color="auto"/>
        <w:bottom w:val="none" w:sz="0" w:space="0" w:color="auto"/>
        <w:right w:val="none" w:sz="0" w:space="0" w:color="auto"/>
      </w:divBdr>
      <w:divsChild>
        <w:div w:id="568004103">
          <w:marLeft w:val="806"/>
          <w:marRight w:val="0"/>
          <w:marTop w:val="0"/>
          <w:marBottom w:val="120"/>
          <w:divBdr>
            <w:top w:val="none" w:sz="0" w:space="0" w:color="auto"/>
            <w:left w:val="none" w:sz="0" w:space="0" w:color="auto"/>
            <w:bottom w:val="none" w:sz="0" w:space="0" w:color="auto"/>
            <w:right w:val="none" w:sz="0" w:space="0" w:color="auto"/>
          </w:divBdr>
        </w:div>
        <w:div w:id="746684049">
          <w:marLeft w:val="806"/>
          <w:marRight w:val="0"/>
          <w:marTop w:val="0"/>
          <w:marBottom w:val="120"/>
          <w:divBdr>
            <w:top w:val="none" w:sz="0" w:space="0" w:color="auto"/>
            <w:left w:val="none" w:sz="0" w:space="0" w:color="auto"/>
            <w:bottom w:val="none" w:sz="0" w:space="0" w:color="auto"/>
            <w:right w:val="none" w:sz="0" w:space="0" w:color="auto"/>
          </w:divBdr>
        </w:div>
        <w:div w:id="1160196849">
          <w:marLeft w:val="806"/>
          <w:marRight w:val="0"/>
          <w:marTop w:val="0"/>
          <w:marBottom w:val="120"/>
          <w:divBdr>
            <w:top w:val="none" w:sz="0" w:space="0" w:color="auto"/>
            <w:left w:val="none" w:sz="0" w:space="0" w:color="auto"/>
            <w:bottom w:val="none" w:sz="0" w:space="0" w:color="auto"/>
            <w:right w:val="none" w:sz="0" w:space="0" w:color="auto"/>
          </w:divBdr>
        </w:div>
        <w:div w:id="1714839707">
          <w:marLeft w:val="446"/>
          <w:marRight w:val="0"/>
          <w:marTop w:val="0"/>
          <w:marBottom w:val="120"/>
          <w:divBdr>
            <w:top w:val="none" w:sz="0" w:space="0" w:color="auto"/>
            <w:left w:val="none" w:sz="0" w:space="0" w:color="auto"/>
            <w:bottom w:val="none" w:sz="0" w:space="0" w:color="auto"/>
            <w:right w:val="none" w:sz="0" w:space="0" w:color="auto"/>
          </w:divBdr>
        </w:div>
        <w:div w:id="1721173998">
          <w:marLeft w:val="907"/>
          <w:marRight w:val="0"/>
          <w:marTop w:val="0"/>
          <w:marBottom w:val="120"/>
          <w:divBdr>
            <w:top w:val="none" w:sz="0" w:space="0" w:color="auto"/>
            <w:left w:val="none" w:sz="0" w:space="0" w:color="auto"/>
            <w:bottom w:val="none" w:sz="0" w:space="0" w:color="auto"/>
            <w:right w:val="none" w:sz="0" w:space="0" w:color="auto"/>
          </w:divBdr>
        </w:div>
      </w:divsChild>
    </w:div>
    <w:div w:id="779686558">
      <w:bodyDiv w:val="1"/>
      <w:marLeft w:val="0"/>
      <w:marRight w:val="0"/>
      <w:marTop w:val="0"/>
      <w:marBottom w:val="0"/>
      <w:divBdr>
        <w:top w:val="none" w:sz="0" w:space="0" w:color="auto"/>
        <w:left w:val="none" w:sz="0" w:space="0" w:color="auto"/>
        <w:bottom w:val="none" w:sz="0" w:space="0" w:color="auto"/>
        <w:right w:val="none" w:sz="0" w:space="0" w:color="auto"/>
      </w:divBdr>
      <w:divsChild>
        <w:div w:id="1799950314">
          <w:marLeft w:val="288"/>
          <w:marRight w:val="0"/>
          <w:marTop w:val="0"/>
          <w:marBottom w:val="0"/>
          <w:divBdr>
            <w:top w:val="none" w:sz="0" w:space="0" w:color="auto"/>
            <w:left w:val="none" w:sz="0" w:space="0" w:color="auto"/>
            <w:bottom w:val="none" w:sz="0" w:space="0" w:color="auto"/>
            <w:right w:val="none" w:sz="0" w:space="0" w:color="auto"/>
          </w:divBdr>
        </w:div>
        <w:div w:id="1990205273">
          <w:marLeft w:val="288"/>
          <w:marRight w:val="0"/>
          <w:marTop w:val="0"/>
          <w:marBottom w:val="0"/>
          <w:divBdr>
            <w:top w:val="none" w:sz="0" w:space="0" w:color="auto"/>
            <w:left w:val="none" w:sz="0" w:space="0" w:color="auto"/>
            <w:bottom w:val="none" w:sz="0" w:space="0" w:color="auto"/>
            <w:right w:val="none" w:sz="0" w:space="0" w:color="auto"/>
          </w:divBdr>
        </w:div>
      </w:divsChild>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793407247">
      <w:bodyDiv w:val="1"/>
      <w:marLeft w:val="0"/>
      <w:marRight w:val="0"/>
      <w:marTop w:val="0"/>
      <w:marBottom w:val="0"/>
      <w:divBdr>
        <w:top w:val="none" w:sz="0" w:space="0" w:color="auto"/>
        <w:left w:val="none" w:sz="0" w:space="0" w:color="auto"/>
        <w:bottom w:val="none" w:sz="0" w:space="0" w:color="auto"/>
        <w:right w:val="none" w:sz="0" w:space="0" w:color="auto"/>
      </w:divBdr>
      <w:divsChild>
        <w:div w:id="200285628">
          <w:marLeft w:val="0"/>
          <w:marRight w:val="0"/>
          <w:marTop w:val="0"/>
          <w:marBottom w:val="0"/>
          <w:divBdr>
            <w:top w:val="none" w:sz="0" w:space="0" w:color="auto"/>
            <w:left w:val="none" w:sz="0" w:space="0" w:color="auto"/>
            <w:bottom w:val="none" w:sz="0" w:space="0" w:color="auto"/>
            <w:right w:val="none" w:sz="0" w:space="0" w:color="auto"/>
          </w:divBdr>
        </w:div>
        <w:div w:id="883445400">
          <w:marLeft w:val="0"/>
          <w:marRight w:val="0"/>
          <w:marTop w:val="0"/>
          <w:marBottom w:val="0"/>
          <w:divBdr>
            <w:top w:val="none" w:sz="0" w:space="0" w:color="auto"/>
            <w:left w:val="none" w:sz="0" w:space="0" w:color="auto"/>
            <w:bottom w:val="none" w:sz="0" w:space="0" w:color="auto"/>
            <w:right w:val="none" w:sz="0" w:space="0" w:color="auto"/>
          </w:divBdr>
        </w:div>
        <w:div w:id="1738435745">
          <w:marLeft w:val="0"/>
          <w:marRight w:val="0"/>
          <w:marTop w:val="0"/>
          <w:marBottom w:val="0"/>
          <w:divBdr>
            <w:top w:val="none" w:sz="0" w:space="0" w:color="auto"/>
            <w:left w:val="none" w:sz="0" w:space="0" w:color="auto"/>
            <w:bottom w:val="none" w:sz="0" w:space="0" w:color="auto"/>
            <w:right w:val="none" w:sz="0" w:space="0" w:color="auto"/>
          </w:divBdr>
        </w:div>
      </w:divsChild>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37960516">
      <w:bodyDiv w:val="1"/>
      <w:marLeft w:val="0"/>
      <w:marRight w:val="0"/>
      <w:marTop w:val="0"/>
      <w:marBottom w:val="0"/>
      <w:divBdr>
        <w:top w:val="none" w:sz="0" w:space="0" w:color="auto"/>
        <w:left w:val="none" w:sz="0" w:space="0" w:color="auto"/>
        <w:bottom w:val="none" w:sz="0" w:space="0" w:color="auto"/>
        <w:right w:val="none" w:sz="0" w:space="0" w:color="auto"/>
      </w:divBdr>
    </w:div>
    <w:div w:id="849102235">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850069222">
      <w:bodyDiv w:val="1"/>
      <w:marLeft w:val="0"/>
      <w:marRight w:val="0"/>
      <w:marTop w:val="0"/>
      <w:marBottom w:val="0"/>
      <w:divBdr>
        <w:top w:val="none" w:sz="0" w:space="0" w:color="auto"/>
        <w:left w:val="none" w:sz="0" w:space="0" w:color="auto"/>
        <w:bottom w:val="none" w:sz="0" w:space="0" w:color="auto"/>
        <w:right w:val="none" w:sz="0" w:space="0" w:color="auto"/>
      </w:divBdr>
    </w:div>
    <w:div w:id="853960686">
      <w:bodyDiv w:val="1"/>
      <w:marLeft w:val="0"/>
      <w:marRight w:val="0"/>
      <w:marTop w:val="0"/>
      <w:marBottom w:val="0"/>
      <w:divBdr>
        <w:top w:val="none" w:sz="0" w:space="0" w:color="auto"/>
        <w:left w:val="none" w:sz="0" w:space="0" w:color="auto"/>
        <w:bottom w:val="none" w:sz="0" w:space="0" w:color="auto"/>
        <w:right w:val="none" w:sz="0" w:space="0" w:color="auto"/>
      </w:divBdr>
    </w:div>
    <w:div w:id="867185953">
      <w:bodyDiv w:val="1"/>
      <w:marLeft w:val="0"/>
      <w:marRight w:val="0"/>
      <w:marTop w:val="0"/>
      <w:marBottom w:val="0"/>
      <w:divBdr>
        <w:top w:val="none" w:sz="0" w:space="0" w:color="auto"/>
        <w:left w:val="none" w:sz="0" w:space="0" w:color="auto"/>
        <w:bottom w:val="none" w:sz="0" w:space="0" w:color="auto"/>
        <w:right w:val="none" w:sz="0" w:space="0" w:color="auto"/>
      </w:divBdr>
    </w:div>
    <w:div w:id="868029608">
      <w:bodyDiv w:val="1"/>
      <w:marLeft w:val="0"/>
      <w:marRight w:val="0"/>
      <w:marTop w:val="0"/>
      <w:marBottom w:val="0"/>
      <w:divBdr>
        <w:top w:val="none" w:sz="0" w:space="0" w:color="auto"/>
        <w:left w:val="none" w:sz="0" w:space="0" w:color="auto"/>
        <w:bottom w:val="none" w:sz="0" w:space="0" w:color="auto"/>
        <w:right w:val="none" w:sz="0" w:space="0" w:color="auto"/>
      </w:divBdr>
    </w:div>
    <w:div w:id="873495253">
      <w:bodyDiv w:val="1"/>
      <w:marLeft w:val="0"/>
      <w:marRight w:val="0"/>
      <w:marTop w:val="0"/>
      <w:marBottom w:val="0"/>
      <w:divBdr>
        <w:top w:val="none" w:sz="0" w:space="0" w:color="auto"/>
        <w:left w:val="none" w:sz="0" w:space="0" w:color="auto"/>
        <w:bottom w:val="none" w:sz="0" w:space="0" w:color="auto"/>
        <w:right w:val="none" w:sz="0" w:space="0" w:color="auto"/>
      </w:divBdr>
    </w:div>
    <w:div w:id="883098795">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19674353">
      <w:bodyDiv w:val="1"/>
      <w:marLeft w:val="0"/>
      <w:marRight w:val="0"/>
      <w:marTop w:val="0"/>
      <w:marBottom w:val="0"/>
      <w:divBdr>
        <w:top w:val="none" w:sz="0" w:space="0" w:color="auto"/>
        <w:left w:val="none" w:sz="0" w:space="0" w:color="auto"/>
        <w:bottom w:val="none" w:sz="0" w:space="0" w:color="auto"/>
        <w:right w:val="none" w:sz="0" w:space="0" w:color="auto"/>
      </w:divBdr>
    </w:div>
    <w:div w:id="934630815">
      <w:bodyDiv w:val="1"/>
      <w:marLeft w:val="0"/>
      <w:marRight w:val="0"/>
      <w:marTop w:val="0"/>
      <w:marBottom w:val="0"/>
      <w:divBdr>
        <w:top w:val="none" w:sz="0" w:space="0" w:color="auto"/>
        <w:left w:val="none" w:sz="0" w:space="0" w:color="auto"/>
        <w:bottom w:val="none" w:sz="0" w:space="0" w:color="auto"/>
        <w:right w:val="none" w:sz="0" w:space="0" w:color="auto"/>
      </w:divBdr>
    </w:div>
    <w:div w:id="945842843">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48508692">
      <w:bodyDiv w:val="1"/>
      <w:marLeft w:val="0"/>
      <w:marRight w:val="0"/>
      <w:marTop w:val="0"/>
      <w:marBottom w:val="0"/>
      <w:divBdr>
        <w:top w:val="none" w:sz="0" w:space="0" w:color="auto"/>
        <w:left w:val="none" w:sz="0" w:space="0" w:color="auto"/>
        <w:bottom w:val="none" w:sz="0" w:space="0" w:color="auto"/>
        <w:right w:val="none" w:sz="0" w:space="0" w:color="auto"/>
      </w:divBdr>
    </w:div>
    <w:div w:id="948658123">
      <w:bodyDiv w:val="1"/>
      <w:marLeft w:val="0"/>
      <w:marRight w:val="0"/>
      <w:marTop w:val="0"/>
      <w:marBottom w:val="0"/>
      <w:divBdr>
        <w:top w:val="none" w:sz="0" w:space="0" w:color="auto"/>
        <w:left w:val="none" w:sz="0" w:space="0" w:color="auto"/>
        <w:bottom w:val="none" w:sz="0" w:space="0" w:color="auto"/>
        <w:right w:val="none" w:sz="0" w:space="0" w:color="auto"/>
      </w:divBdr>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56447297">
      <w:bodyDiv w:val="1"/>
      <w:marLeft w:val="0"/>
      <w:marRight w:val="0"/>
      <w:marTop w:val="0"/>
      <w:marBottom w:val="0"/>
      <w:divBdr>
        <w:top w:val="none" w:sz="0" w:space="0" w:color="auto"/>
        <w:left w:val="none" w:sz="0" w:space="0" w:color="auto"/>
        <w:bottom w:val="none" w:sz="0" w:space="0" w:color="auto"/>
        <w:right w:val="none" w:sz="0" w:space="0" w:color="auto"/>
      </w:divBdr>
    </w:div>
    <w:div w:id="961183449">
      <w:bodyDiv w:val="1"/>
      <w:marLeft w:val="0"/>
      <w:marRight w:val="0"/>
      <w:marTop w:val="0"/>
      <w:marBottom w:val="0"/>
      <w:divBdr>
        <w:top w:val="none" w:sz="0" w:space="0" w:color="auto"/>
        <w:left w:val="none" w:sz="0" w:space="0" w:color="auto"/>
        <w:bottom w:val="none" w:sz="0" w:space="0" w:color="auto"/>
        <w:right w:val="none" w:sz="0" w:space="0" w:color="auto"/>
      </w:divBdr>
    </w:div>
    <w:div w:id="972252086">
      <w:bodyDiv w:val="1"/>
      <w:marLeft w:val="0"/>
      <w:marRight w:val="0"/>
      <w:marTop w:val="0"/>
      <w:marBottom w:val="0"/>
      <w:divBdr>
        <w:top w:val="none" w:sz="0" w:space="0" w:color="auto"/>
        <w:left w:val="none" w:sz="0" w:space="0" w:color="auto"/>
        <w:bottom w:val="none" w:sz="0" w:space="0" w:color="auto"/>
        <w:right w:val="none" w:sz="0" w:space="0" w:color="auto"/>
      </w:divBdr>
    </w:div>
    <w:div w:id="974873446">
      <w:bodyDiv w:val="1"/>
      <w:marLeft w:val="0"/>
      <w:marRight w:val="0"/>
      <w:marTop w:val="0"/>
      <w:marBottom w:val="0"/>
      <w:divBdr>
        <w:top w:val="none" w:sz="0" w:space="0" w:color="auto"/>
        <w:left w:val="none" w:sz="0" w:space="0" w:color="auto"/>
        <w:bottom w:val="none" w:sz="0" w:space="0" w:color="auto"/>
        <w:right w:val="none" w:sz="0" w:space="0" w:color="auto"/>
      </w:divBdr>
      <w:divsChild>
        <w:div w:id="1709184897">
          <w:marLeft w:val="432"/>
          <w:marRight w:val="0"/>
          <w:marTop w:val="120"/>
          <w:marBottom w:val="0"/>
          <w:divBdr>
            <w:top w:val="none" w:sz="0" w:space="0" w:color="auto"/>
            <w:left w:val="none" w:sz="0" w:space="0" w:color="auto"/>
            <w:bottom w:val="none" w:sz="0" w:space="0" w:color="auto"/>
            <w:right w:val="none" w:sz="0" w:space="0" w:color="auto"/>
          </w:divBdr>
        </w:div>
        <w:div w:id="1836607737">
          <w:marLeft w:val="432"/>
          <w:marRight w:val="0"/>
          <w:marTop w:val="120"/>
          <w:marBottom w:val="0"/>
          <w:divBdr>
            <w:top w:val="none" w:sz="0" w:space="0" w:color="auto"/>
            <w:left w:val="none" w:sz="0" w:space="0" w:color="auto"/>
            <w:bottom w:val="none" w:sz="0" w:space="0" w:color="auto"/>
            <w:right w:val="none" w:sz="0" w:space="0" w:color="auto"/>
          </w:divBdr>
        </w:div>
      </w:divsChild>
    </w:div>
    <w:div w:id="976254279">
      <w:bodyDiv w:val="1"/>
      <w:marLeft w:val="0"/>
      <w:marRight w:val="0"/>
      <w:marTop w:val="0"/>
      <w:marBottom w:val="0"/>
      <w:divBdr>
        <w:top w:val="none" w:sz="0" w:space="0" w:color="auto"/>
        <w:left w:val="none" w:sz="0" w:space="0" w:color="auto"/>
        <w:bottom w:val="none" w:sz="0" w:space="0" w:color="auto"/>
        <w:right w:val="none" w:sz="0" w:space="0" w:color="auto"/>
      </w:divBdr>
    </w:div>
    <w:div w:id="982657805">
      <w:bodyDiv w:val="1"/>
      <w:marLeft w:val="0"/>
      <w:marRight w:val="0"/>
      <w:marTop w:val="0"/>
      <w:marBottom w:val="0"/>
      <w:divBdr>
        <w:top w:val="none" w:sz="0" w:space="0" w:color="auto"/>
        <w:left w:val="none" w:sz="0" w:space="0" w:color="auto"/>
        <w:bottom w:val="none" w:sz="0" w:space="0" w:color="auto"/>
        <w:right w:val="none" w:sz="0" w:space="0" w:color="auto"/>
      </w:divBdr>
    </w:div>
    <w:div w:id="989286051">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999625683">
      <w:bodyDiv w:val="1"/>
      <w:marLeft w:val="0"/>
      <w:marRight w:val="0"/>
      <w:marTop w:val="0"/>
      <w:marBottom w:val="0"/>
      <w:divBdr>
        <w:top w:val="none" w:sz="0" w:space="0" w:color="auto"/>
        <w:left w:val="none" w:sz="0" w:space="0" w:color="auto"/>
        <w:bottom w:val="none" w:sz="0" w:space="0" w:color="auto"/>
        <w:right w:val="none" w:sz="0" w:space="0" w:color="auto"/>
      </w:divBdr>
    </w:div>
    <w:div w:id="1025982120">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33269935">
      <w:bodyDiv w:val="1"/>
      <w:marLeft w:val="0"/>
      <w:marRight w:val="0"/>
      <w:marTop w:val="0"/>
      <w:marBottom w:val="0"/>
      <w:divBdr>
        <w:top w:val="none" w:sz="0" w:space="0" w:color="auto"/>
        <w:left w:val="none" w:sz="0" w:space="0" w:color="auto"/>
        <w:bottom w:val="none" w:sz="0" w:space="0" w:color="auto"/>
        <w:right w:val="none" w:sz="0" w:space="0" w:color="auto"/>
      </w:divBdr>
    </w:div>
    <w:div w:id="1036124647">
      <w:bodyDiv w:val="1"/>
      <w:marLeft w:val="0"/>
      <w:marRight w:val="0"/>
      <w:marTop w:val="0"/>
      <w:marBottom w:val="0"/>
      <w:divBdr>
        <w:top w:val="none" w:sz="0" w:space="0" w:color="auto"/>
        <w:left w:val="none" w:sz="0" w:space="0" w:color="auto"/>
        <w:bottom w:val="none" w:sz="0" w:space="0" w:color="auto"/>
        <w:right w:val="none" w:sz="0" w:space="0" w:color="auto"/>
      </w:divBdr>
    </w:div>
    <w:div w:id="1038968911">
      <w:bodyDiv w:val="1"/>
      <w:marLeft w:val="0"/>
      <w:marRight w:val="0"/>
      <w:marTop w:val="0"/>
      <w:marBottom w:val="0"/>
      <w:divBdr>
        <w:top w:val="none" w:sz="0" w:space="0" w:color="auto"/>
        <w:left w:val="none" w:sz="0" w:space="0" w:color="auto"/>
        <w:bottom w:val="none" w:sz="0" w:space="0" w:color="auto"/>
        <w:right w:val="none" w:sz="0" w:space="0" w:color="auto"/>
      </w:divBdr>
    </w:div>
    <w:div w:id="1042906743">
      <w:bodyDiv w:val="1"/>
      <w:marLeft w:val="0"/>
      <w:marRight w:val="0"/>
      <w:marTop w:val="0"/>
      <w:marBottom w:val="0"/>
      <w:divBdr>
        <w:top w:val="none" w:sz="0" w:space="0" w:color="auto"/>
        <w:left w:val="none" w:sz="0" w:space="0" w:color="auto"/>
        <w:bottom w:val="none" w:sz="0" w:space="0" w:color="auto"/>
        <w:right w:val="none" w:sz="0" w:space="0" w:color="auto"/>
      </w:divBdr>
    </w:div>
    <w:div w:id="1044254542">
      <w:bodyDiv w:val="1"/>
      <w:marLeft w:val="0"/>
      <w:marRight w:val="0"/>
      <w:marTop w:val="0"/>
      <w:marBottom w:val="0"/>
      <w:divBdr>
        <w:top w:val="none" w:sz="0" w:space="0" w:color="auto"/>
        <w:left w:val="none" w:sz="0" w:space="0" w:color="auto"/>
        <w:bottom w:val="none" w:sz="0" w:space="0" w:color="auto"/>
        <w:right w:val="none" w:sz="0" w:space="0" w:color="auto"/>
      </w:divBdr>
    </w:div>
    <w:div w:id="1045713483">
      <w:bodyDiv w:val="1"/>
      <w:marLeft w:val="0"/>
      <w:marRight w:val="0"/>
      <w:marTop w:val="0"/>
      <w:marBottom w:val="0"/>
      <w:divBdr>
        <w:top w:val="none" w:sz="0" w:space="0" w:color="auto"/>
        <w:left w:val="none" w:sz="0" w:space="0" w:color="auto"/>
        <w:bottom w:val="none" w:sz="0" w:space="0" w:color="auto"/>
        <w:right w:val="none" w:sz="0" w:space="0" w:color="auto"/>
      </w:divBdr>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062404820">
      <w:bodyDiv w:val="1"/>
      <w:marLeft w:val="0"/>
      <w:marRight w:val="0"/>
      <w:marTop w:val="0"/>
      <w:marBottom w:val="0"/>
      <w:divBdr>
        <w:top w:val="none" w:sz="0" w:space="0" w:color="auto"/>
        <w:left w:val="none" w:sz="0" w:space="0" w:color="auto"/>
        <w:bottom w:val="none" w:sz="0" w:space="0" w:color="auto"/>
        <w:right w:val="none" w:sz="0" w:space="0" w:color="auto"/>
      </w:divBdr>
    </w:div>
    <w:div w:id="1062756146">
      <w:bodyDiv w:val="1"/>
      <w:marLeft w:val="0"/>
      <w:marRight w:val="0"/>
      <w:marTop w:val="0"/>
      <w:marBottom w:val="0"/>
      <w:divBdr>
        <w:top w:val="none" w:sz="0" w:space="0" w:color="auto"/>
        <w:left w:val="none" w:sz="0" w:space="0" w:color="auto"/>
        <w:bottom w:val="none" w:sz="0" w:space="0" w:color="auto"/>
        <w:right w:val="none" w:sz="0" w:space="0" w:color="auto"/>
      </w:divBdr>
    </w:div>
    <w:div w:id="1065372791">
      <w:bodyDiv w:val="1"/>
      <w:marLeft w:val="0"/>
      <w:marRight w:val="0"/>
      <w:marTop w:val="0"/>
      <w:marBottom w:val="0"/>
      <w:divBdr>
        <w:top w:val="none" w:sz="0" w:space="0" w:color="auto"/>
        <w:left w:val="none" w:sz="0" w:space="0" w:color="auto"/>
        <w:bottom w:val="none" w:sz="0" w:space="0" w:color="auto"/>
        <w:right w:val="none" w:sz="0" w:space="0" w:color="auto"/>
      </w:divBdr>
    </w:div>
    <w:div w:id="1072770958">
      <w:bodyDiv w:val="1"/>
      <w:marLeft w:val="0"/>
      <w:marRight w:val="0"/>
      <w:marTop w:val="0"/>
      <w:marBottom w:val="0"/>
      <w:divBdr>
        <w:top w:val="none" w:sz="0" w:space="0" w:color="auto"/>
        <w:left w:val="none" w:sz="0" w:space="0" w:color="auto"/>
        <w:bottom w:val="none" w:sz="0" w:space="0" w:color="auto"/>
        <w:right w:val="none" w:sz="0" w:space="0" w:color="auto"/>
      </w:divBdr>
    </w:div>
    <w:div w:id="1084453220">
      <w:bodyDiv w:val="1"/>
      <w:marLeft w:val="0"/>
      <w:marRight w:val="0"/>
      <w:marTop w:val="0"/>
      <w:marBottom w:val="0"/>
      <w:divBdr>
        <w:top w:val="none" w:sz="0" w:space="0" w:color="auto"/>
        <w:left w:val="none" w:sz="0" w:space="0" w:color="auto"/>
        <w:bottom w:val="none" w:sz="0" w:space="0" w:color="auto"/>
        <w:right w:val="none" w:sz="0" w:space="0" w:color="auto"/>
      </w:divBdr>
    </w:div>
    <w:div w:id="1087458409">
      <w:bodyDiv w:val="1"/>
      <w:marLeft w:val="0"/>
      <w:marRight w:val="0"/>
      <w:marTop w:val="0"/>
      <w:marBottom w:val="0"/>
      <w:divBdr>
        <w:top w:val="none" w:sz="0" w:space="0" w:color="auto"/>
        <w:left w:val="none" w:sz="0" w:space="0" w:color="auto"/>
        <w:bottom w:val="none" w:sz="0" w:space="0" w:color="auto"/>
        <w:right w:val="none" w:sz="0" w:space="0" w:color="auto"/>
      </w:divBdr>
    </w:div>
    <w:div w:id="1088383072">
      <w:bodyDiv w:val="1"/>
      <w:marLeft w:val="0"/>
      <w:marRight w:val="0"/>
      <w:marTop w:val="0"/>
      <w:marBottom w:val="0"/>
      <w:divBdr>
        <w:top w:val="none" w:sz="0" w:space="0" w:color="auto"/>
        <w:left w:val="none" w:sz="0" w:space="0" w:color="auto"/>
        <w:bottom w:val="none" w:sz="0" w:space="0" w:color="auto"/>
        <w:right w:val="none" w:sz="0" w:space="0" w:color="auto"/>
      </w:divBdr>
    </w:div>
    <w:div w:id="1125779152">
      <w:bodyDiv w:val="1"/>
      <w:marLeft w:val="0"/>
      <w:marRight w:val="0"/>
      <w:marTop w:val="0"/>
      <w:marBottom w:val="0"/>
      <w:divBdr>
        <w:top w:val="none" w:sz="0" w:space="0" w:color="auto"/>
        <w:left w:val="none" w:sz="0" w:space="0" w:color="auto"/>
        <w:bottom w:val="none" w:sz="0" w:space="0" w:color="auto"/>
        <w:right w:val="none" w:sz="0" w:space="0" w:color="auto"/>
      </w:divBdr>
    </w:div>
    <w:div w:id="1136802353">
      <w:bodyDiv w:val="1"/>
      <w:marLeft w:val="0"/>
      <w:marRight w:val="0"/>
      <w:marTop w:val="0"/>
      <w:marBottom w:val="0"/>
      <w:divBdr>
        <w:top w:val="none" w:sz="0" w:space="0" w:color="auto"/>
        <w:left w:val="none" w:sz="0" w:space="0" w:color="auto"/>
        <w:bottom w:val="none" w:sz="0" w:space="0" w:color="auto"/>
        <w:right w:val="none" w:sz="0" w:space="0" w:color="auto"/>
      </w:divBdr>
      <w:divsChild>
        <w:div w:id="451557539">
          <w:marLeft w:val="432"/>
          <w:marRight w:val="0"/>
          <w:marTop w:val="240"/>
          <w:marBottom w:val="0"/>
          <w:divBdr>
            <w:top w:val="none" w:sz="0" w:space="0" w:color="auto"/>
            <w:left w:val="none" w:sz="0" w:space="0" w:color="auto"/>
            <w:bottom w:val="none" w:sz="0" w:space="0" w:color="auto"/>
            <w:right w:val="none" w:sz="0" w:space="0" w:color="auto"/>
          </w:divBdr>
        </w:div>
        <w:div w:id="465010307">
          <w:marLeft w:val="432"/>
          <w:marRight w:val="0"/>
          <w:marTop w:val="240"/>
          <w:marBottom w:val="0"/>
          <w:divBdr>
            <w:top w:val="none" w:sz="0" w:space="0" w:color="auto"/>
            <w:left w:val="none" w:sz="0" w:space="0" w:color="auto"/>
            <w:bottom w:val="none" w:sz="0" w:space="0" w:color="auto"/>
            <w:right w:val="none" w:sz="0" w:space="0" w:color="auto"/>
          </w:divBdr>
        </w:div>
        <w:div w:id="725643379">
          <w:marLeft w:val="432"/>
          <w:marRight w:val="0"/>
          <w:marTop w:val="240"/>
          <w:marBottom w:val="0"/>
          <w:divBdr>
            <w:top w:val="none" w:sz="0" w:space="0" w:color="auto"/>
            <w:left w:val="none" w:sz="0" w:space="0" w:color="auto"/>
            <w:bottom w:val="none" w:sz="0" w:space="0" w:color="auto"/>
            <w:right w:val="none" w:sz="0" w:space="0" w:color="auto"/>
          </w:divBdr>
        </w:div>
        <w:div w:id="777532603">
          <w:marLeft w:val="432"/>
          <w:marRight w:val="0"/>
          <w:marTop w:val="240"/>
          <w:marBottom w:val="0"/>
          <w:divBdr>
            <w:top w:val="none" w:sz="0" w:space="0" w:color="auto"/>
            <w:left w:val="none" w:sz="0" w:space="0" w:color="auto"/>
            <w:bottom w:val="none" w:sz="0" w:space="0" w:color="auto"/>
            <w:right w:val="none" w:sz="0" w:space="0" w:color="auto"/>
          </w:divBdr>
        </w:div>
        <w:div w:id="813718255">
          <w:marLeft w:val="432"/>
          <w:marRight w:val="0"/>
          <w:marTop w:val="240"/>
          <w:marBottom w:val="0"/>
          <w:divBdr>
            <w:top w:val="none" w:sz="0" w:space="0" w:color="auto"/>
            <w:left w:val="none" w:sz="0" w:space="0" w:color="auto"/>
            <w:bottom w:val="none" w:sz="0" w:space="0" w:color="auto"/>
            <w:right w:val="none" w:sz="0" w:space="0" w:color="auto"/>
          </w:divBdr>
        </w:div>
        <w:div w:id="1125660887">
          <w:marLeft w:val="1267"/>
          <w:marRight w:val="0"/>
          <w:marTop w:val="180"/>
          <w:marBottom w:val="0"/>
          <w:divBdr>
            <w:top w:val="none" w:sz="0" w:space="0" w:color="auto"/>
            <w:left w:val="none" w:sz="0" w:space="0" w:color="auto"/>
            <w:bottom w:val="none" w:sz="0" w:space="0" w:color="auto"/>
            <w:right w:val="none" w:sz="0" w:space="0" w:color="auto"/>
          </w:divBdr>
        </w:div>
        <w:div w:id="1424838231">
          <w:marLeft w:val="432"/>
          <w:marRight w:val="0"/>
          <w:marTop w:val="240"/>
          <w:marBottom w:val="0"/>
          <w:divBdr>
            <w:top w:val="none" w:sz="0" w:space="0" w:color="auto"/>
            <w:left w:val="none" w:sz="0" w:space="0" w:color="auto"/>
            <w:bottom w:val="none" w:sz="0" w:space="0" w:color="auto"/>
            <w:right w:val="none" w:sz="0" w:space="0" w:color="auto"/>
          </w:divBdr>
        </w:div>
        <w:div w:id="1442921735">
          <w:marLeft w:val="432"/>
          <w:marRight w:val="0"/>
          <w:marTop w:val="240"/>
          <w:marBottom w:val="0"/>
          <w:divBdr>
            <w:top w:val="none" w:sz="0" w:space="0" w:color="auto"/>
            <w:left w:val="none" w:sz="0" w:space="0" w:color="auto"/>
            <w:bottom w:val="none" w:sz="0" w:space="0" w:color="auto"/>
            <w:right w:val="none" w:sz="0" w:space="0" w:color="auto"/>
          </w:divBdr>
        </w:div>
        <w:div w:id="1459952950">
          <w:marLeft w:val="1267"/>
          <w:marRight w:val="0"/>
          <w:marTop w:val="180"/>
          <w:marBottom w:val="0"/>
          <w:divBdr>
            <w:top w:val="none" w:sz="0" w:space="0" w:color="auto"/>
            <w:left w:val="none" w:sz="0" w:space="0" w:color="auto"/>
            <w:bottom w:val="none" w:sz="0" w:space="0" w:color="auto"/>
            <w:right w:val="none" w:sz="0" w:space="0" w:color="auto"/>
          </w:divBdr>
        </w:div>
        <w:div w:id="2096974757">
          <w:marLeft w:val="1267"/>
          <w:marRight w:val="0"/>
          <w:marTop w:val="180"/>
          <w:marBottom w:val="0"/>
          <w:divBdr>
            <w:top w:val="none" w:sz="0" w:space="0" w:color="auto"/>
            <w:left w:val="none" w:sz="0" w:space="0" w:color="auto"/>
            <w:bottom w:val="none" w:sz="0" w:space="0" w:color="auto"/>
            <w:right w:val="none" w:sz="0" w:space="0" w:color="auto"/>
          </w:divBdr>
        </w:div>
      </w:divsChild>
    </w:div>
    <w:div w:id="1159035764">
      <w:bodyDiv w:val="1"/>
      <w:marLeft w:val="0"/>
      <w:marRight w:val="0"/>
      <w:marTop w:val="0"/>
      <w:marBottom w:val="0"/>
      <w:divBdr>
        <w:top w:val="none" w:sz="0" w:space="0" w:color="auto"/>
        <w:left w:val="none" w:sz="0" w:space="0" w:color="auto"/>
        <w:bottom w:val="none" w:sz="0" w:space="0" w:color="auto"/>
        <w:right w:val="none" w:sz="0" w:space="0" w:color="auto"/>
      </w:divBdr>
    </w:div>
    <w:div w:id="1163744581">
      <w:bodyDiv w:val="1"/>
      <w:marLeft w:val="0"/>
      <w:marRight w:val="0"/>
      <w:marTop w:val="0"/>
      <w:marBottom w:val="0"/>
      <w:divBdr>
        <w:top w:val="none" w:sz="0" w:space="0" w:color="auto"/>
        <w:left w:val="none" w:sz="0" w:space="0" w:color="auto"/>
        <w:bottom w:val="none" w:sz="0" w:space="0" w:color="auto"/>
        <w:right w:val="none" w:sz="0" w:space="0" w:color="auto"/>
      </w:divBdr>
    </w:div>
    <w:div w:id="1167359636">
      <w:bodyDiv w:val="1"/>
      <w:marLeft w:val="0"/>
      <w:marRight w:val="0"/>
      <w:marTop w:val="0"/>
      <w:marBottom w:val="0"/>
      <w:divBdr>
        <w:top w:val="none" w:sz="0" w:space="0" w:color="auto"/>
        <w:left w:val="none" w:sz="0" w:space="0" w:color="auto"/>
        <w:bottom w:val="none" w:sz="0" w:space="0" w:color="auto"/>
        <w:right w:val="none" w:sz="0" w:space="0" w:color="auto"/>
      </w:divBdr>
    </w:div>
    <w:div w:id="1167668038">
      <w:bodyDiv w:val="1"/>
      <w:marLeft w:val="0"/>
      <w:marRight w:val="0"/>
      <w:marTop w:val="0"/>
      <w:marBottom w:val="0"/>
      <w:divBdr>
        <w:top w:val="none" w:sz="0" w:space="0" w:color="auto"/>
        <w:left w:val="none" w:sz="0" w:space="0" w:color="auto"/>
        <w:bottom w:val="none" w:sz="0" w:space="0" w:color="auto"/>
        <w:right w:val="none" w:sz="0" w:space="0" w:color="auto"/>
      </w:divBdr>
    </w:div>
    <w:div w:id="1172112794">
      <w:bodyDiv w:val="1"/>
      <w:marLeft w:val="0"/>
      <w:marRight w:val="0"/>
      <w:marTop w:val="0"/>
      <w:marBottom w:val="0"/>
      <w:divBdr>
        <w:top w:val="none" w:sz="0" w:space="0" w:color="auto"/>
        <w:left w:val="none" w:sz="0" w:space="0" w:color="auto"/>
        <w:bottom w:val="none" w:sz="0" w:space="0" w:color="auto"/>
        <w:right w:val="none" w:sz="0" w:space="0" w:color="auto"/>
      </w:divBdr>
    </w:div>
    <w:div w:id="1172791523">
      <w:bodyDiv w:val="1"/>
      <w:marLeft w:val="0"/>
      <w:marRight w:val="0"/>
      <w:marTop w:val="0"/>
      <w:marBottom w:val="0"/>
      <w:divBdr>
        <w:top w:val="none" w:sz="0" w:space="0" w:color="auto"/>
        <w:left w:val="none" w:sz="0" w:space="0" w:color="auto"/>
        <w:bottom w:val="none" w:sz="0" w:space="0" w:color="auto"/>
        <w:right w:val="none" w:sz="0" w:space="0" w:color="auto"/>
      </w:divBdr>
    </w:div>
    <w:div w:id="1183862657">
      <w:bodyDiv w:val="1"/>
      <w:marLeft w:val="0"/>
      <w:marRight w:val="0"/>
      <w:marTop w:val="0"/>
      <w:marBottom w:val="0"/>
      <w:divBdr>
        <w:top w:val="none" w:sz="0" w:space="0" w:color="auto"/>
        <w:left w:val="none" w:sz="0" w:space="0" w:color="auto"/>
        <w:bottom w:val="none" w:sz="0" w:space="0" w:color="auto"/>
        <w:right w:val="none" w:sz="0" w:space="0" w:color="auto"/>
      </w:divBdr>
    </w:div>
    <w:div w:id="1192760650">
      <w:bodyDiv w:val="1"/>
      <w:marLeft w:val="0"/>
      <w:marRight w:val="0"/>
      <w:marTop w:val="0"/>
      <w:marBottom w:val="0"/>
      <w:divBdr>
        <w:top w:val="none" w:sz="0" w:space="0" w:color="auto"/>
        <w:left w:val="none" w:sz="0" w:space="0" w:color="auto"/>
        <w:bottom w:val="none" w:sz="0" w:space="0" w:color="auto"/>
        <w:right w:val="none" w:sz="0" w:space="0" w:color="auto"/>
      </w:divBdr>
    </w:div>
    <w:div w:id="1197692708">
      <w:bodyDiv w:val="1"/>
      <w:marLeft w:val="0"/>
      <w:marRight w:val="0"/>
      <w:marTop w:val="0"/>
      <w:marBottom w:val="0"/>
      <w:divBdr>
        <w:top w:val="none" w:sz="0" w:space="0" w:color="auto"/>
        <w:left w:val="none" w:sz="0" w:space="0" w:color="auto"/>
        <w:bottom w:val="none" w:sz="0" w:space="0" w:color="auto"/>
        <w:right w:val="none" w:sz="0" w:space="0" w:color="auto"/>
      </w:divBdr>
    </w:div>
    <w:div w:id="1207377195">
      <w:bodyDiv w:val="1"/>
      <w:marLeft w:val="0"/>
      <w:marRight w:val="0"/>
      <w:marTop w:val="0"/>
      <w:marBottom w:val="0"/>
      <w:divBdr>
        <w:top w:val="none" w:sz="0" w:space="0" w:color="auto"/>
        <w:left w:val="none" w:sz="0" w:space="0" w:color="auto"/>
        <w:bottom w:val="none" w:sz="0" w:space="0" w:color="auto"/>
        <w:right w:val="none" w:sz="0" w:space="0" w:color="auto"/>
      </w:divBdr>
    </w:div>
    <w:div w:id="1217815040">
      <w:bodyDiv w:val="1"/>
      <w:marLeft w:val="0"/>
      <w:marRight w:val="0"/>
      <w:marTop w:val="0"/>
      <w:marBottom w:val="0"/>
      <w:divBdr>
        <w:top w:val="none" w:sz="0" w:space="0" w:color="auto"/>
        <w:left w:val="none" w:sz="0" w:space="0" w:color="auto"/>
        <w:bottom w:val="none" w:sz="0" w:space="0" w:color="auto"/>
        <w:right w:val="none" w:sz="0" w:space="0" w:color="auto"/>
      </w:divBdr>
    </w:div>
    <w:div w:id="1227374254">
      <w:bodyDiv w:val="1"/>
      <w:marLeft w:val="0"/>
      <w:marRight w:val="0"/>
      <w:marTop w:val="0"/>
      <w:marBottom w:val="0"/>
      <w:divBdr>
        <w:top w:val="none" w:sz="0" w:space="0" w:color="auto"/>
        <w:left w:val="none" w:sz="0" w:space="0" w:color="auto"/>
        <w:bottom w:val="none" w:sz="0" w:space="0" w:color="auto"/>
        <w:right w:val="none" w:sz="0" w:space="0" w:color="auto"/>
      </w:divBdr>
    </w:div>
    <w:div w:id="1229344722">
      <w:bodyDiv w:val="1"/>
      <w:marLeft w:val="0"/>
      <w:marRight w:val="0"/>
      <w:marTop w:val="0"/>
      <w:marBottom w:val="0"/>
      <w:divBdr>
        <w:top w:val="none" w:sz="0" w:space="0" w:color="auto"/>
        <w:left w:val="none" w:sz="0" w:space="0" w:color="auto"/>
        <w:bottom w:val="none" w:sz="0" w:space="0" w:color="auto"/>
        <w:right w:val="none" w:sz="0" w:space="0" w:color="auto"/>
      </w:divBdr>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259827661">
      <w:bodyDiv w:val="1"/>
      <w:marLeft w:val="0"/>
      <w:marRight w:val="0"/>
      <w:marTop w:val="0"/>
      <w:marBottom w:val="0"/>
      <w:divBdr>
        <w:top w:val="none" w:sz="0" w:space="0" w:color="auto"/>
        <w:left w:val="none" w:sz="0" w:space="0" w:color="auto"/>
        <w:bottom w:val="none" w:sz="0" w:space="0" w:color="auto"/>
        <w:right w:val="none" w:sz="0" w:space="0" w:color="auto"/>
      </w:divBdr>
    </w:div>
    <w:div w:id="1266227086">
      <w:bodyDiv w:val="1"/>
      <w:marLeft w:val="0"/>
      <w:marRight w:val="0"/>
      <w:marTop w:val="0"/>
      <w:marBottom w:val="0"/>
      <w:divBdr>
        <w:top w:val="none" w:sz="0" w:space="0" w:color="auto"/>
        <w:left w:val="none" w:sz="0" w:space="0" w:color="auto"/>
        <w:bottom w:val="none" w:sz="0" w:space="0" w:color="auto"/>
        <w:right w:val="none" w:sz="0" w:space="0" w:color="auto"/>
      </w:divBdr>
    </w:div>
    <w:div w:id="1272472110">
      <w:bodyDiv w:val="1"/>
      <w:marLeft w:val="0"/>
      <w:marRight w:val="0"/>
      <w:marTop w:val="0"/>
      <w:marBottom w:val="0"/>
      <w:divBdr>
        <w:top w:val="none" w:sz="0" w:space="0" w:color="auto"/>
        <w:left w:val="none" w:sz="0" w:space="0" w:color="auto"/>
        <w:bottom w:val="none" w:sz="0" w:space="0" w:color="auto"/>
        <w:right w:val="none" w:sz="0" w:space="0" w:color="auto"/>
      </w:divBdr>
    </w:div>
    <w:div w:id="1285649472">
      <w:bodyDiv w:val="1"/>
      <w:marLeft w:val="0"/>
      <w:marRight w:val="0"/>
      <w:marTop w:val="0"/>
      <w:marBottom w:val="0"/>
      <w:divBdr>
        <w:top w:val="none" w:sz="0" w:space="0" w:color="auto"/>
        <w:left w:val="none" w:sz="0" w:space="0" w:color="auto"/>
        <w:bottom w:val="none" w:sz="0" w:space="0" w:color="auto"/>
        <w:right w:val="none" w:sz="0" w:space="0" w:color="auto"/>
      </w:divBdr>
    </w:div>
    <w:div w:id="1306279398">
      <w:bodyDiv w:val="1"/>
      <w:marLeft w:val="0"/>
      <w:marRight w:val="0"/>
      <w:marTop w:val="0"/>
      <w:marBottom w:val="0"/>
      <w:divBdr>
        <w:top w:val="none" w:sz="0" w:space="0" w:color="auto"/>
        <w:left w:val="none" w:sz="0" w:space="0" w:color="auto"/>
        <w:bottom w:val="none" w:sz="0" w:space="0" w:color="auto"/>
        <w:right w:val="none" w:sz="0" w:space="0" w:color="auto"/>
      </w:divBdr>
    </w:div>
    <w:div w:id="1309479304">
      <w:bodyDiv w:val="1"/>
      <w:marLeft w:val="0"/>
      <w:marRight w:val="0"/>
      <w:marTop w:val="0"/>
      <w:marBottom w:val="0"/>
      <w:divBdr>
        <w:top w:val="none" w:sz="0" w:space="0" w:color="auto"/>
        <w:left w:val="none" w:sz="0" w:space="0" w:color="auto"/>
        <w:bottom w:val="none" w:sz="0" w:space="0" w:color="auto"/>
        <w:right w:val="none" w:sz="0" w:space="0" w:color="auto"/>
      </w:divBdr>
      <w:divsChild>
        <w:div w:id="275062081">
          <w:marLeft w:val="907"/>
          <w:marRight w:val="0"/>
          <w:marTop w:val="0"/>
          <w:marBottom w:val="0"/>
          <w:divBdr>
            <w:top w:val="none" w:sz="0" w:space="0" w:color="auto"/>
            <w:left w:val="none" w:sz="0" w:space="0" w:color="auto"/>
            <w:bottom w:val="none" w:sz="0" w:space="0" w:color="auto"/>
            <w:right w:val="none" w:sz="0" w:space="0" w:color="auto"/>
          </w:divBdr>
        </w:div>
        <w:div w:id="597058085">
          <w:marLeft w:val="547"/>
          <w:marRight w:val="0"/>
          <w:marTop w:val="0"/>
          <w:marBottom w:val="0"/>
          <w:divBdr>
            <w:top w:val="none" w:sz="0" w:space="0" w:color="auto"/>
            <w:left w:val="none" w:sz="0" w:space="0" w:color="auto"/>
            <w:bottom w:val="none" w:sz="0" w:space="0" w:color="auto"/>
            <w:right w:val="none" w:sz="0" w:space="0" w:color="auto"/>
          </w:divBdr>
        </w:div>
      </w:divsChild>
    </w:div>
    <w:div w:id="1315184109">
      <w:bodyDiv w:val="1"/>
      <w:marLeft w:val="0"/>
      <w:marRight w:val="0"/>
      <w:marTop w:val="0"/>
      <w:marBottom w:val="0"/>
      <w:divBdr>
        <w:top w:val="none" w:sz="0" w:space="0" w:color="auto"/>
        <w:left w:val="none" w:sz="0" w:space="0" w:color="auto"/>
        <w:bottom w:val="none" w:sz="0" w:space="0" w:color="auto"/>
        <w:right w:val="none" w:sz="0" w:space="0" w:color="auto"/>
      </w:divBdr>
    </w:div>
    <w:div w:id="1336415736">
      <w:bodyDiv w:val="1"/>
      <w:marLeft w:val="0"/>
      <w:marRight w:val="0"/>
      <w:marTop w:val="0"/>
      <w:marBottom w:val="0"/>
      <w:divBdr>
        <w:top w:val="none" w:sz="0" w:space="0" w:color="auto"/>
        <w:left w:val="none" w:sz="0" w:space="0" w:color="auto"/>
        <w:bottom w:val="none" w:sz="0" w:space="0" w:color="auto"/>
        <w:right w:val="none" w:sz="0" w:space="0" w:color="auto"/>
      </w:divBdr>
    </w:div>
    <w:div w:id="1342269899">
      <w:bodyDiv w:val="1"/>
      <w:marLeft w:val="0"/>
      <w:marRight w:val="0"/>
      <w:marTop w:val="0"/>
      <w:marBottom w:val="0"/>
      <w:divBdr>
        <w:top w:val="none" w:sz="0" w:space="0" w:color="auto"/>
        <w:left w:val="none" w:sz="0" w:space="0" w:color="auto"/>
        <w:bottom w:val="none" w:sz="0" w:space="0" w:color="auto"/>
        <w:right w:val="none" w:sz="0" w:space="0" w:color="auto"/>
      </w:divBdr>
    </w:div>
    <w:div w:id="1342970630">
      <w:bodyDiv w:val="1"/>
      <w:marLeft w:val="0"/>
      <w:marRight w:val="0"/>
      <w:marTop w:val="0"/>
      <w:marBottom w:val="0"/>
      <w:divBdr>
        <w:top w:val="none" w:sz="0" w:space="0" w:color="auto"/>
        <w:left w:val="none" w:sz="0" w:space="0" w:color="auto"/>
        <w:bottom w:val="none" w:sz="0" w:space="0" w:color="auto"/>
        <w:right w:val="none" w:sz="0" w:space="0" w:color="auto"/>
      </w:divBdr>
      <w:divsChild>
        <w:div w:id="1777753778">
          <w:marLeft w:val="432"/>
          <w:marRight w:val="0"/>
          <w:marTop w:val="240"/>
          <w:marBottom w:val="0"/>
          <w:divBdr>
            <w:top w:val="none" w:sz="0" w:space="0" w:color="auto"/>
            <w:left w:val="none" w:sz="0" w:space="0" w:color="auto"/>
            <w:bottom w:val="none" w:sz="0" w:space="0" w:color="auto"/>
            <w:right w:val="none" w:sz="0" w:space="0" w:color="auto"/>
          </w:divBdr>
        </w:div>
        <w:div w:id="2142379159">
          <w:marLeft w:val="432"/>
          <w:marRight w:val="0"/>
          <w:marTop w:val="240"/>
          <w:marBottom w:val="0"/>
          <w:divBdr>
            <w:top w:val="none" w:sz="0" w:space="0" w:color="auto"/>
            <w:left w:val="none" w:sz="0" w:space="0" w:color="auto"/>
            <w:bottom w:val="none" w:sz="0" w:space="0" w:color="auto"/>
            <w:right w:val="none" w:sz="0" w:space="0" w:color="auto"/>
          </w:divBdr>
        </w:div>
      </w:divsChild>
    </w:div>
    <w:div w:id="1356005755">
      <w:bodyDiv w:val="1"/>
      <w:marLeft w:val="0"/>
      <w:marRight w:val="0"/>
      <w:marTop w:val="0"/>
      <w:marBottom w:val="0"/>
      <w:divBdr>
        <w:top w:val="none" w:sz="0" w:space="0" w:color="auto"/>
        <w:left w:val="none" w:sz="0" w:space="0" w:color="auto"/>
        <w:bottom w:val="none" w:sz="0" w:space="0" w:color="auto"/>
        <w:right w:val="none" w:sz="0" w:space="0" w:color="auto"/>
      </w:divBdr>
    </w:div>
    <w:div w:id="1365010959">
      <w:bodyDiv w:val="1"/>
      <w:marLeft w:val="0"/>
      <w:marRight w:val="0"/>
      <w:marTop w:val="0"/>
      <w:marBottom w:val="0"/>
      <w:divBdr>
        <w:top w:val="none" w:sz="0" w:space="0" w:color="auto"/>
        <w:left w:val="none" w:sz="0" w:space="0" w:color="auto"/>
        <w:bottom w:val="none" w:sz="0" w:space="0" w:color="auto"/>
        <w:right w:val="none" w:sz="0" w:space="0" w:color="auto"/>
      </w:divBdr>
    </w:div>
    <w:div w:id="1374884631">
      <w:bodyDiv w:val="1"/>
      <w:marLeft w:val="0"/>
      <w:marRight w:val="0"/>
      <w:marTop w:val="0"/>
      <w:marBottom w:val="0"/>
      <w:divBdr>
        <w:top w:val="none" w:sz="0" w:space="0" w:color="auto"/>
        <w:left w:val="none" w:sz="0" w:space="0" w:color="auto"/>
        <w:bottom w:val="none" w:sz="0" w:space="0" w:color="auto"/>
        <w:right w:val="none" w:sz="0" w:space="0" w:color="auto"/>
      </w:divBdr>
    </w:div>
    <w:div w:id="1387610724">
      <w:bodyDiv w:val="1"/>
      <w:marLeft w:val="0"/>
      <w:marRight w:val="0"/>
      <w:marTop w:val="0"/>
      <w:marBottom w:val="0"/>
      <w:divBdr>
        <w:top w:val="none" w:sz="0" w:space="0" w:color="auto"/>
        <w:left w:val="none" w:sz="0" w:space="0" w:color="auto"/>
        <w:bottom w:val="none" w:sz="0" w:space="0" w:color="auto"/>
        <w:right w:val="none" w:sz="0" w:space="0" w:color="auto"/>
      </w:divBdr>
    </w:div>
    <w:div w:id="1392070532">
      <w:bodyDiv w:val="1"/>
      <w:marLeft w:val="0"/>
      <w:marRight w:val="0"/>
      <w:marTop w:val="0"/>
      <w:marBottom w:val="0"/>
      <w:divBdr>
        <w:top w:val="none" w:sz="0" w:space="0" w:color="auto"/>
        <w:left w:val="none" w:sz="0" w:space="0" w:color="auto"/>
        <w:bottom w:val="none" w:sz="0" w:space="0" w:color="auto"/>
        <w:right w:val="none" w:sz="0" w:space="0" w:color="auto"/>
      </w:divBdr>
    </w:div>
    <w:div w:id="1399287656">
      <w:bodyDiv w:val="1"/>
      <w:marLeft w:val="0"/>
      <w:marRight w:val="0"/>
      <w:marTop w:val="0"/>
      <w:marBottom w:val="0"/>
      <w:divBdr>
        <w:top w:val="none" w:sz="0" w:space="0" w:color="auto"/>
        <w:left w:val="none" w:sz="0" w:space="0" w:color="auto"/>
        <w:bottom w:val="none" w:sz="0" w:space="0" w:color="auto"/>
        <w:right w:val="none" w:sz="0" w:space="0" w:color="auto"/>
      </w:divBdr>
    </w:div>
    <w:div w:id="1404180912">
      <w:bodyDiv w:val="1"/>
      <w:marLeft w:val="0"/>
      <w:marRight w:val="0"/>
      <w:marTop w:val="0"/>
      <w:marBottom w:val="0"/>
      <w:divBdr>
        <w:top w:val="none" w:sz="0" w:space="0" w:color="auto"/>
        <w:left w:val="none" w:sz="0" w:space="0" w:color="auto"/>
        <w:bottom w:val="none" w:sz="0" w:space="0" w:color="auto"/>
        <w:right w:val="none" w:sz="0" w:space="0" w:color="auto"/>
      </w:divBdr>
    </w:div>
    <w:div w:id="1413309735">
      <w:bodyDiv w:val="1"/>
      <w:marLeft w:val="0"/>
      <w:marRight w:val="0"/>
      <w:marTop w:val="0"/>
      <w:marBottom w:val="0"/>
      <w:divBdr>
        <w:top w:val="none" w:sz="0" w:space="0" w:color="auto"/>
        <w:left w:val="none" w:sz="0" w:space="0" w:color="auto"/>
        <w:bottom w:val="none" w:sz="0" w:space="0" w:color="auto"/>
        <w:right w:val="none" w:sz="0" w:space="0" w:color="auto"/>
      </w:divBdr>
    </w:div>
    <w:div w:id="1419861168">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36515174">
      <w:bodyDiv w:val="1"/>
      <w:marLeft w:val="0"/>
      <w:marRight w:val="0"/>
      <w:marTop w:val="0"/>
      <w:marBottom w:val="0"/>
      <w:divBdr>
        <w:top w:val="none" w:sz="0" w:space="0" w:color="auto"/>
        <w:left w:val="none" w:sz="0" w:space="0" w:color="auto"/>
        <w:bottom w:val="none" w:sz="0" w:space="0" w:color="auto"/>
        <w:right w:val="none" w:sz="0" w:space="0" w:color="auto"/>
      </w:divBdr>
    </w:div>
    <w:div w:id="1438217469">
      <w:bodyDiv w:val="1"/>
      <w:marLeft w:val="0"/>
      <w:marRight w:val="0"/>
      <w:marTop w:val="0"/>
      <w:marBottom w:val="0"/>
      <w:divBdr>
        <w:top w:val="none" w:sz="0" w:space="0" w:color="auto"/>
        <w:left w:val="none" w:sz="0" w:space="0" w:color="auto"/>
        <w:bottom w:val="none" w:sz="0" w:space="0" w:color="auto"/>
        <w:right w:val="none" w:sz="0" w:space="0" w:color="auto"/>
      </w:divBdr>
    </w:div>
    <w:div w:id="1440442363">
      <w:bodyDiv w:val="1"/>
      <w:marLeft w:val="0"/>
      <w:marRight w:val="0"/>
      <w:marTop w:val="0"/>
      <w:marBottom w:val="0"/>
      <w:divBdr>
        <w:top w:val="none" w:sz="0" w:space="0" w:color="auto"/>
        <w:left w:val="none" w:sz="0" w:space="0" w:color="auto"/>
        <w:bottom w:val="none" w:sz="0" w:space="0" w:color="auto"/>
        <w:right w:val="none" w:sz="0" w:space="0" w:color="auto"/>
      </w:divBdr>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58528332">
      <w:bodyDiv w:val="1"/>
      <w:marLeft w:val="0"/>
      <w:marRight w:val="0"/>
      <w:marTop w:val="0"/>
      <w:marBottom w:val="0"/>
      <w:divBdr>
        <w:top w:val="none" w:sz="0" w:space="0" w:color="auto"/>
        <w:left w:val="none" w:sz="0" w:space="0" w:color="auto"/>
        <w:bottom w:val="none" w:sz="0" w:space="0" w:color="auto"/>
        <w:right w:val="none" w:sz="0" w:space="0" w:color="auto"/>
      </w:divBdr>
      <w:divsChild>
        <w:div w:id="1701511876">
          <w:marLeft w:val="432"/>
          <w:marRight w:val="0"/>
          <w:marTop w:val="240"/>
          <w:marBottom w:val="0"/>
          <w:divBdr>
            <w:top w:val="none" w:sz="0" w:space="0" w:color="auto"/>
            <w:left w:val="none" w:sz="0" w:space="0" w:color="auto"/>
            <w:bottom w:val="none" w:sz="0" w:space="0" w:color="auto"/>
            <w:right w:val="none" w:sz="0" w:space="0" w:color="auto"/>
          </w:divBdr>
        </w:div>
        <w:div w:id="2127460743">
          <w:marLeft w:val="1267"/>
          <w:marRight w:val="0"/>
          <w:marTop w:val="180"/>
          <w:marBottom w:val="0"/>
          <w:divBdr>
            <w:top w:val="none" w:sz="0" w:space="0" w:color="auto"/>
            <w:left w:val="none" w:sz="0" w:space="0" w:color="auto"/>
            <w:bottom w:val="none" w:sz="0" w:space="0" w:color="auto"/>
            <w:right w:val="none" w:sz="0" w:space="0" w:color="auto"/>
          </w:divBdr>
        </w:div>
      </w:divsChild>
    </w:div>
    <w:div w:id="1471285765">
      <w:bodyDiv w:val="1"/>
      <w:marLeft w:val="0"/>
      <w:marRight w:val="0"/>
      <w:marTop w:val="0"/>
      <w:marBottom w:val="0"/>
      <w:divBdr>
        <w:top w:val="none" w:sz="0" w:space="0" w:color="auto"/>
        <w:left w:val="none" w:sz="0" w:space="0" w:color="auto"/>
        <w:bottom w:val="none" w:sz="0" w:space="0" w:color="auto"/>
        <w:right w:val="none" w:sz="0" w:space="0" w:color="auto"/>
      </w:divBdr>
    </w:div>
    <w:div w:id="1479031059">
      <w:bodyDiv w:val="1"/>
      <w:marLeft w:val="0"/>
      <w:marRight w:val="0"/>
      <w:marTop w:val="0"/>
      <w:marBottom w:val="0"/>
      <w:divBdr>
        <w:top w:val="none" w:sz="0" w:space="0" w:color="auto"/>
        <w:left w:val="none" w:sz="0" w:space="0" w:color="auto"/>
        <w:bottom w:val="none" w:sz="0" w:space="0" w:color="auto"/>
        <w:right w:val="none" w:sz="0" w:space="0" w:color="auto"/>
      </w:divBdr>
    </w:div>
    <w:div w:id="1481266017">
      <w:bodyDiv w:val="1"/>
      <w:marLeft w:val="0"/>
      <w:marRight w:val="0"/>
      <w:marTop w:val="0"/>
      <w:marBottom w:val="0"/>
      <w:divBdr>
        <w:top w:val="none" w:sz="0" w:space="0" w:color="auto"/>
        <w:left w:val="none" w:sz="0" w:space="0" w:color="auto"/>
        <w:bottom w:val="none" w:sz="0" w:space="0" w:color="auto"/>
        <w:right w:val="none" w:sz="0" w:space="0" w:color="auto"/>
      </w:divBdr>
    </w:div>
    <w:div w:id="1490635979">
      <w:bodyDiv w:val="1"/>
      <w:marLeft w:val="0"/>
      <w:marRight w:val="0"/>
      <w:marTop w:val="0"/>
      <w:marBottom w:val="0"/>
      <w:divBdr>
        <w:top w:val="none" w:sz="0" w:space="0" w:color="auto"/>
        <w:left w:val="none" w:sz="0" w:space="0" w:color="auto"/>
        <w:bottom w:val="none" w:sz="0" w:space="0" w:color="auto"/>
        <w:right w:val="none" w:sz="0" w:space="0" w:color="auto"/>
      </w:divBdr>
    </w:div>
    <w:div w:id="1497189857">
      <w:bodyDiv w:val="1"/>
      <w:marLeft w:val="0"/>
      <w:marRight w:val="0"/>
      <w:marTop w:val="0"/>
      <w:marBottom w:val="0"/>
      <w:divBdr>
        <w:top w:val="none" w:sz="0" w:space="0" w:color="auto"/>
        <w:left w:val="none" w:sz="0" w:space="0" w:color="auto"/>
        <w:bottom w:val="none" w:sz="0" w:space="0" w:color="auto"/>
        <w:right w:val="none" w:sz="0" w:space="0" w:color="auto"/>
      </w:divBdr>
    </w:div>
    <w:div w:id="1499156794">
      <w:bodyDiv w:val="1"/>
      <w:marLeft w:val="0"/>
      <w:marRight w:val="0"/>
      <w:marTop w:val="0"/>
      <w:marBottom w:val="0"/>
      <w:divBdr>
        <w:top w:val="none" w:sz="0" w:space="0" w:color="auto"/>
        <w:left w:val="none" w:sz="0" w:space="0" w:color="auto"/>
        <w:bottom w:val="none" w:sz="0" w:space="0" w:color="auto"/>
        <w:right w:val="none" w:sz="0" w:space="0" w:color="auto"/>
      </w:divBdr>
    </w:div>
    <w:div w:id="1511485142">
      <w:bodyDiv w:val="1"/>
      <w:marLeft w:val="0"/>
      <w:marRight w:val="0"/>
      <w:marTop w:val="0"/>
      <w:marBottom w:val="0"/>
      <w:divBdr>
        <w:top w:val="none" w:sz="0" w:space="0" w:color="auto"/>
        <w:left w:val="none" w:sz="0" w:space="0" w:color="auto"/>
        <w:bottom w:val="none" w:sz="0" w:space="0" w:color="auto"/>
        <w:right w:val="none" w:sz="0" w:space="0" w:color="auto"/>
      </w:divBdr>
    </w:div>
    <w:div w:id="1514107327">
      <w:bodyDiv w:val="1"/>
      <w:marLeft w:val="0"/>
      <w:marRight w:val="0"/>
      <w:marTop w:val="0"/>
      <w:marBottom w:val="0"/>
      <w:divBdr>
        <w:top w:val="none" w:sz="0" w:space="0" w:color="auto"/>
        <w:left w:val="none" w:sz="0" w:space="0" w:color="auto"/>
        <w:bottom w:val="none" w:sz="0" w:space="0" w:color="auto"/>
        <w:right w:val="none" w:sz="0" w:space="0" w:color="auto"/>
      </w:divBdr>
    </w:div>
    <w:div w:id="1520847623">
      <w:bodyDiv w:val="1"/>
      <w:marLeft w:val="0"/>
      <w:marRight w:val="0"/>
      <w:marTop w:val="0"/>
      <w:marBottom w:val="0"/>
      <w:divBdr>
        <w:top w:val="none" w:sz="0" w:space="0" w:color="auto"/>
        <w:left w:val="none" w:sz="0" w:space="0" w:color="auto"/>
        <w:bottom w:val="none" w:sz="0" w:space="0" w:color="auto"/>
        <w:right w:val="none" w:sz="0" w:space="0" w:color="auto"/>
      </w:divBdr>
      <w:divsChild>
        <w:div w:id="713850347">
          <w:marLeft w:val="432"/>
          <w:marRight w:val="0"/>
          <w:marTop w:val="240"/>
          <w:marBottom w:val="0"/>
          <w:divBdr>
            <w:top w:val="none" w:sz="0" w:space="0" w:color="auto"/>
            <w:left w:val="none" w:sz="0" w:space="0" w:color="auto"/>
            <w:bottom w:val="none" w:sz="0" w:space="0" w:color="auto"/>
            <w:right w:val="none" w:sz="0" w:space="0" w:color="auto"/>
          </w:divBdr>
        </w:div>
        <w:div w:id="888615866">
          <w:marLeft w:val="432"/>
          <w:marRight w:val="0"/>
          <w:marTop w:val="240"/>
          <w:marBottom w:val="0"/>
          <w:divBdr>
            <w:top w:val="none" w:sz="0" w:space="0" w:color="auto"/>
            <w:left w:val="none" w:sz="0" w:space="0" w:color="auto"/>
            <w:bottom w:val="none" w:sz="0" w:space="0" w:color="auto"/>
            <w:right w:val="none" w:sz="0" w:space="0" w:color="auto"/>
          </w:divBdr>
        </w:div>
        <w:div w:id="1071081751">
          <w:marLeft w:val="432"/>
          <w:marRight w:val="0"/>
          <w:marTop w:val="240"/>
          <w:marBottom w:val="0"/>
          <w:divBdr>
            <w:top w:val="none" w:sz="0" w:space="0" w:color="auto"/>
            <w:left w:val="none" w:sz="0" w:space="0" w:color="auto"/>
            <w:bottom w:val="none" w:sz="0" w:space="0" w:color="auto"/>
            <w:right w:val="none" w:sz="0" w:space="0" w:color="auto"/>
          </w:divBdr>
        </w:div>
        <w:div w:id="1824348901">
          <w:marLeft w:val="1267"/>
          <w:marRight w:val="0"/>
          <w:marTop w:val="180"/>
          <w:marBottom w:val="0"/>
          <w:divBdr>
            <w:top w:val="none" w:sz="0" w:space="0" w:color="auto"/>
            <w:left w:val="none" w:sz="0" w:space="0" w:color="auto"/>
            <w:bottom w:val="none" w:sz="0" w:space="0" w:color="auto"/>
            <w:right w:val="none" w:sz="0" w:space="0" w:color="auto"/>
          </w:divBdr>
        </w:div>
      </w:divsChild>
    </w:div>
    <w:div w:id="1553079909">
      <w:bodyDiv w:val="1"/>
      <w:marLeft w:val="0"/>
      <w:marRight w:val="0"/>
      <w:marTop w:val="0"/>
      <w:marBottom w:val="0"/>
      <w:divBdr>
        <w:top w:val="none" w:sz="0" w:space="0" w:color="auto"/>
        <w:left w:val="none" w:sz="0" w:space="0" w:color="auto"/>
        <w:bottom w:val="none" w:sz="0" w:space="0" w:color="auto"/>
        <w:right w:val="none" w:sz="0" w:space="0" w:color="auto"/>
      </w:divBdr>
    </w:div>
    <w:div w:id="1554388843">
      <w:bodyDiv w:val="1"/>
      <w:marLeft w:val="0"/>
      <w:marRight w:val="0"/>
      <w:marTop w:val="0"/>
      <w:marBottom w:val="0"/>
      <w:divBdr>
        <w:top w:val="none" w:sz="0" w:space="0" w:color="auto"/>
        <w:left w:val="none" w:sz="0" w:space="0" w:color="auto"/>
        <w:bottom w:val="none" w:sz="0" w:space="0" w:color="auto"/>
        <w:right w:val="none" w:sz="0" w:space="0" w:color="auto"/>
      </w:divBdr>
    </w:div>
    <w:div w:id="1557201081">
      <w:bodyDiv w:val="1"/>
      <w:marLeft w:val="0"/>
      <w:marRight w:val="0"/>
      <w:marTop w:val="0"/>
      <w:marBottom w:val="0"/>
      <w:divBdr>
        <w:top w:val="none" w:sz="0" w:space="0" w:color="auto"/>
        <w:left w:val="none" w:sz="0" w:space="0" w:color="auto"/>
        <w:bottom w:val="none" w:sz="0" w:space="0" w:color="auto"/>
        <w:right w:val="none" w:sz="0" w:space="0" w:color="auto"/>
      </w:divBdr>
      <w:divsChild>
        <w:div w:id="246577663">
          <w:marLeft w:val="288"/>
          <w:marRight w:val="0"/>
          <w:marTop w:val="0"/>
          <w:marBottom w:val="0"/>
          <w:divBdr>
            <w:top w:val="none" w:sz="0" w:space="0" w:color="auto"/>
            <w:left w:val="none" w:sz="0" w:space="0" w:color="auto"/>
            <w:bottom w:val="none" w:sz="0" w:space="0" w:color="auto"/>
            <w:right w:val="none" w:sz="0" w:space="0" w:color="auto"/>
          </w:divBdr>
        </w:div>
        <w:div w:id="1423406317">
          <w:marLeft w:val="288"/>
          <w:marRight w:val="0"/>
          <w:marTop w:val="0"/>
          <w:marBottom w:val="0"/>
          <w:divBdr>
            <w:top w:val="none" w:sz="0" w:space="0" w:color="auto"/>
            <w:left w:val="none" w:sz="0" w:space="0" w:color="auto"/>
            <w:bottom w:val="none" w:sz="0" w:space="0" w:color="auto"/>
            <w:right w:val="none" w:sz="0" w:space="0" w:color="auto"/>
          </w:divBdr>
        </w:div>
      </w:divsChild>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564945527">
      <w:bodyDiv w:val="1"/>
      <w:marLeft w:val="0"/>
      <w:marRight w:val="0"/>
      <w:marTop w:val="0"/>
      <w:marBottom w:val="0"/>
      <w:divBdr>
        <w:top w:val="none" w:sz="0" w:space="0" w:color="auto"/>
        <w:left w:val="none" w:sz="0" w:space="0" w:color="auto"/>
        <w:bottom w:val="none" w:sz="0" w:space="0" w:color="auto"/>
        <w:right w:val="none" w:sz="0" w:space="0" w:color="auto"/>
      </w:divBdr>
    </w:div>
    <w:div w:id="1567228903">
      <w:bodyDiv w:val="1"/>
      <w:marLeft w:val="0"/>
      <w:marRight w:val="0"/>
      <w:marTop w:val="0"/>
      <w:marBottom w:val="0"/>
      <w:divBdr>
        <w:top w:val="none" w:sz="0" w:space="0" w:color="auto"/>
        <w:left w:val="none" w:sz="0" w:space="0" w:color="auto"/>
        <w:bottom w:val="none" w:sz="0" w:space="0" w:color="auto"/>
        <w:right w:val="none" w:sz="0" w:space="0" w:color="auto"/>
      </w:divBdr>
    </w:div>
    <w:div w:id="1578635382">
      <w:bodyDiv w:val="1"/>
      <w:marLeft w:val="0"/>
      <w:marRight w:val="0"/>
      <w:marTop w:val="0"/>
      <w:marBottom w:val="0"/>
      <w:divBdr>
        <w:top w:val="none" w:sz="0" w:space="0" w:color="auto"/>
        <w:left w:val="none" w:sz="0" w:space="0" w:color="auto"/>
        <w:bottom w:val="none" w:sz="0" w:space="0" w:color="auto"/>
        <w:right w:val="none" w:sz="0" w:space="0" w:color="auto"/>
      </w:divBdr>
    </w:div>
    <w:div w:id="1593322072">
      <w:bodyDiv w:val="1"/>
      <w:marLeft w:val="0"/>
      <w:marRight w:val="0"/>
      <w:marTop w:val="0"/>
      <w:marBottom w:val="0"/>
      <w:divBdr>
        <w:top w:val="none" w:sz="0" w:space="0" w:color="auto"/>
        <w:left w:val="none" w:sz="0" w:space="0" w:color="auto"/>
        <w:bottom w:val="none" w:sz="0" w:space="0" w:color="auto"/>
        <w:right w:val="none" w:sz="0" w:space="0" w:color="auto"/>
      </w:divBdr>
    </w:div>
    <w:div w:id="1597129511">
      <w:bodyDiv w:val="1"/>
      <w:marLeft w:val="0"/>
      <w:marRight w:val="0"/>
      <w:marTop w:val="0"/>
      <w:marBottom w:val="0"/>
      <w:divBdr>
        <w:top w:val="none" w:sz="0" w:space="0" w:color="auto"/>
        <w:left w:val="none" w:sz="0" w:space="0" w:color="auto"/>
        <w:bottom w:val="none" w:sz="0" w:space="0" w:color="auto"/>
        <w:right w:val="none" w:sz="0" w:space="0" w:color="auto"/>
      </w:divBdr>
    </w:div>
    <w:div w:id="1597443341">
      <w:bodyDiv w:val="1"/>
      <w:marLeft w:val="0"/>
      <w:marRight w:val="0"/>
      <w:marTop w:val="0"/>
      <w:marBottom w:val="0"/>
      <w:divBdr>
        <w:top w:val="none" w:sz="0" w:space="0" w:color="auto"/>
        <w:left w:val="none" w:sz="0" w:space="0" w:color="auto"/>
        <w:bottom w:val="none" w:sz="0" w:space="0" w:color="auto"/>
        <w:right w:val="none" w:sz="0" w:space="0" w:color="auto"/>
      </w:divBdr>
      <w:divsChild>
        <w:div w:id="215120607">
          <w:marLeft w:val="446"/>
          <w:marRight w:val="0"/>
          <w:marTop w:val="0"/>
          <w:marBottom w:val="120"/>
          <w:divBdr>
            <w:top w:val="none" w:sz="0" w:space="0" w:color="auto"/>
            <w:left w:val="none" w:sz="0" w:space="0" w:color="auto"/>
            <w:bottom w:val="none" w:sz="0" w:space="0" w:color="auto"/>
            <w:right w:val="none" w:sz="0" w:space="0" w:color="auto"/>
          </w:divBdr>
        </w:div>
      </w:divsChild>
    </w:div>
    <w:div w:id="1618102420">
      <w:bodyDiv w:val="1"/>
      <w:marLeft w:val="0"/>
      <w:marRight w:val="0"/>
      <w:marTop w:val="0"/>
      <w:marBottom w:val="0"/>
      <w:divBdr>
        <w:top w:val="none" w:sz="0" w:space="0" w:color="auto"/>
        <w:left w:val="none" w:sz="0" w:space="0" w:color="auto"/>
        <w:bottom w:val="none" w:sz="0" w:space="0" w:color="auto"/>
        <w:right w:val="none" w:sz="0" w:space="0" w:color="auto"/>
      </w:divBdr>
    </w:div>
    <w:div w:id="1627546633">
      <w:bodyDiv w:val="1"/>
      <w:marLeft w:val="0"/>
      <w:marRight w:val="0"/>
      <w:marTop w:val="0"/>
      <w:marBottom w:val="0"/>
      <w:divBdr>
        <w:top w:val="none" w:sz="0" w:space="0" w:color="auto"/>
        <w:left w:val="none" w:sz="0" w:space="0" w:color="auto"/>
        <w:bottom w:val="none" w:sz="0" w:space="0" w:color="auto"/>
        <w:right w:val="none" w:sz="0" w:space="0" w:color="auto"/>
      </w:divBdr>
    </w:div>
    <w:div w:id="1636375184">
      <w:bodyDiv w:val="1"/>
      <w:marLeft w:val="0"/>
      <w:marRight w:val="0"/>
      <w:marTop w:val="0"/>
      <w:marBottom w:val="0"/>
      <w:divBdr>
        <w:top w:val="none" w:sz="0" w:space="0" w:color="auto"/>
        <w:left w:val="none" w:sz="0" w:space="0" w:color="auto"/>
        <w:bottom w:val="none" w:sz="0" w:space="0" w:color="auto"/>
        <w:right w:val="none" w:sz="0" w:space="0" w:color="auto"/>
      </w:divBdr>
    </w:div>
    <w:div w:id="1650204949">
      <w:bodyDiv w:val="1"/>
      <w:marLeft w:val="0"/>
      <w:marRight w:val="0"/>
      <w:marTop w:val="0"/>
      <w:marBottom w:val="0"/>
      <w:divBdr>
        <w:top w:val="none" w:sz="0" w:space="0" w:color="auto"/>
        <w:left w:val="none" w:sz="0" w:space="0" w:color="auto"/>
        <w:bottom w:val="none" w:sz="0" w:space="0" w:color="auto"/>
        <w:right w:val="none" w:sz="0" w:space="0" w:color="auto"/>
      </w:divBdr>
    </w:div>
    <w:div w:id="1651668184">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67898425">
      <w:bodyDiv w:val="1"/>
      <w:marLeft w:val="0"/>
      <w:marRight w:val="0"/>
      <w:marTop w:val="0"/>
      <w:marBottom w:val="0"/>
      <w:divBdr>
        <w:top w:val="none" w:sz="0" w:space="0" w:color="auto"/>
        <w:left w:val="none" w:sz="0" w:space="0" w:color="auto"/>
        <w:bottom w:val="none" w:sz="0" w:space="0" w:color="auto"/>
        <w:right w:val="none" w:sz="0" w:space="0" w:color="auto"/>
      </w:divBdr>
    </w:div>
    <w:div w:id="1669287434">
      <w:bodyDiv w:val="1"/>
      <w:marLeft w:val="0"/>
      <w:marRight w:val="0"/>
      <w:marTop w:val="0"/>
      <w:marBottom w:val="0"/>
      <w:divBdr>
        <w:top w:val="none" w:sz="0" w:space="0" w:color="auto"/>
        <w:left w:val="none" w:sz="0" w:space="0" w:color="auto"/>
        <w:bottom w:val="none" w:sz="0" w:space="0" w:color="auto"/>
        <w:right w:val="none" w:sz="0" w:space="0" w:color="auto"/>
      </w:divBdr>
    </w:div>
    <w:div w:id="1669596702">
      <w:bodyDiv w:val="1"/>
      <w:marLeft w:val="0"/>
      <w:marRight w:val="0"/>
      <w:marTop w:val="0"/>
      <w:marBottom w:val="0"/>
      <w:divBdr>
        <w:top w:val="none" w:sz="0" w:space="0" w:color="auto"/>
        <w:left w:val="none" w:sz="0" w:space="0" w:color="auto"/>
        <w:bottom w:val="none" w:sz="0" w:space="0" w:color="auto"/>
        <w:right w:val="none" w:sz="0" w:space="0" w:color="auto"/>
      </w:divBdr>
    </w:div>
    <w:div w:id="1682580963">
      <w:bodyDiv w:val="1"/>
      <w:marLeft w:val="0"/>
      <w:marRight w:val="0"/>
      <w:marTop w:val="0"/>
      <w:marBottom w:val="0"/>
      <w:divBdr>
        <w:top w:val="none" w:sz="0" w:space="0" w:color="auto"/>
        <w:left w:val="none" w:sz="0" w:space="0" w:color="auto"/>
        <w:bottom w:val="none" w:sz="0" w:space="0" w:color="auto"/>
        <w:right w:val="none" w:sz="0" w:space="0" w:color="auto"/>
      </w:divBdr>
    </w:div>
    <w:div w:id="1690135792">
      <w:bodyDiv w:val="1"/>
      <w:marLeft w:val="0"/>
      <w:marRight w:val="0"/>
      <w:marTop w:val="0"/>
      <w:marBottom w:val="0"/>
      <w:divBdr>
        <w:top w:val="none" w:sz="0" w:space="0" w:color="auto"/>
        <w:left w:val="none" w:sz="0" w:space="0" w:color="auto"/>
        <w:bottom w:val="none" w:sz="0" w:space="0" w:color="auto"/>
        <w:right w:val="none" w:sz="0" w:space="0" w:color="auto"/>
      </w:divBdr>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53967849">
      <w:bodyDiv w:val="1"/>
      <w:marLeft w:val="0"/>
      <w:marRight w:val="0"/>
      <w:marTop w:val="0"/>
      <w:marBottom w:val="0"/>
      <w:divBdr>
        <w:top w:val="none" w:sz="0" w:space="0" w:color="auto"/>
        <w:left w:val="none" w:sz="0" w:space="0" w:color="auto"/>
        <w:bottom w:val="none" w:sz="0" w:space="0" w:color="auto"/>
        <w:right w:val="none" w:sz="0" w:space="0" w:color="auto"/>
      </w:divBdr>
    </w:div>
    <w:div w:id="1755741476">
      <w:bodyDiv w:val="1"/>
      <w:marLeft w:val="0"/>
      <w:marRight w:val="0"/>
      <w:marTop w:val="0"/>
      <w:marBottom w:val="0"/>
      <w:divBdr>
        <w:top w:val="none" w:sz="0" w:space="0" w:color="auto"/>
        <w:left w:val="none" w:sz="0" w:space="0" w:color="auto"/>
        <w:bottom w:val="none" w:sz="0" w:space="0" w:color="auto"/>
        <w:right w:val="none" w:sz="0" w:space="0" w:color="auto"/>
      </w:divBdr>
    </w:div>
    <w:div w:id="1757046701">
      <w:bodyDiv w:val="1"/>
      <w:marLeft w:val="0"/>
      <w:marRight w:val="0"/>
      <w:marTop w:val="0"/>
      <w:marBottom w:val="0"/>
      <w:divBdr>
        <w:top w:val="none" w:sz="0" w:space="0" w:color="auto"/>
        <w:left w:val="none" w:sz="0" w:space="0" w:color="auto"/>
        <w:bottom w:val="none" w:sz="0" w:space="0" w:color="auto"/>
        <w:right w:val="none" w:sz="0" w:space="0" w:color="auto"/>
      </w:divBdr>
    </w:div>
    <w:div w:id="1759062244">
      <w:bodyDiv w:val="1"/>
      <w:marLeft w:val="0"/>
      <w:marRight w:val="0"/>
      <w:marTop w:val="0"/>
      <w:marBottom w:val="0"/>
      <w:divBdr>
        <w:top w:val="none" w:sz="0" w:space="0" w:color="auto"/>
        <w:left w:val="none" w:sz="0" w:space="0" w:color="auto"/>
        <w:bottom w:val="none" w:sz="0" w:space="0" w:color="auto"/>
        <w:right w:val="none" w:sz="0" w:space="0" w:color="auto"/>
      </w:divBdr>
    </w:div>
    <w:div w:id="1759984425">
      <w:bodyDiv w:val="1"/>
      <w:marLeft w:val="0"/>
      <w:marRight w:val="0"/>
      <w:marTop w:val="0"/>
      <w:marBottom w:val="0"/>
      <w:divBdr>
        <w:top w:val="none" w:sz="0" w:space="0" w:color="auto"/>
        <w:left w:val="none" w:sz="0" w:space="0" w:color="auto"/>
        <w:bottom w:val="none" w:sz="0" w:space="0" w:color="auto"/>
        <w:right w:val="none" w:sz="0" w:space="0" w:color="auto"/>
      </w:divBdr>
    </w:div>
    <w:div w:id="1764180864">
      <w:bodyDiv w:val="1"/>
      <w:marLeft w:val="0"/>
      <w:marRight w:val="0"/>
      <w:marTop w:val="0"/>
      <w:marBottom w:val="0"/>
      <w:divBdr>
        <w:top w:val="none" w:sz="0" w:space="0" w:color="auto"/>
        <w:left w:val="none" w:sz="0" w:space="0" w:color="auto"/>
        <w:bottom w:val="none" w:sz="0" w:space="0" w:color="auto"/>
        <w:right w:val="none" w:sz="0" w:space="0" w:color="auto"/>
      </w:divBdr>
    </w:div>
    <w:div w:id="1770346554">
      <w:bodyDiv w:val="1"/>
      <w:marLeft w:val="0"/>
      <w:marRight w:val="0"/>
      <w:marTop w:val="0"/>
      <w:marBottom w:val="0"/>
      <w:divBdr>
        <w:top w:val="none" w:sz="0" w:space="0" w:color="auto"/>
        <w:left w:val="none" w:sz="0" w:space="0" w:color="auto"/>
        <w:bottom w:val="none" w:sz="0" w:space="0" w:color="auto"/>
        <w:right w:val="none" w:sz="0" w:space="0" w:color="auto"/>
      </w:divBdr>
    </w:div>
    <w:div w:id="1770541612">
      <w:bodyDiv w:val="1"/>
      <w:marLeft w:val="0"/>
      <w:marRight w:val="0"/>
      <w:marTop w:val="0"/>
      <w:marBottom w:val="0"/>
      <w:divBdr>
        <w:top w:val="none" w:sz="0" w:space="0" w:color="auto"/>
        <w:left w:val="none" w:sz="0" w:space="0" w:color="auto"/>
        <w:bottom w:val="none" w:sz="0" w:space="0" w:color="auto"/>
        <w:right w:val="none" w:sz="0" w:space="0" w:color="auto"/>
      </w:divBdr>
    </w:div>
    <w:div w:id="1774326195">
      <w:bodyDiv w:val="1"/>
      <w:marLeft w:val="0"/>
      <w:marRight w:val="0"/>
      <w:marTop w:val="0"/>
      <w:marBottom w:val="0"/>
      <w:divBdr>
        <w:top w:val="none" w:sz="0" w:space="0" w:color="auto"/>
        <w:left w:val="none" w:sz="0" w:space="0" w:color="auto"/>
        <w:bottom w:val="none" w:sz="0" w:space="0" w:color="auto"/>
        <w:right w:val="none" w:sz="0" w:space="0" w:color="auto"/>
      </w:divBdr>
    </w:div>
    <w:div w:id="1777363241">
      <w:bodyDiv w:val="1"/>
      <w:marLeft w:val="0"/>
      <w:marRight w:val="0"/>
      <w:marTop w:val="0"/>
      <w:marBottom w:val="0"/>
      <w:divBdr>
        <w:top w:val="none" w:sz="0" w:space="0" w:color="auto"/>
        <w:left w:val="none" w:sz="0" w:space="0" w:color="auto"/>
        <w:bottom w:val="none" w:sz="0" w:space="0" w:color="auto"/>
        <w:right w:val="none" w:sz="0" w:space="0" w:color="auto"/>
      </w:divBdr>
    </w:div>
    <w:div w:id="1783109735">
      <w:bodyDiv w:val="1"/>
      <w:marLeft w:val="0"/>
      <w:marRight w:val="0"/>
      <w:marTop w:val="0"/>
      <w:marBottom w:val="0"/>
      <w:divBdr>
        <w:top w:val="none" w:sz="0" w:space="0" w:color="auto"/>
        <w:left w:val="none" w:sz="0" w:space="0" w:color="auto"/>
        <w:bottom w:val="none" w:sz="0" w:space="0" w:color="auto"/>
        <w:right w:val="none" w:sz="0" w:space="0" w:color="auto"/>
      </w:divBdr>
    </w:div>
    <w:div w:id="1783568865">
      <w:bodyDiv w:val="1"/>
      <w:marLeft w:val="0"/>
      <w:marRight w:val="0"/>
      <w:marTop w:val="0"/>
      <w:marBottom w:val="0"/>
      <w:divBdr>
        <w:top w:val="none" w:sz="0" w:space="0" w:color="auto"/>
        <w:left w:val="none" w:sz="0" w:space="0" w:color="auto"/>
        <w:bottom w:val="none" w:sz="0" w:space="0" w:color="auto"/>
        <w:right w:val="none" w:sz="0" w:space="0" w:color="auto"/>
      </w:divBdr>
    </w:div>
    <w:div w:id="1784760505">
      <w:bodyDiv w:val="1"/>
      <w:marLeft w:val="0"/>
      <w:marRight w:val="0"/>
      <w:marTop w:val="0"/>
      <w:marBottom w:val="0"/>
      <w:divBdr>
        <w:top w:val="none" w:sz="0" w:space="0" w:color="auto"/>
        <w:left w:val="none" w:sz="0" w:space="0" w:color="auto"/>
        <w:bottom w:val="none" w:sz="0" w:space="0" w:color="auto"/>
        <w:right w:val="none" w:sz="0" w:space="0" w:color="auto"/>
      </w:divBdr>
    </w:div>
    <w:div w:id="1787964401">
      <w:bodyDiv w:val="1"/>
      <w:marLeft w:val="0"/>
      <w:marRight w:val="0"/>
      <w:marTop w:val="0"/>
      <w:marBottom w:val="0"/>
      <w:divBdr>
        <w:top w:val="none" w:sz="0" w:space="0" w:color="auto"/>
        <w:left w:val="none" w:sz="0" w:space="0" w:color="auto"/>
        <w:bottom w:val="none" w:sz="0" w:space="0" w:color="auto"/>
        <w:right w:val="none" w:sz="0" w:space="0" w:color="auto"/>
      </w:divBdr>
    </w:div>
    <w:div w:id="1790735190">
      <w:bodyDiv w:val="1"/>
      <w:marLeft w:val="0"/>
      <w:marRight w:val="0"/>
      <w:marTop w:val="0"/>
      <w:marBottom w:val="0"/>
      <w:divBdr>
        <w:top w:val="none" w:sz="0" w:space="0" w:color="auto"/>
        <w:left w:val="none" w:sz="0" w:space="0" w:color="auto"/>
        <w:bottom w:val="none" w:sz="0" w:space="0" w:color="auto"/>
        <w:right w:val="none" w:sz="0" w:space="0" w:color="auto"/>
      </w:divBdr>
    </w:div>
    <w:div w:id="1794131748">
      <w:bodyDiv w:val="1"/>
      <w:marLeft w:val="0"/>
      <w:marRight w:val="0"/>
      <w:marTop w:val="0"/>
      <w:marBottom w:val="0"/>
      <w:divBdr>
        <w:top w:val="none" w:sz="0" w:space="0" w:color="auto"/>
        <w:left w:val="none" w:sz="0" w:space="0" w:color="auto"/>
        <w:bottom w:val="none" w:sz="0" w:space="0" w:color="auto"/>
        <w:right w:val="none" w:sz="0" w:space="0" w:color="auto"/>
      </w:divBdr>
    </w:div>
    <w:div w:id="1795715546">
      <w:bodyDiv w:val="1"/>
      <w:marLeft w:val="0"/>
      <w:marRight w:val="0"/>
      <w:marTop w:val="0"/>
      <w:marBottom w:val="0"/>
      <w:divBdr>
        <w:top w:val="none" w:sz="0" w:space="0" w:color="auto"/>
        <w:left w:val="none" w:sz="0" w:space="0" w:color="auto"/>
        <w:bottom w:val="none" w:sz="0" w:space="0" w:color="auto"/>
        <w:right w:val="none" w:sz="0" w:space="0" w:color="auto"/>
      </w:divBdr>
    </w:div>
    <w:div w:id="1809787586">
      <w:bodyDiv w:val="1"/>
      <w:marLeft w:val="0"/>
      <w:marRight w:val="0"/>
      <w:marTop w:val="0"/>
      <w:marBottom w:val="0"/>
      <w:divBdr>
        <w:top w:val="none" w:sz="0" w:space="0" w:color="auto"/>
        <w:left w:val="none" w:sz="0" w:space="0" w:color="auto"/>
        <w:bottom w:val="none" w:sz="0" w:space="0" w:color="auto"/>
        <w:right w:val="none" w:sz="0" w:space="0" w:color="auto"/>
      </w:divBdr>
    </w:div>
    <w:div w:id="1833064460">
      <w:bodyDiv w:val="1"/>
      <w:marLeft w:val="0"/>
      <w:marRight w:val="0"/>
      <w:marTop w:val="0"/>
      <w:marBottom w:val="0"/>
      <w:divBdr>
        <w:top w:val="none" w:sz="0" w:space="0" w:color="auto"/>
        <w:left w:val="none" w:sz="0" w:space="0" w:color="auto"/>
        <w:bottom w:val="none" w:sz="0" w:space="0" w:color="auto"/>
        <w:right w:val="none" w:sz="0" w:space="0" w:color="auto"/>
      </w:divBdr>
    </w:div>
    <w:div w:id="1841892170">
      <w:bodyDiv w:val="1"/>
      <w:marLeft w:val="0"/>
      <w:marRight w:val="0"/>
      <w:marTop w:val="0"/>
      <w:marBottom w:val="0"/>
      <w:divBdr>
        <w:top w:val="none" w:sz="0" w:space="0" w:color="auto"/>
        <w:left w:val="none" w:sz="0" w:space="0" w:color="auto"/>
        <w:bottom w:val="none" w:sz="0" w:space="0" w:color="auto"/>
        <w:right w:val="none" w:sz="0" w:space="0" w:color="auto"/>
      </w:divBdr>
    </w:div>
    <w:div w:id="1857888454">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65171995">
      <w:bodyDiv w:val="1"/>
      <w:marLeft w:val="0"/>
      <w:marRight w:val="0"/>
      <w:marTop w:val="0"/>
      <w:marBottom w:val="0"/>
      <w:divBdr>
        <w:top w:val="none" w:sz="0" w:space="0" w:color="auto"/>
        <w:left w:val="none" w:sz="0" w:space="0" w:color="auto"/>
        <w:bottom w:val="none" w:sz="0" w:space="0" w:color="auto"/>
        <w:right w:val="none" w:sz="0" w:space="0" w:color="auto"/>
      </w:divBdr>
    </w:div>
    <w:div w:id="1865634454">
      <w:bodyDiv w:val="1"/>
      <w:marLeft w:val="0"/>
      <w:marRight w:val="0"/>
      <w:marTop w:val="0"/>
      <w:marBottom w:val="0"/>
      <w:divBdr>
        <w:top w:val="none" w:sz="0" w:space="0" w:color="auto"/>
        <w:left w:val="none" w:sz="0" w:space="0" w:color="auto"/>
        <w:bottom w:val="none" w:sz="0" w:space="0" w:color="auto"/>
        <w:right w:val="none" w:sz="0" w:space="0" w:color="auto"/>
      </w:divBdr>
    </w:div>
    <w:div w:id="1874997490">
      <w:bodyDiv w:val="1"/>
      <w:marLeft w:val="0"/>
      <w:marRight w:val="0"/>
      <w:marTop w:val="0"/>
      <w:marBottom w:val="0"/>
      <w:divBdr>
        <w:top w:val="none" w:sz="0" w:space="0" w:color="auto"/>
        <w:left w:val="none" w:sz="0" w:space="0" w:color="auto"/>
        <w:bottom w:val="none" w:sz="0" w:space="0" w:color="auto"/>
        <w:right w:val="none" w:sz="0" w:space="0" w:color="auto"/>
      </w:divBdr>
    </w:div>
    <w:div w:id="1886209574">
      <w:bodyDiv w:val="1"/>
      <w:marLeft w:val="0"/>
      <w:marRight w:val="0"/>
      <w:marTop w:val="0"/>
      <w:marBottom w:val="0"/>
      <w:divBdr>
        <w:top w:val="none" w:sz="0" w:space="0" w:color="auto"/>
        <w:left w:val="none" w:sz="0" w:space="0" w:color="auto"/>
        <w:bottom w:val="none" w:sz="0" w:space="0" w:color="auto"/>
        <w:right w:val="none" w:sz="0" w:space="0" w:color="auto"/>
      </w:divBdr>
    </w:div>
    <w:div w:id="1886288172">
      <w:bodyDiv w:val="1"/>
      <w:marLeft w:val="0"/>
      <w:marRight w:val="0"/>
      <w:marTop w:val="0"/>
      <w:marBottom w:val="0"/>
      <w:divBdr>
        <w:top w:val="none" w:sz="0" w:space="0" w:color="auto"/>
        <w:left w:val="none" w:sz="0" w:space="0" w:color="auto"/>
        <w:bottom w:val="none" w:sz="0" w:space="0" w:color="auto"/>
        <w:right w:val="none" w:sz="0" w:space="0" w:color="auto"/>
      </w:divBdr>
    </w:div>
    <w:div w:id="1892881651">
      <w:bodyDiv w:val="1"/>
      <w:marLeft w:val="0"/>
      <w:marRight w:val="0"/>
      <w:marTop w:val="0"/>
      <w:marBottom w:val="0"/>
      <w:divBdr>
        <w:top w:val="none" w:sz="0" w:space="0" w:color="auto"/>
        <w:left w:val="none" w:sz="0" w:space="0" w:color="auto"/>
        <w:bottom w:val="none" w:sz="0" w:space="0" w:color="auto"/>
        <w:right w:val="none" w:sz="0" w:space="0" w:color="auto"/>
      </w:divBdr>
    </w:div>
    <w:div w:id="1893997996">
      <w:bodyDiv w:val="1"/>
      <w:marLeft w:val="0"/>
      <w:marRight w:val="0"/>
      <w:marTop w:val="0"/>
      <w:marBottom w:val="0"/>
      <w:divBdr>
        <w:top w:val="none" w:sz="0" w:space="0" w:color="auto"/>
        <w:left w:val="none" w:sz="0" w:space="0" w:color="auto"/>
        <w:bottom w:val="none" w:sz="0" w:space="0" w:color="auto"/>
        <w:right w:val="none" w:sz="0" w:space="0" w:color="auto"/>
      </w:divBdr>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905600343">
      <w:bodyDiv w:val="1"/>
      <w:marLeft w:val="0"/>
      <w:marRight w:val="0"/>
      <w:marTop w:val="0"/>
      <w:marBottom w:val="0"/>
      <w:divBdr>
        <w:top w:val="none" w:sz="0" w:space="0" w:color="auto"/>
        <w:left w:val="none" w:sz="0" w:space="0" w:color="auto"/>
        <w:bottom w:val="none" w:sz="0" w:space="0" w:color="auto"/>
        <w:right w:val="none" w:sz="0" w:space="0" w:color="auto"/>
      </w:divBdr>
    </w:div>
    <w:div w:id="1931965262">
      <w:bodyDiv w:val="1"/>
      <w:marLeft w:val="0"/>
      <w:marRight w:val="0"/>
      <w:marTop w:val="0"/>
      <w:marBottom w:val="0"/>
      <w:divBdr>
        <w:top w:val="none" w:sz="0" w:space="0" w:color="auto"/>
        <w:left w:val="none" w:sz="0" w:space="0" w:color="auto"/>
        <w:bottom w:val="none" w:sz="0" w:space="0" w:color="auto"/>
        <w:right w:val="none" w:sz="0" w:space="0" w:color="auto"/>
      </w:divBdr>
    </w:div>
    <w:div w:id="1936866142">
      <w:bodyDiv w:val="1"/>
      <w:marLeft w:val="0"/>
      <w:marRight w:val="0"/>
      <w:marTop w:val="0"/>
      <w:marBottom w:val="0"/>
      <w:divBdr>
        <w:top w:val="none" w:sz="0" w:space="0" w:color="auto"/>
        <w:left w:val="none" w:sz="0" w:space="0" w:color="auto"/>
        <w:bottom w:val="none" w:sz="0" w:space="0" w:color="auto"/>
        <w:right w:val="none" w:sz="0" w:space="0" w:color="auto"/>
      </w:divBdr>
    </w:div>
    <w:div w:id="1938512524">
      <w:bodyDiv w:val="1"/>
      <w:marLeft w:val="0"/>
      <w:marRight w:val="0"/>
      <w:marTop w:val="0"/>
      <w:marBottom w:val="0"/>
      <w:divBdr>
        <w:top w:val="none" w:sz="0" w:space="0" w:color="auto"/>
        <w:left w:val="none" w:sz="0" w:space="0" w:color="auto"/>
        <w:bottom w:val="none" w:sz="0" w:space="0" w:color="auto"/>
        <w:right w:val="none" w:sz="0" w:space="0" w:color="auto"/>
      </w:divBdr>
      <w:divsChild>
        <w:div w:id="177240709">
          <w:marLeft w:val="288"/>
          <w:marRight w:val="0"/>
          <w:marTop w:val="0"/>
          <w:marBottom w:val="0"/>
          <w:divBdr>
            <w:top w:val="none" w:sz="0" w:space="0" w:color="auto"/>
            <w:left w:val="none" w:sz="0" w:space="0" w:color="auto"/>
            <w:bottom w:val="none" w:sz="0" w:space="0" w:color="auto"/>
            <w:right w:val="none" w:sz="0" w:space="0" w:color="auto"/>
          </w:divBdr>
        </w:div>
        <w:div w:id="937565901">
          <w:marLeft w:val="288"/>
          <w:marRight w:val="0"/>
          <w:marTop w:val="0"/>
          <w:marBottom w:val="0"/>
          <w:divBdr>
            <w:top w:val="none" w:sz="0" w:space="0" w:color="auto"/>
            <w:left w:val="none" w:sz="0" w:space="0" w:color="auto"/>
            <w:bottom w:val="none" w:sz="0" w:space="0" w:color="auto"/>
            <w:right w:val="none" w:sz="0" w:space="0" w:color="auto"/>
          </w:divBdr>
        </w:div>
        <w:div w:id="1048723151">
          <w:marLeft w:val="288"/>
          <w:marRight w:val="0"/>
          <w:marTop w:val="0"/>
          <w:marBottom w:val="0"/>
          <w:divBdr>
            <w:top w:val="none" w:sz="0" w:space="0" w:color="auto"/>
            <w:left w:val="none" w:sz="0" w:space="0" w:color="auto"/>
            <w:bottom w:val="none" w:sz="0" w:space="0" w:color="auto"/>
            <w:right w:val="none" w:sz="0" w:space="0" w:color="auto"/>
          </w:divBdr>
        </w:div>
      </w:divsChild>
    </w:div>
    <w:div w:id="1945384480">
      <w:bodyDiv w:val="1"/>
      <w:marLeft w:val="0"/>
      <w:marRight w:val="0"/>
      <w:marTop w:val="0"/>
      <w:marBottom w:val="0"/>
      <w:divBdr>
        <w:top w:val="none" w:sz="0" w:space="0" w:color="auto"/>
        <w:left w:val="none" w:sz="0" w:space="0" w:color="auto"/>
        <w:bottom w:val="none" w:sz="0" w:space="0" w:color="auto"/>
        <w:right w:val="none" w:sz="0" w:space="0" w:color="auto"/>
      </w:divBdr>
    </w:div>
    <w:div w:id="1950233708">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71283308">
      <w:bodyDiv w:val="1"/>
      <w:marLeft w:val="0"/>
      <w:marRight w:val="0"/>
      <w:marTop w:val="0"/>
      <w:marBottom w:val="0"/>
      <w:divBdr>
        <w:top w:val="none" w:sz="0" w:space="0" w:color="auto"/>
        <w:left w:val="none" w:sz="0" w:space="0" w:color="auto"/>
        <w:bottom w:val="none" w:sz="0" w:space="0" w:color="auto"/>
        <w:right w:val="none" w:sz="0" w:space="0" w:color="auto"/>
      </w:divBdr>
    </w:div>
    <w:div w:id="1981961392">
      <w:bodyDiv w:val="1"/>
      <w:marLeft w:val="0"/>
      <w:marRight w:val="0"/>
      <w:marTop w:val="0"/>
      <w:marBottom w:val="0"/>
      <w:divBdr>
        <w:top w:val="none" w:sz="0" w:space="0" w:color="auto"/>
        <w:left w:val="none" w:sz="0" w:space="0" w:color="auto"/>
        <w:bottom w:val="none" w:sz="0" w:space="0" w:color="auto"/>
        <w:right w:val="none" w:sz="0" w:space="0" w:color="auto"/>
      </w:divBdr>
    </w:div>
    <w:div w:id="1987778845">
      <w:bodyDiv w:val="1"/>
      <w:marLeft w:val="0"/>
      <w:marRight w:val="0"/>
      <w:marTop w:val="0"/>
      <w:marBottom w:val="0"/>
      <w:divBdr>
        <w:top w:val="none" w:sz="0" w:space="0" w:color="auto"/>
        <w:left w:val="none" w:sz="0" w:space="0" w:color="auto"/>
        <w:bottom w:val="none" w:sz="0" w:space="0" w:color="auto"/>
        <w:right w:val="none" w:sz="0" w:space="0" w:color="auto"/>
      </w:divBdr>
    </w:div>
    <w:div w:id="1991784000">
      <w:bodyDiv w:val="1"/>
      <w:marLeft w:val="0"/>
      <w:marRight w:val="0"/>
      <w:marTop w:val="0"/>
      <w:marBottom w:val="0"/>
      <w:divBdr>
        <w:top w:val="none" w:sz="0" w:space="0" w:color="auto"/>
        <w:left w:val="none" w:sz="0" w:space="0" w:color="auto"/>
        <w:bottom w:val="none" w:sz="0" w:space="0" w:color="auto"/>
        <w:right w:val="none" w:sz="0" w:space="0" w:color="auto"/>
      </w:divBdr>
    </w:div>
    <w:div w:id="1993831091">
      <w:bodyDiv w:val="1"/>
      <w:marLeft w:val="0"/>
      <w:marRight w:val="0"/>
      <w:marTop w:val="0"/>
      <w:marBottom w:val="0"/>
      <w:divBdr>
        <w:top w:val="none" w:sz="0" w:space="0" w:color="auto"/>
        <w:left w:val="none" w:sz="0" w:space="0" w:color="auto"/>
        <w:bottom w:val="none" w:sz="0" w:space="0" w:color="auto"/>
        <w:right w:val="none" w:sz="0" w:space="0" w:color="auto"/>
      </w:divBdr>
    </w:div>
    <w:div w:id="2013874420">
      <w:bodyDiv w:val="1"/>
      <w:marLeft w:val="0"/>
      <w:marRight w:val="0"/>
      <w:marTop w:val="0"/>
      <w:marBottom w:val="0"/>
      <w:divBdr>
        <w:top w:val="none" w:sz="0" w:space="0" w:color="auto"/>
        <w:left w:val="none" w:sz="0" w:space="0" w:color="auto"/>
        <w:bottom w:val="none" w:sz="0" w:space="0" w:color="auto"/>
        <w:right w:val="none" w:sz="0" w:space="0" w:color="auto"/>
      </w:divBdr>
    </w:div>
    <w:div w:id="2016108090">
      <w:bodyDiv w:val="1"/>
      <w:marLeft w:val="0"/>
      <w:marRight w:val="0"/>
      <w:marTop w:val="0"/>
      <w:marBottom w:val="0"/>
      <w:divBdr>
        <w:top w:val="none" w:sz="0" w:space="0" w:color="auto"/>
        <w:left w:val="none" w:sz="0" w:space="0" w:color="auto"/>
        <w:bottom w:val="none" w:sz="0" w:space="0" w:color="auto"/>
        <w:right w:val="none" w:sz="0" w:space="0" w:color="auto"/>
      </w:divBdr>
    </w:div>
    <w:div w:id="2018731382">
      <w:bodyDiv w:val="1"/>
      <w:marLeft w:val="0"/>
      <w:marRight w:val="0"/>
      <w:marTop w:val="0"/>
      <w:marBottom w:val="0"/>
      <w:divBdr>
        <w:top w:val="none" w:sz="0" w:space="0" w:color="auto"/>
        <w:left w:val="none" w:sz="0" w:space="0" w:color="auto"/>
        <w:bottom w:val="none" w:sz="0" w:space="0" w:color="auto"/>
        <w:right w:val="none" w:sz="0" w:space="0" w:color="auto"/>
      </w:divBdr>
    </w:div>
    <w:div w:id="2026248251">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51221996">
      <w:bodyDiv w:val="1"/>
      <w:marLeft w:val="0"/>
      <w:marRight w:val="0"/>
      <w:marTop w:val="0"/>
      <w:marBottom w:val="0"/>
      <w:divBdr>
        <w:top w:val="none" w:sz="0" w:space="0" w:color="auto"/>
        <w:left w:val="none" w:sz="0" w:space="0" w:color="auto"/>
        <w:bottom w:val="none" w:sz="0" w:space="0" w:color="auto"/>
        <w:right w:val="none" w:sz="0" w:space="0" w:color="auto"/>
      </w:divBdr>
    </w:div>
    <w:div w:id="2061709990">
      <w:bodyDiv w:val="1"/>
      <w:marLeft w:val="0"/>
      <w:marRight w:val="0"/>
      <w:marTop w:val="0"/>
      <w:marBottom w:val="0"/>
      <w:divBdr>
        <w:top w:val="none" w:sz="0" w:space="0" w:color="auto"/>
        <w:left w:val="none" w:sz="0" w:space="0" w:color="auto"/>
        <w:bottom w:val="none" w:sz="0" w:space="0" w:color="auto"/>
        <w:right w:val="none" w:sz="0" w:space="0" w:color="auto"/>
      </w:divBdr>
    </w:div>
    <w:div w:id="2085642488">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 w:id="211420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rgbClr val="FF0000"/>
          </a:solidFill>
        </a:ln>
      </a:spPr>
      <a:bodyPr lIns="0" tIns="0" rIns="0" bIns="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5AIRPNAIUNRU-1830940522-14770</_dlc_DocId>
    <_dlc_DocIdUrl xmlns="71c5aaf6-e6ce-465b-b873-5148d2a4c105">
      <Url>https://nokia.sharepoint.com/sites/c5g/5gradio/_layouts/15/DocIdRedir.aspx?ID=5AIRPNAIUNRU-1830940522-14770</Url>
      <Description>5AIRPNAIUNRU-1830940522-14770</Description>
    </_dlc_DocIdUrl>
    <HideFromDelve xmlns="71c5aaf6-e6ce-465b-b873-5148d2a4c105">false</HideFromDelve>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D78124A5-A28B-4FD4-BF5F-73830EA0F071}">
  <ds:schemaRefs>
    <ds:schemaRef ds:uri="http://schemas.openxmlformats.org/officeDocument/2006/bibliography"/>
  </ds:schemaRefs>
</ds:datastoreItem>
</file>

<file path=customXml/itemProps2.xml><?xml version="1.0" encoding="utf-8"?>
<ds:datastoreItem xmlns:ds="http://schemas.openxmlformats.org/officeDocument/2006/customXml" ds:itemID="{1F66FEA1-1A11-43DA-B96F-0EFE4E126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5.xml><?xml version="1.0" encoding="utf-8"?>
<ds:datastoreItem xmlns:ds="http://schemas.openxmlformats.org/officeDocument/2006/customXml" ds:itemID="{4972CD00-AB64-4C15-966D-591A111E6FCF}">
  <ds:schemaRefs>
    <ds:schemaRef ds:uri="Microsoft.SharePoint.Taxonomy.ContentTypeSync"/>
  </ds:schemaRefs>
</ds:datastoreItem>
</file>

<file path=customXml/itemProps6.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 TDoc.dot</Template>
  <TotalTime>8726</TotalTime>
  <Pages>9</Pages>
  <Words>4755</Words>
  <Characters>27110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R1-2405815</vt:lpstr>
    </vt:vector>
  </TitlesOfParts>
  <Company>Nokia &amp; NSN</Company>
  <LinksUpToDate>false</LinksUpToDate>
  <CharactersWithSpaces>31802</CharactersWithSpaces>
  <SharedDoc>false</SharedDoc>
  <HLinks>
    <vt:vector size="12" baseType="variant">
      <vt:variant>
        <vt:i4>8257625</vt:i4>
      </vt:variant>
      <vt:variant>
        <vt:i4>3</vt:i4>
      </vt:variant>
      <vt:variant>
        <vt:i4>0</vt:i4>
      </vt:variant>
      <vt:variant>
        <vt:i4>5</vt:i4>
      </vt:variant>
      <vt:variant>
        <vt:lpwstr>mailto:toni.h.lahteensuo@nokia.com</vt:lpwstr>
      </vt:variant>
      <vt:variant>
        <vt:lpwstr/>
      </vt:variant>
      <vt:variant>
        <vt:i4>8257625</vt:i4>
      </vt:variant>
      <vt:variant>
        <vt:i4>0</vt:i4>
      </vt:variant>
      <vt:variant>
        <vt:i4>0</vt:i4>
      </vt:variant>
      <vt:variant>
        <vt:i4>5</vt:i4>
      </vt:variant>
      <vt:variant>
        <vt:lpwstr>mailto:toni.h.lahteensuo@nokia.com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R1-2405815</dc:title>
  <dc:subject/>
  <dc:creator/>
  <cp:keywords/>
  <dc:description/>
  <cp:lastModifiedBy>Jareau Wong</cp:lastModifiedBy>
  <cp:revision>444</cp:revision>
  <cp:lastPrinted>2022-04-20T10:29:00Z</cp:lastPrinted>
  <dcterms:created xsi:type="dcterms:W3CDTF">2022-09-30T15:35:00Z</dcterms:created>
  <dcterms:modified xsi:type="dcterms:W3CDTF">2024-08-21T03:27:00Z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0x010100F72F5225BF40E546BD513D0BB4BDDD33</vt:lpwstr>
  </property>
  <property fmtid="{D5CDD505-2E9C-101B-9397-08002B2CF9AE}" pid="6" name="TaxKeyword">
    <vt:lpwstr/>
  </property>
  <property fmtid="{D5CDD505-2E9C-101B-9397-08002B2CF9AE}" pid="7" name="AverageRating">
    <vt:lpwstr/>
  </property>
  <property fmtid="{D5CDD505-2E9C-101B-9397-08002B2CF9AE}" pid="8" name="_dlc_DocIdItemGuid">
    <vt:lpwstr>a0b63d65-c454-4543-950c-74e1d98bbd7d</vt:lpwstr>
  </property>
  <property fmtid="{D5CDD505-2E9C-101B-9397-08002B2CF9AE}" pid="9" name="MSIP_Label_83bcef13-7cac-433f-ba1d-47a323951816_Enabled">
    <vt:lpwstr>true</vt:lpwstr>
  </property>
  <property fmtid="{D5CDD505-2E9C-101B-9397-08002B2CF9AE}" pid="10" name="MSIP_Label_83bcef13-7cac-433f-ba1d-47a323951816_SetDate">
    <vt:lpwstr>2022-11-01T09:31:29Z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25883a3d-ecf0-4544-b53f-715061f2e957</vt:lpwstr>
  </property>
  <property fmtid="{D5CDD505-2E9C-101B-9397-08002B2CF9AE}" pid="15" name="MSIP_Label_83bcef13-7cac-433f-ba1d-47a323951816_ContentBits">
    <vt:lpwstr>0</vt:lpwstr>
  </property>
</Properties>
</file>