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HiSilicon, China Unicom, ZTE, Sanechips,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RTT+AoA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RTT+AoA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Location evaluation InF-DH: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(LoS)</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(LoS+MP)</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r w:rsidRPr="000B59B6">
                    <w:rPr>
                      <w:i/>
                      <w:sz w:val="20"/>
                    </w:rPr>
                    <w:t>spatialRelationInfoPos</w:t>
                  </w:r>
                  <w:r w:rsidRPr="000B59B6">
                    <w:rPr>
                      <w:sz w:val="20"/>
                    </w:rPr>
                    <w:t xml:space="preserve"> the UE may use a fixed spatial domain transmission filter for transmissions of the SRS configured by the higher layer parameter </w:t>
                  </w:r>
                  <w:r w:rsidRPr="000B59B6">
                    <w:rPr>
                      <w:i/>
                      <w:iCs/>
                      <w:sz w:val="20"/>
                    </w:rPr>
                    <w:t xml:space="preserve">SRS-PosResource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Introduce a new RRC parameter for a positioning SRS resource set, indicating that the UE is expected to use different spatial transmission filters for the positioning SRS resources not configured with spatialRelationInfoPos.</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r>
                    <w:rPr>
                      <w:rFonts w:hint="eastAsia"/>
                      <w:sz w:val="22"/>
                      <w:lang w:val="en-US"/>
                    </w:rPr>
                    <w:t>Supp</w:t>
                  </w:r>
                  <w:r>
                    <w:rPr>
                      <w:sz w:val="22"/>
                      <w:lang w:val="en-US"/>
                    </w:rPr>
                    <w:t>port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Introduce a Tx-BeamIndex for SRS for Positioning transmission, which is reported in RRC for UL-TDOA in UEPositioningAssistanceInfo,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r w:rsidRPr="00461871">
                    <w:rPr>
                      <w:rFonts w:eastAsia="SimSun"/>
                      <w:i/>
                      <w:sz w:val="20"/>
                      <w:lang w:eastAsia="en-US"/>
                    </w:rPr>
                    <w:t>spatialRelationInfoPos</w:t>
                  </w:r>
                  <w:r w:rsidRPr="00461871">
                    <w:rPr>
                      <w:rFonts w:eastAsia="SimSun"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r w:rsidRPr="00461871">
                    <w:rPr>
                      <w:rFonts w:eastAsia="SimSun"/>
                      <w:i/>
                      <w:color w:val="FF0000"/>
                      <w:sz w:val="20"/>
                      <w:lang w:val="en-US" w:eastAsia="zh-CN"/>
                    </w:rPr>
                    <w:t>useSameTxBeam</w:t>
                  </w:r>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r w:rsidRPr="00461871">
                    <w:rPr>
                      <w:rFonts w:eastAsia="SimSun"/>
                      <w:i/>
                      <w:color w:val="FF0000"/>
                      <w:sz w:val="20"/>
                      <w:lang w:val="en-US" w:eastAsia="zh-CN"/>
                    </w:rPr>
                    <w:t>useSameTxBeam</w:t>
                  </w:r>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76BBC9EE" w14:textId="77777777" w:rsidR="00466491" w:rsidRPr="00461871" w:rsidRDefault="00466491" w:rsidP="00EF1E41">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useSameTxBeam</w:t>
                  </w:r>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spatialrelationinfo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It depends on a scenario that for one DL, the UE happens to have two similarly good beams to Rx (and also corresponding for Tx), and when using that DL PRS as QCL source, the UE may use a different Tx beam. First, it is a corner case for optimization where, in the figure, one LoS link RSRP is comparable to one NLoS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SimSun"/>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EF1E41">
                  <w:pPr>
                    <w:spacing w:afterLines="50" w:after="120"/>
                    <w:jc w:val="both"/>
                    <w:rPr>
                      <w:rFonts w:eastAsia="SimSun"/>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ListParagraph"/>
        <w:numPr>
          <w:ilvl w:val="0"/>
          <w:numId w:val="20"/>
        </w:numPr>
        <w:ind w:leftChars="0"/>
        <w:jc w:val="both"/>
        <w:rPr>
          <w:b/>
          <w:szCs w:val="24"/>
        </w:rPr>
      </w:pPr>
      <w:r w:rsidRPr="007B0E64">
        <w:rPr>
          <w:b/>
          <w:szCs w:val="24"/>
        </w:rPr>
        <w:t>Introduce a new RRC parameter for a positioning SRS resource set, indicating that the UE is expected to use different spatial transmission filters for the positioning SRS resources not configured with spatialRelationInfoPos.</w:t>
      </w:r>
    </w:p>
    <w:p w14:paraId="516BF80A" w14:textId="77777777" w:rsidR="007B0E64" w:rsidRDefault="007B0E64" w:rsidP="007B0E64">
      <w:pPr>
        <w:pStyle w:val="ListParagraph"/>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ListParagraph"/>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EF1E41">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SRS-PosResource</w:t>
            </w:r>
            <w:r>
              <w:rPr>
                <w:rFonts w:eastAsia="SimSun"/>
                <w:sz w:val="20"/>
                <w:lang w:eastAsia="en-US"/>
              </w:rPr>
              <w:t xml:space="preserve"> and if the higher layer parameter </w:t>
            </w:r>
            <w:r>
              <w:rPr>
                <w:rFonts w:eastAsia="SimSun"/>
                <w:i/>
                <w:sz w:val="20"/>
                <w:lang w:eastAsia="en-US"/>
              </w:rPr>
              <w:t xml:space="preserve">spatialRelationInfoPos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SRS-PosResource</w:t>
            </w:r>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SRS-PosResource</w:t>
            </w:r>
            <w:r>
              <w:rPr>
                <w:rFonts w:eastAsia="SimSun"/>
                <w:sz w:val="20"/>
                <w:lang w:eastAsia="en-US"/>
              </w:rPr>
              <w:t xml:space="preserve"> in RRC_INACTIVE mode, the configured </w:t>
            </w:r>
            <w:r>
              <w:rPr>
                <w:rFonts w:eastAsia="SimSun"/>
                <w:i/>
                <w:sz w:val="20"/>
                <w:lang w:eastAsia="en-US"/>
              </w:rPr>
              <w:t>spatialRelationInfoPos</w:t>
            </w:r>
            <w:r>
              <w:rPr>
                <w:rFonts w:eastAsia="SimSun"/>
                <w:sz w:val="20"/>
                <w:lang w:eastAsia="en-US"/>
              </w:rPr>
              <w:t xml:space="preserve"> is also applicable.</w:t>
            </w:r>
          </w:p>
          <w:p w14:paraId="66B89A49" w14:textId="77777777" w:rsidR="00FF3D3B" w:rsidRDefault="00FF3D3B" w:rsidP="00EF1E41">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SimSun"/>
                <w:sz w:val="20"/>
                <w:lang w:val="en-US" w:eastAsia="en-US"/>
              </w:rPr>
            </w:pPr>
            <w:r>
              <w:rPr>
                <w:rFonts w:eastAsia="SimSun"/>
                <w:sz w:val="20"/>
                <w:lang w:val="en-US" w:eastAsia="en-US"/>
              </w:rPr>
              <w:t xml:space="preserve">If the UE is not configured with the higher layer parameter </w:t>
            </w:r>
            <w:r>
              <w:rPr>
                <w:rFonts w:eastAsia="SimSun"/>
                <w:i/>
                <w:sz w:val="20"/>
                <w:lang w:eastAsia="en-US"/>
              </w:rPr>
              <w:t>spatialRelationInfoPos</w:t>
            </w:r>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 xml:space="preserve">SRS-PosResource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 xml:space="preserve">SRS-PosResource </w:t>
            </w:r>
            <w:r>
              <w:rPr>
                <w:rFonts w:eastAsia="SimSun"/>
                <w:sz w:val="20"/>
                <w:lang w:val="en-US" w:eastAsia="en-US"/>
              </w:rPr>
              <w:t>within the active UL BWP of the UE.</w:t>
            </w:r>
          </w:p>
          <w:p w14:paraId="4D7F0128" w14:textId="77777777" w:rsidR="00FF3D3B" w:rsidRDefault="00FF3D3B" w:rsidP="00EF1E41">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SRS-PosResource</w:t>
            </w:r>
            <w:r>
              <w:rPr>
                <w:rFonts w:eastAsia="SimSun"/>
                <w:sz w:val="20"/>
                <w:lang w:val="en-US" w:eastAsia="en-US"/>
              </w:rPr>
              <w:t xml:space="preserve">, the UE can only be provided with a single RS source in </w:t>
            </w:r>
            <w:r>
              <w:rPr>
                <w:rFonts w:eastAsia="SimSun"/>
                <w:i/>
                <w:sz w:val="20"/>
                <w:lang w:eastAsia="en-US"/>
              </w:rPr>
              <w:t>spatialRelationInfoPos</w:t>
            </w:r>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Subject to UE capability, if the UE is not configured with the higher layer parameter spatialRelationInfoPos, and is configured with the high layer parameter [DifSplFiler] for a SRS resource set configured by SRS-PosResourceSet, the UE is expected to use different spatial domain transmission filters across multiple SRS resources in the SRS resource set.</w:t>
            </w:r>
          </w:p>
          <w:p w14:paraId="3C677B49" w14:textId="77777777" w:rsidR="00FF3D3B" w:rsidRDefault="00FF3D3B" w:rsidP="00EF1E41">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 xml:space="preserve">SRS-PosResource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SRS-PosResource</w:t>
            </w:r>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EF1E41">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EF1E41">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Huawei, HiSilicon, China Unicom, ZTE, Sanechips,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3B9BD0AE"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3D2D99BE" w14:textId="01E25963" w:rsidR="00002E64" w:rsidRPr="00002E64" w:rsidRDefault="00002E64" w:rsidP="00EF1E41">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tc>
      </w:tr>
      <w:tr w:rsidR="00C32C02" w14:paraId="6D4E7239" w14:textId="77777777" w:rsidTr="00C32C02">
        <w:tc>
          <w:tcPr>
            <w:tcW w:w="1693" w:type="dxa"/>
          </w:tcPr>
          <w:p w14:paraId="7704A519"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083EA9EB"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67095D55" w14:textId="77777777" w:rsidR="00C32C02" w:rsidRPr="00F740AD" w:rsidRDefault="00C32C02" w:rsidP="00EF1E41">
            <w:pPr>
              <w:spacing w:afterLines="50" w:after="120"/>
              <w:jc w:val="both"/>
              <w:rPr>
                <w:sz w:val="22"/>
                <w:lang w:val="en-US"/>
              </w:rPr>
            </w:pP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lastRenderedPageBreak/>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lastRenderedPageBreak/>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r w:rsidRPr="000B59B6">
              <w:rPr>
                <w:i/>
                <w:sz w:val="20"/>
                <w:lang w:val="en-US" w:eastAsia="zh-CN"/>
              </w:rPr>
              <w:t>nrofHARQ-Processes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r w:rsidRPr="000B59B6">
                    <w:rPr>
                      <w:i/>
                      <w:iCs/>
                      <w:color w:val="FF0000"/>
                      <w:sz w:val="20"/>
                      <w:u w:val="single"/>
                    </w:rPr>
                    <w:t>harq-ProcessNumberSizeDCI-</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w:t>
                  </w:r>
                  <w:r w:rsidRPr="000B59B6">
                    <w:rPr>
                      <w:sz w:val="20"/>
                    </w:rPr>
                    <w:lastRenderedPageBreak/>
                    <w:t xml:space="preserve">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ListParagraph"/>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ListParagraph"/>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785EAC">
      <w:pPr>
        <w:pStyle w:val="ListParagraph"/>
        <w:numPr>
          <w:ilvl w:val="2"/>
          <w:numId w:val="20"/>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785EAC">
      <w:pPr>
        <w:pStyle w:val="ListParagraph"/>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lastRenderedPageBreak/>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eg for apps that require 200 MBps in this example. Note that the maximum DL throughput for MCS table 3 is lower than table 1, hence this should only be configured for near cell edge UEs (-12 to -4 SNR in this example) or CPEs (for absolute cell edge UEs at eg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lastRenderedPageBreak/>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lastRenderedPageBreak/>
                    <w:t xml:space="preserve">The app coverage is extended but the absolute coverage is not extended. Since the ratio of cell edge to mean UPT is an important metric for operators, this enhancement improves this ratio by extending the </w:t>
                  </w:r>
                  <w:r w:rsidRPr="003B3D63">
                    <w:rPr>
                      <w:sz w:val="20"/>
                    </w:rPr>
                    <w:lastRenderedPageBreak/>
                    <w:t xml:space="preserve">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lastRenderedPageBreak/>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We can understand the problem and solution, but at the same time we are not sure whether changing UE behavior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r w:rsidRPr="003B3D63">
                    <w:rPr>
                      <w:sz w:val="20"/>
                    </w:rPr>
                    <w:t>Mediatek</w:t>
                  </w:r>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lastRenderedPageBreak/>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lastRenderedPageBreak/>
                    <w:t xml:space="preserve">Performance benefit is shown in our evaluation results. Note sure how you mean this can be done by NW implementation, please elaborate. I don’t see how estimating a BLER value </w:t>
                  </w:r>
                  <w:r w:rsidRPr="003B3D63">
                    <w:rPr>
                      <w:sz w:val="20"/>
                    </w:rPr>
                    <w:lastRenderedPageBreak/>
                    <w:t>(?)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lastRenderedPageBreak/>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Supp</w:t>
                  </w:r>
                  <w:r w:rsidRPr="00572579">
                    <w:rPr>
                      <w:sz w:val="22"/>
                      <w:szCs w:val="22"/>
                      <w:lang w:val="en-US"/>
                    </w:rPr>
                    <w:t>port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w:t>
                  </w:r>
                  <w:r w:rsidRPr="00572579">
                    <w:rPr>
                      <w:sz w:val="22"/>
                      <w:szCs w:val="22"/>
                      <w:lang w:val="en-US"/>
                    </w:rPr>
                    <w:lastRenderedPageBreak/>
                    <w:t xml:space="preserve">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lastRenderedPageBreak/>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We can understand the problem and solution, but at the same time we are not sure whether changing UE behavior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lastRenderedPageBreak/>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lastRenderedPageBreak/>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@vivo: 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Pleasde elaborate more on the NW side solution you suggest, I don’t see how estimating a BLER value (?) helps. </w:t>
                  </w:r>
                </w:p>
                <w:p w14:paraId="01F74C7B"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w:t>
                  </w:r>
                  <w:r w:rsidRPr="00572579">
                    <w:rPr>
                      <w:sz w:val="22"/>
                      <w:szCs w:val="22"/>
                    </w:rPr>
                    <w:lastRenderedPageBreak/>
                    <w:t xml:space="preserve">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lastRenderedPageBreak/>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ListParagraph"/>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demod/decode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MCS_Table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Mr.Chairman. The proposal #6a by the moderator is adequate to achieve this. There is no need to introduce new </w:t>
                  </w:r>
                  <w:r w:rsidRPr="00572579">
                    <w:rPr>
                      <w:sz w:val="22"/>
                      <w:szCs w:val="22"/>
                    </w:rPr>
                    <w:lastRenderedPageBreak/>
                    <w:t xml:space="preserve">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lastRenderedPageBreak/>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ListParagraph"/>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ListParagraph"/>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Pr="00AE4D2D" w:rsidRDefault="00AE4D2D" w:rsidP="00AE4D2D">
      <w:pPr>
        <w:pStyle w:val="ListParagraph"/>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lastRenderedPageBreak/>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1BB0FF18" w:rsidR="00E34E4F" w:rsidRDefault="00106B13" w:rsidP="00EF1E41">
            <w:pPr>
              <w:spacing w:afterLines="50" w:after="120"/>
              <w:jc w:val="both"/>
              <w:rPr>
                <w:sz w:val="22"/>
                <w:lang w:val="en-US"/>
              </w:rPr>
            </w:pPr>
            <w:r>
              <w:rPr>
                <w:sz w:val="22"/>
                <w:lang w:val="en-US"/>
              </w:rPr>
              <w:lastRenderedPageBreak/>
              <w:t>Apple</w:t>
            </w: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0346C80B" w:rsidR="00E34E4F" w:rsidRPr="00F740AD" w:rsidRDefault="00106B13" w:rsidP="00EF1E41">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rPr>
              <w:drawing>
                <wp:inline distT="0" distB="0" distL="0" distR="0" wp14:anchorId="0720AA84" wp14:editId="20269B92">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rPr>
              <w:lastRenderedPageBreak/>
              <w:drawing>
                <wp:inline distT="0" distB="0" distL="0" distR="0" wp14:anchorId="52A44A08" wp14:editId="0E77ACA3">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DeltaPower containing an offset </w:t>
            </w:r>
            <w:r w:rsidRPr="004F3B26">
              <w:rPr>
                <w:b/>
                <w:bCs/>
                <w:i/>
                <w:iCs/>
                <w:sz w:val="20"/>
              </w:rPr>
              <w:t>DeltaPowerPerAP</w:t>
            </w:r>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Supp</w:t>
                  </w:r>
                  <w:r w:rsidRPr="000F1252">
                    <w:rPr>
                      <w:sz w:val="22"/>
                      <w:szCs w:val="22"/>
                      <w:lang w:val="en-US"/>
                    </w:rPr>
                    <w:t>port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 xml:space="preserve">due to power boosting of some channels (PDCCH, PDSCH for some particular UE etc.). This will </w:t>
                  </w:r>
                  <w:r w:rsidRPr="000F1252">
                    <w:rPr>
                      <w:rFonts w:eastAsiaTheme="minorEastAsia"/>
                      <w:bCs/>
                      <w:sz w:val="22"/>
                      <w:szCs w:val="22"/>
                      <w:lang w:eastAsia="zh-CN"/>
                    </w:rPr>
                    <w:lastRenderedPageBreak/>
                    <w:t>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w:t>
                  </w:r>
                  <w:r w:rsidRPr="000F1252">
                    <w:rPr>
                      <w:rFonts w:eastAsiaTheme="minorEastAsia"/>
                      <w:sz w:val="22"/>
                      <w:szCs w:val="22"/>
                      <w:lang w:val="en-US" w:eastAsia="zh-CN"/>
                    </w:rPr>
                    <w:lastRenderedPageBreak/>
                    <w:t>gNB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lastRenderedPageBreak/>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If it is 2), we have questions for the performance curve: How to understand SE v.s.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ListParagraph"/>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lastRenderedPageBreak/>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eg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ListParagraph"/>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DeltaPower containing an offset </w:t>
      </w:r>
      <w:r w:rsidRPr="00952ADD">
        <w:rPr>
          <w:rFonts w:asciiTheme="majorHAnsi" w:hAnsiTheme="majorHAnsi" w:cstheme="majorHAnsi"/>
          <w:b/>
          <w:bCs/>
          <w:i/>
          <w:iCs/>
          <w:sz w:val="22"/>
          <w:szCs w:val="22"/>
        </w:rPr>
        <w:t>DeltaPowerPerAP</w:t>
      </w:r>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r w:rsidRPr="00B619E8">
                    <w:rPr>
                      <w:i/>
                      <w:iCs/>
                      <w:sz w:val="20"/>
                      <w:lang w:val="en-US"/>
                    </w:rPr>
                    <w:t>searchSpaceLinkingId</w:t>
                  </w:r>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lastRenderedPageBreak/>
                    <w:t>TEI proposal #</w:t>
                  </w:r>
                  <w:r w:rsidRPr="00B619E8">
                    <w:rPr>
                      <w:rFonts w:eastAsia="MS Mincho" w:cs="Batang" w:hint="eastAsia"/>
                      <w:b/>
                      <w:bCs/>
                      <w:sz w:val="20"/>
                    </w:rPr>
                    <w:t>16-1a (update)</w:t>
                  </w:r>
                </w:p>
                <w:p w14:paraId="65312270" w14:textId="77777777" w:rsidR="00B619E8" w:rsidRPr="00B619E8" w:rsidRDefault="00B619E8" w:rsidP="00B619E8">
                  <w:pPr>
                    <w:pStyle w:val="ListParagraph"/>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ListParagraph"/>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B619E8">
                    <w:rPr>
                      <w:i/>
                      <w:iCs/>
                      <w:sz w:val="20"/>
                    </w:rPr>
                    <w:t>searchSpaceLinkingId</w:t>
                  </w:r>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1"/>
              <w:gridCol w:w="1014"/>
              <w:gridCol w:w="7157"/>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Supp</w:t>
                  </w:r>
                  <w:r w:rsidRPr="00017257">
                    <w:rPr>
                      <w:sz w:val="22"/>
                      <w:szCs w:val="22"/>
                      <w:lang w:val="en-US"/>
                    </w:rPr>
                    <w:t>port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017257">
                  <w:pPr>
                    <w:pStyle w:val="ListParagraph"/>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75pt;height:134.75pt;mso-width-percent:0;mso-height-percent:0;mso-width-percent:0;mso-height-percent:0" o:ole="">
                        <v:imagedata r:id="rId16" o:title=""/>
                      </v:shape>
                      <o:OLEObject Type="Embed" ProgID="PBrush" ShapeID="_x0000_i1025" DrawAspect="Content" ObjectID="_1793433521"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ListParagraph"/>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ListParagraph"/>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R1-2408958 already provided a proposal for specification implementation. Additionally a UE capability, and potentially RRC activation may be neded.</w:t>
                  </w:r>
                </w:p>
                <w:p w14:paraId="39FC5DB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xml:space="preserve">,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w:t>
                  </w:r>
                  <w:r w:rsidRPr="00017257">
                    <w:rPr>
                      <w:sz w:val="22"/>
                      <w:szCs w:val="22"/>
                      <w:lang w:val="en-US"/>
                    </w:rPr>
                    <w:lastRenderedPageBreak/>
                    <w:t>should not be a blocking argument preventing introduction of the feature.</w:t>
                  </w:r>
                </w:p>
                <w:p w14:paraId="21A3B6D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ListParagraph"/>
        <w:numPr>
          <w:ilvl w:val="0"/>
          <w:numId w:val="20"/>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B619E8">
      <w:pPr>
        <w:pStyle w:val="ListParagraph"/>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814901">
              <w:rPr>
                <w:i/>
                <w:iCs/>
                <w:sz w:val="20"/>
              </w:rPr>
              <w:t>searchSpaceLinkingId</w:t>
            </w:r>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EF1E41">
        <w:tc>
          <w:tcPr>
            <w:tcW w:w="1693"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44AD3F0" w14:textId="77777777" w:rsidR="00144FDE" w:rsidRDefault="00144FDE"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EF1E41">
        <w:tc>
          <w:tcPr>
            <w:tcW w:w="1693" w:type="dxa"/>
          </w:tcPr>
          <w:p w14:paraId="09F79731" w14:textId="6BF64318" w:rsidR="00144FDE" w:rsidRPr="00F43A5D" w:rsidRDefault="00DA429E" w:rsidP="00EF1E41">
            <w:pPr>
              <w:spacing w:afterLines="50" w:after="120"/>
              <w:jc w:val="both"/>
              <w:rPr>
                <w:rFonts w:eastAsia="Malgun Gothic"/>
                <w:sz w:val="22"/>
                <w:lang w:val="en-US" w:eastAsia="ko-KR"/>
              </w:rPr>
            </w:pPr>
            <w:r>
              <w:rPr>
                <w:rFonts w:eastAsia="Malgun Gothic"/>
                <w:sz w:val="22"/>
                <w:lang w:val="en-US" w:eastAsia="ko-KR"/>
              </w:rPr>
              <w:t>ZTE</w:t>
            </w:r>
          </w:p>
        </w:tc>
        <w:tc>
          <w:tcPr>
            <w:tcW w:w="1024"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6912" w:type="dxa"/>
          </w:tcPr>
          <w:p w14:paraId="37539479" w14:textId="77777777" w:rsidR="00144FDE" w:rsidRDefault="00DA429E" w:rsidP="00EF1E41">
            <w:pPr>
              <w:spacing w:afterLines="50" w:after="120"/>
              <w:jc w:val="both"/>
              <w:rPr>
                <w:sz w:val="22"/>
                <w:lang w:val="en-US"/>
              </w:rPr>
            </w:pPr>
            <w:r>
              <w:rPr>
                <w:sz w:val="22"/>
                <w:lang w:val="en-US"/>
              </w:rPr>
              <w:t xml:space="preserve">Some comments: </w:t>
            </w:r>
          </w:p>
          <w:p w14:paraId="084B5E9D" w14:textId="77777777" w:rsidR="00DA429E" w:rsidRDefault="00DA429E" w:rsidP="00DA429E">
            <w:pPr>
              <w:pStyle w:val="ListParagraph"/>
              <w:numPr>
                <w:ilvl w:val="2"/>
                <w:numId w:val="20"/>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DA429E">
            <w:pPr>
              <w:pStyle w:val="ListParagraph"/>
              <w:numPr>
                <w:ilvl w:val="2"/>
                <w:numId w:val="20"/>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EF1E41">
        <w:tc>
          <w:tcPr>
            <w:tcW w:w="1693" w:type="dxa"/>
          </w:tcPr>
          <w:p w14:paraId="52BA03FB" w14:textId="110FF082" w:rsidR="00144FDE" w:rsidRPr="00661912" w:rsidRDefault="008539EA" w:rsidP="00EF1E41">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4"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6912"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8539EA">
            <w:pPr>
              <w:pStyle w:val="ListParagraph"/>
              <w:widowControl w:val="0"/>
              <w:numPr>
                <w:ilvl w:val="0"/>
                <w:numId w:val="61"/>
              </w:numPr>
              <w:ind w:leftChars="0"/>
              <w:contextualSpacing/>
              <w:jc w:val="both"/>
            </w:pPr>
            <w:r>
              <w:t>Based on our understanding, the proposal assumes that the CSI calculation is from the slot of the CMR, and lasts for a few slots equaling to CSI processing time.</w:t>
            </w:r>
          </w:p>
          <w:p w14:paraId="01B695BB" w14:textId="77777777" w:rsidR="008539EA" w:rsidRDefault="008539EA" w:rsidP="008539EA">
            <w:pPr>
              <w:pStyle w:val="ListParagraph"/>
              <w:widowControl w:val="0"/>
              <w:numPr>
                <w:ilvl w:val="1"/>
                <w:numId w:val="61"/>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ED7969">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8539EA">
            <w:pPr>
              <w:pStyle w:val="ListParagraph"/>
              <w:widowControl w:val="0"/>
              <w:numPr>
                <w:ilvl w:val="0"/>
                <w:numId w:val="61"/>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ED7969">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8539EA">
            <w:pPr>
              <w:pStyle w:val="ListParagraph"/>
              <w:widowControl w:val="0"/>
              <w:numPr>
                <w:ilvl w:val="0"/>
                <w:numId w:val="61"/>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8539EA">
            <w:pPr>
              <w:pStyle w:val="ListParagraph"/>
              <w:widowControl w:val="0"/>
              <w:numPr>
                <w:ilvl w:val="1"/>
                <w:numId w:val="61"/>
              </w:numPr>
              <w:ind w:leftChars="0"/>
              <w:contextualSpacing/>
              <w:jc w:val="both"/>
            </w:pPr>
            <w:r>
              <w:t>This is also one of the reasons why legacy ARC active duration is “always-on” for P/SP-CSI-RS.</w:t>
            </w:r>
          </w:p>
          <w:p w14:paraId="3B98FBE6" w14:textId="77777777" w:rsidR="008539EA" w:rsidRDefault="008539EA" w:rsidP="008539EA">
            <w:pPr>
              <w:pStyle w:val="ListParagraph"/>
              <w:widowControl w:val="0"/>
              <w:numPr>
                <w:ilvl w:val="1"/>
                <w:numId w:val="61"/>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8539EA">
            <w:pPr>
              <w:pStyle w:val="ListParagraph"/>
              <w:widowControl w:val="0"/>
              <w:numPr>
                <w:ilvl w:val="2"/>
                <w:numId w:val="61"/>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rPr>
              <w:lastRenderedPageBreak/>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8539EA">
            <w:pPr>
              <w:pStyle w:val="ListParagraph"/>
              <w:widowControl w:val="0"/>
              <w:numPr>
                <w:ilvl w:val="1"/>
                <w:numId w:val="61"/>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8539EA">
            <w:pPr>
              <w:pStyle w:val="ListParagraph"/>
              <w:widowControl w:val="0"/>
              <w:numPr>
                <w:ilvl w:val="2"/>
                <w:numId w:val="61"/>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8539EA">
            <w:pPr>
              <w:pStyle w:val="ListParagraph"/>
              <w:widowControl w:val="0"/>
              <w:numPr>
                <w:ilvl w:val="2"/>
                <w:numId w:val="61"/>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ED7969">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8539EA">
                  <w:pPr>
                    <w:pStyle w:val="ListParagraph"/>
                    <w:widowControl w:val="0"/>
                    <w:numPr>
                      <w:ilvl w:val="1"/>
                      <w:numId w:val="61"/>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EF1E41">
        <w:tc>
          <w:tcPr>
            <w:tcW w:w="1693" w:type="dxa"/>
          </w:tcPr>
          <w:p w14:paraId="3D25FDEC" w14:textId="2C067307" w:rsidR="00144FDE" w:rsidRDefault="00B74477" w:rsidP="00EF1E41">
            <w:pPr>
              <w:spacing w:afterLines="50" w:after="120"/>
              <w:jc w:val="both"/>
              <w:rPr>
                <w:sz w:val="22"/>
                <w:lang w:val="en-US"/>
              </w:rPr>
            </w:pPr>
            <w:r>
              <w:rPr>
                <w:sz w:val="22"/>
                <w:lang w:val="en-US"/>
              </w:rPr>
              <w:lastRenderedPageBreak/>
              <w:t>Apple</w:t>
            </w:r>
          </w:p>
        </w:tc>
        <w:tc>
          <w:tcPr>
            <w:tcW w:w="1024" w:type="dxa"/>
          </w:tcPr>
          <w:p w14:paraId="758B290A" w14:textId="77777777" w:rsidR="00144FDE" w:rsidRPr="00F740AD" w:rsidRDefault="00144FDE" w:rsidP="00EF1E41">
            <w:pPr>
              <w:spacing w:afterLines="50" w:after="120"/>
              <w:jc w:val="both"/>
              <w:rPr>
                <w:sz w:val="22"/>
                <w:lang w:val="en-US"/>
              </w:rPr>
            </w:pPr>
          </w:p>
        </w:tc>
        <w:tc>
          <w:tcPr>
            <w:tcW w:w="6912" w:type="dxa"/>
          </w:tcPr>
          <w:p w14:paraId="0E37D3D8" w14:textId="77777777" w:rsidR="00144FDE" w:rsidRDefault="005C21AC" w:rsidP="00EF1E41">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EF1E41">
            <w:pPr>
              <w:spacing w:afterLines="50" w:after="120"/>
              <w:jc w:val="both"/>
              <w:rPr>
                <w:sz w:val="22"/>
              </w:rPr>
            </w:pPr>
          </w:p>
          <w:p w14:paraId="37A22703" w14:textId="36E4790A" w:rsidR="002F3A09" w:rsidRDefault="002F3A09" w:rsidP="00EF1E41">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EF1E41">
            <w:pPr>
              <w:spacing w:afterLines="50" w:after="120"/>
              <w:jc w:val="both"/>
              <w:rPr>
                <w:sz w:val="22"/>
              </w:rPr>
            </w:pPr>
          </w:p>
          <w:p w14:paraId="76B24A75" w14:textId="41CB5D88" w:rsidR="00A45D0C" w:rsidRPr="00F740AD" w:rsidRDefault="00804F32" w:rsidP="00EF1E41">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lastRenderedPageBreak/>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EF1E41">
            <w:pPr>
              <w:pStyle w:val="ListParagraph"/>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424577">
      <w:pPr>
        <w:pStyle w:val="ListParagraph"/>
        <w:numPr>
          <w:ilvl w:val="0"/>
          <w:numId w:val="20"/>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424577">
      <w:pPr>
        <w:pStyle w:val="ListParagraph"/>
        <w:numPr>
          <w:ilvl w:val="1"/>
          <w:numId w:val="20"/>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424577">
      <w:pPr>
        <w:pStyle w:val="ListParagraph"/>
        <w:numPr>
          <w:ilvl w:val="2"/>
          <w:numId w:val="20"/>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Normally, for TSG SA/CT work that requires cat.B/C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74A49AE6" w14:textId="77777777" w:rsidR="007D6A83" w:rsidRDefault="00245759">
      <w:pPr>
        <w:rPr>
          <w:sz w:val="22"/>
          <w:szCs w:val="18"/>
        </w:rPr>
      </w:pPr>
      <w:r>
        <w:rPr>
          <w:sz w:val="22"/>
          <w:szCs w:val="18"/>
        </w:rPr>
        <w:lastRenderedPageBreak/>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w:t>
      </w:r>
      <w:r>
        <w:rPr>
          <w:sz w:val="22"/>
          <w:szCs w:val="18"/>
        </w:rPr>
        <w:lastRenderedPageBreak/>
        <w:t xml:space="preserve">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14:paraId="2A8B35A0" w14:textId="77777777" w:rsidR="007D6A83" w:rsidRDefault="00245759">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R2-2112345 (38.331 cat.C)</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R2-2112345 (38.331, cat.B)</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w:t>
      </w:r>
      <w:r>
        <w:rPr>
          <w:sz w:val="22"/>
          <w:szCs w:val="18"/>
        </w:rPr>
        <w:lastRenderedPageBreak/>
        <w:t xml:space="preserve">the Tdoc title and CR </w:t>
      </w:r>
      <w:r>
        <w:rPr>
          <w:sz w:val="22"/>
          <w:szCs w:val="18"/>
        </w:rPr>
        <w:tab/>
        <w:t>proponents will inform the WG chairman if there were any agreed/endorsed CRs lile this)</w:t>
      </w:r>
    </w:p>
    <w:p w14:paraId="46B58CFE" w14:textId="77777777" w:rsidR="007D6A83" w:rsidRDefault="00245759">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9A85" w14:textId="77777777" w:rsidR="0059339F" w:rsidRDefault="0059339F">
      <w:r>
        <w:separator/>
      </w:r>
    </w:p>
  </w:endnote>
  <w:endnote w:type="continuationSeparator" w:id="0">
    <w:p w14:paraId="57A357CD" w14:textId="77777777" w:rsidR="0059339F" w:rsidRDefault="0059339F">
      <w:r>
        <w:continuationSeparator/>
      </w:r>
    </w:p>
  </w:endnote>
  <w:endnote w:type="continuationNotice" w:id="1">
    <w:p w14:paraId="40A8CC85" w14:textId="77777777" w:rsidR="0059339F" w:rsidRDefault="00593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Times">
    <w:altName w:val="Sylfaen"/>
    <w:panose1 w:val="0200050000000000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CDAEF" w14:textId="77777777" w:rsidR="0059339F" w:rsidRDefault="0059339F">
      <w:r>
        <w:separator/>
      </w:r>
    </w:p>
  </w:footnote>
  <w:footnote w:type="continuationSeparator" w:id="0">
    <w:p w14:paraId="172C130D" w14:textId="77777777" w:rsidR="0059339F" w:rsidRDefault="0059339F">
      <w:r>
        <w:continuationSeparator/>
      </w:r>
    </w:p>
  </w:footnote>
  <w:footnote w:type="continuationNotice" w:id="1">
    <w:p w14:paraId="079AED73" w14:textId="77777777" w:rsidR="0059339F" w:rsidRDefault="005933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217862868">
    <w:abstractNumId w:val="5"/>
  </w:num>
  <w:num w:numId="2" w16cid:durableId="307172750">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673289">
    <w:abstractNumId w:val="6"/>
  </w:num>
  <w:num w:numId="4" w16cid:durableId="1368144469">
    <w:abstractNumId w:val="25"/>
  </w:num>
  <w:num w:numId="5" w16cid:durableId="824472409">
    <w:abstractNumId w:val="52"/>
  </w:num>
  <w:num w:numId="6" w16cid:durableId="1233614349">
    <w:abstractNumId w:val="58"/>
  </w:num>
  <w:num w:numId="7" w16cid:durableId="483082312">
    <w:abstractNumId w:val="17"/>
  </w:num>
  <w:num w:numId="8" w16cid:durableId="1138765501">
    <w:abstractNumId w:val="50"/>
  </w:num>
  <w:num w:numId="9" w16cid:durableId="1091389711">
    <w:abstractNumId w:val="35"/>
  </w:num>
  <w:num w:numId="10" w16cid:durableId="788353966">
    <w:abstractNumId w:val="34"/>
  </w:num>
  <w:num w:numId="11" w16cid:durableId="641234294">
    <w:abstractNumId w:val="29"/>
  </w:num>
  <w:num w:numId="12" w16cid:durableId="1012880001">
    <w:abstractNumId w:val="40"/>
  </w:num>
  <w:num w:numId="13" w16cid:durableId="395208387">
    <w:abstractNumId w:val="39"/>
  </w:num>
  <w:num w:numId="14" w16cid:durableId="2018996662">
    <w:abstractNumId w:val="21"/>
  </w:num>
  <w:num w:numId="15" w16cid:durableId="560793917">
    <w:abstractNumId w:val="30"/>
  </w:num>
  <w:num w:numId="16" w16cid:durableId="1987006107">
    <w:abstractNumId w:val="37"/>
  </w:num>
  <w:num w:numId="17" w16cid:durableId="760490946">
    <w:abstractNumId w:val="45"/>
  </w:num>
  <w:num w:numId="18" w16cid:durableId="921960516">
    <w:abstractNumId w:val="59"/>
  </w:num>
  <w:num w:numId="19" w16cid:durableId="1144085978">
    <w:abstractNumId w:val="48"/>
  </w:num>
  <w:num w:numId="20" w16cid:durableId="184178483">
    <w:abstractNumId w:val="57"/>
  </w:num>
  <w:num w:numId="21" w16cid:durableId="163134441">
    <w:abstractNumId w:val="41"/>
  </w:num>
  <w:num w:numId="22" w16cid:durableId="1973828403">
    <w:abstractNumId w:val="22"/>
  </w:num>
  <w:num w:numId="23" w16cid:durableId="1661151283">
    <w:abstractNumId w:val="10"/>
  </w:num>
  <w:num w:numId="24" w16cid:durableId="1655261037">
    <w:abstractNumId w:val="53"/>
  </w:num>
  <w:num w:numId="25" w16cid:durableId="1242332458">
    <w:abstractNumId w:val="56"/>
  </w:num>
  <w:num w:numId="26" w16cid:durableId="1598632238">
    <w:abstractNumId w:val="47"/>
  </w:num>
  <w:num w:numId="27" w16cid:durableId="1115489045">
    <w:abstractNumId w:val="14"/>
  </w:num>
  <w:num w:numId="28" w16cid:durableId="95365312">
    <w:abstractNumId w:val="39"/>
    <w:lvlOverride w:ilvl="0">
      <w:startOverride w:val="1"/>
    </w:lvlOverride>
  </w:num>
  <w:num w:numId="29" w16cid:durableId="1136798616">
    <w:abstractNumId w:val="28"/>
  </w:num>
  <w:num w:numId="30" w16cid:durableId="302346990">
    <w:abstractNumId w:val="27"/>
  </w:num>
  <w:num w:numId="31" w16cid:durableId="1162089625">
    <w:abstractNumId w:val="43"/>
  </w:num>
  <w:num w:numId="32" w16cid:durableId="1215628333">
    <w:abstractNumId w:val="11"/>
  </w:num>
  <w:num w:numId="33" w16cid:durableId="623971004">
    <w:abstractNumId w:val="23"/>
  </w:num>
  <w:num w:numId="34" w16cid:durableId="282005370">
    <w:abstractNumId w:val="0"/>
  </w:num>
  <w:num w:numId="35" w16cid:durableId="2134203157">
    <w:abstractNumId w:val="2"/>
  </w:num>
  <w:num w:numId="36" w16cid:durableId="1645506572">
    <w:abstractNumId w:val="33"/>
  </w:num>
  <w:num w:numId="37" w16cid:durableId="742146776">
    <w:abstractNumId w:val="3"/>
  </w:num>
  <w:num w:numId="38" w16cid:durableId="1290816214">
    <w:abstractNumId w:val="19"/>
  </w:num>
  <w:num w:numId="39" w16cid:durableId="629015040">
    <w:abstractNumId w:val="26"/>
  </w:num>
  <w:num w:numId="40" w16cid:durableId="651250654">
    <w:abstractNumId w:val="8"/>
  </w:num>
  <w:num w:numId="41" w16cid:durableId="1144347635">
    <w:abstractNumId w:val="20"/>
  </w:num>
  <w:num w:numId="42" w16cid:durableId="1863203614">
    <w:abstractNumId w:val="9"/>
  </w:num>
  <w:num w:numId="43" w16cid:durableId="1045375420">
    <w:abstractNumId w:val="55"/>
  </w:num>
  <w:num w:numId="44" w16cid:durableId="1302930033">
    <w:abstractNumId w:val="7"/>
  </w:num>
  <w:num w:numId="45" w16cid:durableId="1941444634">
    <w:abstractNumId w:val="18"/>
  </w:num>
  <w:num w:numId="46" w16cid:durableId="404569226">
    <w:abstractNumId w:val="16"/>
  </w:num>
  <w:num w:numId="47" w16cid:durableId="2043552518">
    <w:abstractNumId w:val="49"/>
  </w:num>
  <w:num w:numId="48" w16cid:durableId="829053738">
    <w:abstractNumId w:val="13"/>
  </w:num>
  <w:num w:numId="49" w16cid:durableId="929972243">
    <w:abstractNumId w:val="4"/>
  </w:num>
  <w:num w:numId="50" w16cid:durableId="728187370">
    <w:abstractNumId w:val="24"/>
  </w:num>
  <w:num w:numId="51" w16cid:durableId="1000230000">
    <w:abstractNumId w:val="12"/>
  </w:num>
  <w:num w:numId="52" w16cid:durableId="1342314153">
    <w:abstractNumId w:val="32"/>
  </w:num>
  <w:num w:numId="53" w16cid:durableId="1837071246">
    <w:abstractNumId w:val="36"/>
  </w:num>
  <w:num w:numId="54" w16cid:durableId="659502040">
    <w:abstractNumId w:val="38"/>
  </w:num>
  <w:num w:numId="55" w16cid:durableId="1188906574">
    <w:abstractNumId w:val="1"/>
  </w:num>
  <w:num w:numId="56" w16cid:durableId="458181943">
    <w:abstractNumId w:val="46"/>
  </w:num>
  <w:num w:numId="57" w16cid:durableId="1250501647">
    <w:abstractNumId w:val="44"/>
  </w:num>
  <w:num w:numId="58" w16cid:durableId="1261134673">
    <w:abstractNumId w:val="51"/>
  </w:num>
  <w:num w:numId="59" w16cid:durableId="1937446864">
    <w:abstractNumId w:val="15"/>
  </w:num>
  <w:num w:numId="60" w16cid:durableId="911082842">
    <w:abstractNumId w:val="42"/>
  </w:num>
  <w:num w:numId="61" w16cid:durableId="2077391702">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4.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34</Pages>
  <Words>15091</Words>
  <Characters>86019</Characters>
  <Application>Microsoft Office Word</Application>
  <DocSecurity>0</DocSecurity>
  <Lines>716</Lines>
  <Paragraphs>201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Apple</cp:lastModifiedBy>
  <cp:revision>35</cp:revision>
  <dcterms:created xsi:type="dcterms:W3CDTF">2024-11-18T04:11:00Z</dcterms:created>
  <dcterms:modified xsi:type="dcterms:W3CDTF">2024-11-18T16:12:00Z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