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D809D9"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Huawei/HiSilicon,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Huawei/HiSilicon,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Huawei, HiSilicon</w:t>
            </w:r>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 xml:space="preserve">two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PDSCH for multicast also included by in this sentence? According to RAN2 discussion, the main motivation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multicast PDSCH and other PDSCHs is for SDT.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broadcast and multicast</w:t>
            </w:r>
            <w:r w:rsidR="002A7A8A">
              <w:rPr>
                <w:rFonts w:eastAsia="SimSun"/>
                <w:color w:val="000000" w:themeColor="text1"/>
                <w:lang w:val="en-US" w:eastAsia="zh-CN"/>
              </w:rPr>
              <w:t xml:space="preserve"> or </w:t>
            </w:r>
            <w:proofErr w:type="spellStart"/>
            <w:r w:rsidR="002A7A8A">
              <w:rPr>
                <w:rFonts w:eastAsia="SimSun"/>
                <w:color w:val="000000" w:themeColor="text1"/>
                <w:lang w:val="en-US" w:eastAsia="zh-CN"/>
              </w:rPr>
              <w:t>TDMed</w:t>
            </w:r>
            <w:proofErr w:type="spellEnd"/>
            <w:r w:rsidR="002A7A8A">
              <w:rPr>
                <w:rFonts w:eastAsia="SimSun"/>
                <w:color w:val="000000" w:themeColor="text1"/>
                <w:lang w:val="en-US" w:eastAsia="zh-CN"/>
              </w:rPr>
              <w:t xml:space="preserve">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w:t>
            </w:r>
            <w:proofErr w:type="spellStart"/>
            <w:r w:rsidR="00B2743A">
              <w:rPr>
                <w:rFonts w:eastAsia="SimSun"/>
                <w:color w:val="000000" w:themeColor="text1"/>
                <w:lang w:val="en-US" w:eastAsia="zh-CN"/>
              </w:rPr>
              <w:t>gNB</w:t>
            </w:r>
            <w:proofErr w:type="spellEnd"/>
            <w:r w:rsidR="00B2743A">
              <w:rPr>
                <w:rFonts w:eastAsia="SimSun"/>
                <w:color w:val="000000" w:themeColor="text1"/>
                <w:lang w:val="en-US" w:eastAsia="zh-CN"/>
              </w:rPr>
              <w:t xml:space="preserve">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 xml:space="preserve">for RRC_INACTIVE UEs anymore. </w:t>
            </w:r>
            <w:proofErr w:type="gramStart"/>
            <w:r w:rsidR="00B2743A">
              <w:rPr>
                <w:rFonts w:eastAsia="SimSun"/>
                <w:color w:val="000000" w:themeColor="text1"/>
                <w:lang w:val="en-US" w:eastAsia="zh-CN"/>
              </w:rPr>
              <w:t>Also</w:t>
            </w:r>
            <w:proofErr w:type="gramEnd"/>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 xml:space="preserve">Introducing these to RAN1 FG list would be also acceptable, but in that </w:t>
            </w:r>
            <w:proofErr w:type="gramStart"/>
            <w:r>
              <w:rPr>
                <w:rFonts w:eastAsia="SimSun"/>
                <w:color w:val="000000" w:themeColor="text1"/>
                <w:lang w:val="en-US" w:eastAsia="zh-CN"/>
              </w:rPr>
              <w:t>case</w:t>
            </w:r>
            <w:proofErr w:type="gramEnd"/>
            <w:r>
              <w:rPr>
                <w:rFonts w:eastAsia="SimSun"/>
                <w:color w:val="000000" w:themeColor="text1"/>
                <w:lang w:val="en-US" w:eastAsia="zh-CN"/>
              </w:rPr>
              <w:t xml:space="preserve"> we’d prefer a separate LS informing RAN2 about this to make sure the information is not lost</w:t>
            </w:r>
          </w:p>
          <w:p w14:paraId="00F5B3F1" w14:textId="1BBD1885"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ListParagraph"/>
              <w:spacing w:after="0"/>
              <w:ind w:leftChars="0" w:left="360"/>
              <w:rPr>
                <w:rFonts w:eastAsia="SimSun"/>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Heading3"/>
              <w:outlineLvl w:val="2"/>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ListParagraph"/>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B85B61" w:rsidRPr="00AD3AE6" w14:paraId="64E4E5F4" w14:textId="77777777" w:rsidTr="007D5410">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SimSun" w:hint="eastAsia"/>
                <w:szCs w:val="21"/>
                <w:lang w:eastAsia="zh-CN"/>
              </w:rPr>
              <w:t>Z</w:t>
            </w:r>
            <w:r>
              <w:rPr>
                <w:rFonts w:eastAsia="SimSun"/>
                <w:szCs w:val="21"/>
                <w:lang w:eastAsia="zh-CN"/>
              </w:rPr>
              <w:t>TE</w:t>
            </w:r>
          </w:p>
        </w:tc>
        <w:tc>
          <w:tcPr>
            <w:tcW w:w="4495" w:type="pct"/>
          </w:tcPr>
          <w:p w14:paraId="7EF37266" w14:textId="77777777" w:rsidR="00850504" w:rsidRDefault="00850504" w:rsidP="00850504">
            <w:pPr>
              <w:spacing w:after="0"/>
              <w:rPr>
                <w:rFonts w:eastAsia="SimSun"/>
                <w:color w:val="000000" w:themeColor="text1"/>
                <w:lang w:val="en-US" w:eastAsia="zh-CN"/>
              </w:rPr>
            </w:pPr>
            <w:r>
              <w:rPr>
                <w:rFonts w:eastAsia="SimSun"/>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component 2 </w:t>
            </w:r>
            <w:r>
              <w:rPr>
                <w:rFonts w:eastAsia="SimSun" w:hint="eastAsia"/>
                <w:color w:val="000000" w:themeColor="text1"/>
                <w:lang w:val="en-US" w:eastAsia="zh-CN"/>
              </w:rPr>
              <w:t>i</w:t>
            </w:r>
            <w:r>
              <w:rPr>
                <w:rFonts w:eastAsia="SimSun"/>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SimSun"/>
                <w:szCs w:val="21"/>
                <w:lang w:eastAsia="zh-CN"/>
              </w:rPr>
            </w:pPr>
            <w:r>
              <w:rPr>
                <w:rFonts w:eastAsia="SimSun"/>
                <w:szCs w:val="21"/>
                <w:lang w:eastAsia="zh-CN"/>
              </w:rPr>
              <w:t>MediaTek</w:t>
            </w:r>
          </w:p>
        </w:tc>
        <w:tc>
          <w:tcPr>
            <w:tcW w:w="4495" w:type="pct"/>
          </w:tcPr>
          <w:p w14:paraId="7D2FDEE5" w14:textId="12CED85C" w:rsidR="00D4237B" w:rsidRDefault="00D4237B"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or the component 1 in FG 57-2, we think it is better to make the wording “uni</w:t>
            </w:r>
            <w:r>
              <w:rPr>
                <w:rFonts w:eastAsia="SimSun" w:hint="eastAsia"/>
                <w:color w:val="000000" w:themeColor="text1"/>
                <w:lang w:val="en-US" w:eastAsia="zh-CN"/>
              </w:rPr>
              <w:t>cast</w:t>
            </w:r>
            <w:r>
              <w:rPr>
                <w:rFonts w:eastAsia="SimSun"/>
                <w:color w:val="000000" w:themeColor="text1"/>
                <w:lang w:val="en-US" w:eastAsia="zh-CN"/>
              </w:rPr>
              <w:t xml:space="preserve"> PDSCH” clear since the discussion is in RRC_INACTIVE state, e.g., adding “(e.g., small data transmission PDSCH)” after “unicast PDSCH”, which also align with RAN2’s discussion.</w:t>
            </w:r>
          </w:p>
        </w:tc>
      </w:tr>
      <w:tr w:rsidR="007D5410" w14:paraId="711C50DE" w14:textId="77777777">
        <w:tc>
          <w:tcPr>
            <w:tcW w:w="505" w:type="pct"/>
          </w:tcPr>
          <w:p w14:paraId="2F2B2253" w14:textId="4DAFF576" w:rsidR="007D5410" w:rsidRDefault="007D5410" w:rsidP="00850504">
            <w:pPr>
              <w:spacing w:after="0"/>
              <w:jc w:val="both"/>
              <w:rPr>
                <w:rFonts w:eastAsia="SimSun"/>
                <w:szCs w:val="21"/>
                <w:lang w:eastAsia="zh-CN"/>
              </w:rPr>
            </w:pPr>
            <w:r>
              <w:rPr>
                <w:rFonts w:eastAsia="SimSun" w:hint="eastAsia"/>
                <w:szCs w:val="21"/>
                <w:lang w:eastAsia="zh-CN"/>
              </w:rPr>
              <w:t>CATT</w:t>
            </w:r>
          </w:p>
        </w:tc>
        <w:tc>
          <w:tcPr>
            <w:tcW w:w="4495" w:type="pct"/>
          </w:tcPr>
          <w:p w14:paraId="5172790A" w14:textId="28A9F4B8"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We think </w:t>
            </w:r>
            <w:r w:rsidRPr="007D5410">
              <w:rPr>
                <w:rFonts w:eastAsia="SimSun"/>
                <w:color w:val="000000" w:themeColor="text1"/>
                <w:lang w:val="en-US" w:eastAsia="zh-CN"/>
              </w:rPr>
              <w:t>no different for uni</w:t>
            </w:r>
            <w:r>
              <w:rPr>
                <w:rFonts w:eastAsia="SimSun"/>
                <w:color w:val="000000" w:themeColor="text1"/>
                <w:lang w:val="en-US" w:eastAsia="zh-CN"/>
              </w:rPr>
              <w:t>cast/broadcast/multicast PDSCHs</w:t>
            </w:r>
            <w:r>
              <w:rPr>
                <w:rFonts w:eastAsia="SimSun" w:hint="eastAsia"/>
                <w:color w:val="000000" w:themeColor="text1"/>
                <w:lang w:val="en-US" w:eastAsia="zh-CN"/>
              </w:rPr>
              <w:t xml:space="preserve"> in case of</w:t>
            </w:r>
            <w:r w:rsidRPr="007D5410">
              <w:rPr>
                <w:rFonts w:eastAsia="SimSun"/>
                <w:color w:val="000000" w:themeColor="text1"/>
                <w:lang w:val="en-US" w:eastAsia="zh-CN"/>
              </w:rPr>
              <w:t xml:space="preserve"> counting the number of PDSCH reception</w:t>
            </w:r>
            <w:r>
              <w:rPr>
                <w:rFonts w:eastAsia="SimSun" w:hint="eastAsia"/>
                <w:color w:val="000000" w:themeColor="text1"/>
                <w:lang w:val="en-US" w:eastAsia="zh-CN"/>
              </w:rPr>
              <w:t xml:space="preserve">. If most of </w:t>
            </w:r>
            <w:r>
              <w:rPr>
                <w:rFonts w:eastAsia="SimSun"/>
                <w:color w:val="000000" w:themeColor="text1"/>
                <w:lang w:val="en-US" w:eastAsia="zh-CN"/>
              </w:rPr>
              <w:t>companies</w:t>
            </w:r>
            <w:r>
              <w:rPr>
                <w:rFonts w:eastAsia="SimSun" w:hint="eastAsia"/>
                <w:color w:val="000000" w:themeColor="text1"/>
                <w:lang w:val="en-US" w:eastAsia="zh-CN"/>
              </w:rPr>
              <w:t xml:space="preserve"> want to only </w:t>
            </w:r>
            <w:r>
              <w:rPr>
                <w:rFonts w:eastAsia="SimSun"/>
                <w:color w:val="000000" w:themeColor="text1"/>
                <w:lang w:val="en-US" w:eastAsia="zh-CN"/>
              </w:rPr>
              <w:t>introduce</w:t>
            </w:r>
            <w:r>
              <w:rPr>
                <w:rFonts w:eastAsia="SimSun" w:hint="eastAsia"/>
                <w:color w:val="000000" w:themeColor="text1"/>
                <w:lang w:val="en-US" w:eastAsia="zh-CN"/>
              </w:rPr>
              <w:t xml:space="preserve"> unicast PDSCH, we are ok to compromise to only introduce intra-slot between unicast and group-common PDSCH for multicast. </w:t>
            </w:r>
          </w:p>
          <w:p w14:paraId="6696333E" w14:textId="4D77593E"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One clarification issue is whether above unicast PDSCH includes SIBX PDSCH or not? </w:t>
            </w:r>
          </w:p>
          <w:p w14:paraId="24D09622" w14:textId="77777777" w:rsidR="007D5410" w:rsidRDefault="007D5410" w:rsidP="00850504">
            <w:pPr>
              <w:spacing w:after="0"/>
              <w:rPr>
                <w:rFonts w:eastAsia="SimSun"/>
                <w:color w:val="000000" w:themeColor="text1"/>
                <w:lang w:val="en-US" w:eastAsia="zh-CN"/>
              </w:rPr>
            </w:pPr>
          </w:p>
        </w:tc>
      </w:tr>
      <w:tr w:rsidR="00DF5A6C" w14:paraId="592661E0" w14:textId="77777777">
        <w:tc>
          <w:tcPr>
            <w:tcW w:w="505" w:type="pct"/>
          </w:tcPr>
          <w:p w14:paraId="2B9759FC" w14:textId="0EB92A4E" w:rsidR="00DF5A6C" w:rsidRDefault="00DF5A6C" w:rsidP="00DF5A6C">
            <w:pPr>
              <w:spacing w:after="0"/>
              <w:jc w:val="both"/>
              <w:rPr>
                <w:rFonts w:eastAsia="SimSun"/>
                <w:szCs w:val="21"/>
                <w:lang w:eastAsia="zh-CN"/>
              </w:rPr>
            </w:pPr>
            <w:r>
              <w:rPr>
                <w:rFonts w:eastAsia="SimSun"/>
                <w:szCs w:val="21"/>
                <w:lang w:eastAsia="zh-CN"/>
              </w:rPr>
              <w:lastRenderedPageBreak/>
              <w:t>Huawei, HiSilicon</w:t>
            </w:r>
          </w:p>
        </w:tc>
        <w:tc>
          <w:tcPr>
            <w:tcW w:w="4495" w:type="pct"/>
          </w:tcPr>
          <w:p w14:paraId="7098A835" w14:textId="77777777" w:rsidR="00DF5A6C" w:rsidRDefault="00DF5A6C" w:rsidP="00DF5A6C">
            <w:pPr>
              <w:tabs>
                <w:tab w:val="center" w:pos="4153"/>
                <w:tab w:val="right" w:pos="8306"/>
              </w:tabs>
              <w:spacing w:after="0"/>
              <w:rPr>
                <w:rFonts w:ascii="Arial" w:hAnsi="Arial" w:cs="Arial"/>
                <w:sz w:val="20"/>
              </w:rPr>
            </w:pPr>
          </w:p>
          <w:p w14:paraId="2B79EA19" w14:textId="77777777" w:rsidR="00DF5A6C" w:rsidRDefault="00DF5A6C" w:rsidP="00DF5A6C">
            <w:pPr>
              <w:tabs>
                <w:tab w:val="center" w:pos="4153"/>
                <w:tab w:val="right" w:pos="8306"/>
              </w:tabs>
              <w:spacing w:after="0"/>
              <w:rPr>
                <w:rFonts w:ascii="Arial" w:hAnsi="Arial" w:cs="Arial"/>
                <w:sz w:val="20"/>
              </w:rPr>
            </w:pPr>
            <w:r>
              <w:rPr>
                <w:rFonts w:ascii="Arial" w:hAnsi="Arial" w:cs="Arial"/>
                <w:sz w:val="20"/>
              </w:rPr>
              <w:t>Despite how RAN2 discussed it, the decision from the LS is as follows:</w:t>
            </w:r>
          </w:p>
          <w:p w14:paraId="7F1689D5" w14:textId="77777777" w:rsidR="00DF5A6C" w:rsidRDefault="00DF5A6C" w:rsidP="00DF5A6C">
            <w:pPr>
              <w:tabs>
                <w:tab w:val="center" w:pos="4153"/>
                <w:tab w:val="right" w:pos="8306"/>
              </w:tabs>
              <w:spacing w:after="0"/>
              <w:rPr>
                <w:rFonts w:ascii="Arial" w:hAnsi="Arial" w:cs="Arial"/>
                <w:sz w:val="20"/>
              </w:rPr>
            </w:pPr>
          </w:p>
          <w:p w14:paraId="1EB2BEE5" w14:textId="77777777" w:rsidR="00DF5A6C" w:rsidRDefault="00DF5A6C" w:rsidP="00DF5A6C">
            <w:pPr>
              <w:tabs>
                <w:tab w:val="center" w:pos="4153"/>
                <w:tab w:val="right" w:pos="8306"/>
              </w:tabs>
              <w:spacing w:after="0"/>
              <w:rPr>
                <w:rFonts w:ascii="Arial" w:hAnsi="Arial" w:cs="Arial"/>
                <w:sz w:val="20"/>
              </w:rPr>
            </w:pPr>
            <w:r w:rsidRPr="00A33975">
              <w:rPr>
                <w:rFonts w:ascii="Arial" w:hAnsi="Arial" w:cs="Arial"/>
                <w:sz w:val="20"/>
              </w:rPr>
              <w:t xml:space="preserve">RAN2 agreed to introduce </w:t>
            </w:r>
            <w:r w:rsidRPr="00A33975">
              <w:rPr>
                <w:rFonts w:ascii="Arial" w:hAnsi="Arial" w:cs="Arial" w:hint="eastAsia"/>
                <w:sz w:val="20"/>
                <w:lang w:eastAsia="zh-CN"/>
              </w:rPr>
              <w:t>a</w:t>
            </w:r>
            <w:r w:rsidRPr="00A33975">
              <w:rPr>
                <w:rFonts w:ascii="Arial" w:hAnsi="Arial" w:cs="Arial"/>
                <w:sz w:val="20"/>
                <w:lang w:eastAsia="zh-CN"/>
              </w:rPr>
              <w:t xml:space="preserve"> new</w:t>
            </w:r>
            <w:r w:rsidRPr="00A33975">
              <w:rPr>
                <w:rFonts w:ascii="Arial" w:hAnsi="Arial" w:cs="Arial"/>
                <w:sz w:val="20"/>
              </w:rPr>
              <w:t xml:space="preserve"> optional UE capability for intra-slot </w:t>
            </w:r>
            <w:proofErr w:type="spellStart"/>
            <w:r w:rsidRPr="00A33975">
              <w:rPr>
                <w:rFonts w:ascii="Arial" w:hAnsi="Arial" w:cs="Arial"/>
                <w:sz w:val="20"/>
              </w:rPr>
              <w:t>TDMed</w:t>
            </w:r>
            <w:proofErr w:type="spellEnd"/>
            <w:r w:rsidRPr="00A33975">
              <w:rPr>
                <w:rFonts w:ascii="Arial" w:hAnsi="Arial" w:cs="Arial"/>
                <w:sz w:val="20"/>
              </w:rPr>
              <w:t xml:space="preserve"> unicast/broadcast/multicast PDSCHs in RRC_INACTIVE state. </w:t>
            </w:r>
          </w:p>
          <w:p w14:paraId="4A521D40" w14:textId="77777777" w:rsidR="00DF5A6C" w:rsidRDefault="00DF5A6C" w:rsidP="00DF5A6C">
            <w:pPr>
              <w:tabs>
                <w:tab w:val="center" w:pos="4153"/>
                <w:tab w:val="right" w:pos="8306"/>
              </w:tabs>
              <w:spacing w:after="0"/>
              <w:rPr>
                <w:rFonts w:ascii="Arial" w:hAnsi="Arial" w:cs="Arial"/>
                <w:sz w:val="20"/>
              </w:rPr>
            </w:pPr>
          </w:p>
          <w:p w14:paraId="4B38F3B8" w14:textId="77777777" w:rsidR="00DF5A6C"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It does not mention SDT related staff at all, rather the capability expected from RAN2 is intra-slot TDM for any combination of two from unicast, broadcast, or multicast. If Two Multicast TDM is the concern for some company, we can indicate there is no RAN1 consensus for this and RAN2 can then take it over. </w:t>
            </w:r>
          </w:p>
          <w:p w14:paraId="62EAC105" w14:textId="77777777" w:rsidR="00DF5A6C" w:rsidRDefault="00DF5A6C" w:rsidP="00DF5A6C">
            <w:pPr>
              <w:tabs>
                <w:tab w:val="center" w:pos="4153"/>
                <w:tab w:val="right" w:pos="8306"/>
              </w:tabs>
              <w:spacing w:after="0"/>
              <w:ind w:left="1360" w:hanging="400"/>
              <w:rPr>
                <w:rFonts w:ascii="Arial" w:hAnsi="Arial" w:cs="Arial"/>
                <w:sz w:val="20"/>
              </w:rPr>
            </w:pPr>
          </w:p>
          <w:p w14:paraId="62FBBB39" w14:textId="77777777" w:rsidR="00DF5A6C" w:rsidRPr="00A33975"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At least only defining the unicast and multicast intra-slot TDM is not consistent with what RAN2 expected per their agreement. </w:t>
            </w:r>
          </w:p>
          <w:p w14:paraId="6863D66F" w14:textId="77777777" w:rsidR="00DF5A6C" w:rsidRDefault="00DF5A6C" w:rsidP="00DF5A6C">
            <w:pPr>
              <w:spacing w:after="0"/>
              <w:rPr>
                <w:rFonts w:eastAsia="SimSun"/>
                <w:color w:val="000000" w:themeColor="text1"/>
                <w:lang w:val="en-US" w:eastAsia="zh-CN"/>
              </w:rPr>
            </w:pPr>
          </w:p>
        </w:tc>
      </w:tr>
      <w:tr w:rsidR="00977813" w14:paraId="0BC2BE90" w14:textId="77777777">
        <w:tc>
          <w:tcPr>
            <w:tcW w:w="505" w:type="pct"/>
          </w:tcPr>
          <w:p w14:paraId="2B7CE5B2" w14:textId="676B8EF4" w:rsidR="00977813" w:rsidRDefault="00977813" w:rsidP="00DF5A6C">
            <w:pPr>
              <w:spacing w:after="0"/>
              <w:jc w:val="both"/>
              <w:rPr>
                <w:rFonts w:eastAsia="SimSun"/>
                <w:szCs w:val="21"/>
                <w:lang w:eastAsia="zh-CN"/>
              </w:rPr>
            </w:pPr>
            <w:r>
              <w:rPr>
                <w:rFonts w:eastAsia="SimSun"/>
                <w:szCs w:val="21"/>
                <w:lang w:eastAsia="zh-CN"/>
              </w:rPr>
              <w:t>Qualcomm</w:t>
            </w:r>
          </w:p>
        </w:tc>
        <w:tc>
          <w:tcPr>
            <w:tcW w:w="4495" w:type="pct"/>
          </w:tcPr>
          <w:p w14:paraId="038A052F" w14:textId="77777777" w:rsidR="00977813" w:rsidRDefault="00616F47" w:rsidP="00DF5A6C">
            <w:pPr>
              <w:tabs>
                <w:tab w:val="center" w:pos="4153"/>
                <w:tab w:val="right" w:pos="8306"/>
              </w:tabs>
              <w:spacing w:after="0"/>
              <w:rPr>
                <w:rFonts w:ascii="Arial" w:hAnsi="Arial" w:cs="Arial"/>
                <w:sz w:val="20"/>
              </w:rPr>
            </w:pPr>
            <w:r>
              <w:rPr>
                <w:rFonts w:ascii="Arial" w:hAnsi="Arial" w:cs="Arial"/>
                <w:sz w:val="20"/>
              </w:rPr>
              <w:t xml:space="preserve">We support component 1. </w:t>
            </w:r>
          </w:p>
          <w:p w14:paraId="3297D6E4" w14:textId="77777777" w:rsidR="00616F47" w:rsidRDefault="00616F47" w:rsidP="00DC3C63">
            <w:pPr>
              <w:tabs>
                <w:tab w:val="center" w:pos="4153"/>
                <w:tab w:val="right" w:pos="8306"/>
              </w:tabs>
              <w:spacing w:after="0"/>
              <w:rPr>
                <w:rFonts w:ascii="Arial" w:hAnsi="Arial" w:cs="Arial"/>
                <w:sz w:val="20"/>
              </w:rPr>
            </w:pPr>
            <w:r>
              <w:rPr>
                <w:rFonts w:ascii="Arial" w:hAnsi="Arial" w:cs="Arial"/>
                <w:sz w:val="20"/>
              </w:rPr>
              <w:t xml:space="preserve">Per our understanding, </w:t>
            </w:r>
            <w:r w:rsidR="00DC3C63">
              <w:rPr>
                <w:rFonts w:ascii="Arial" w:hAnsi="Arial" w:cs="Arial"/>
                <w:sz w:val="20"/>
              </w:rPr>
              <w:t>t</w:t>
            </w:r>
            <w:r>
              <w:rPr>
                <w:rFonts w:ascii="Arial" w:hAnsi="Arial" w:cs="Arial"/>
                <w:sz w:val="20"/>
              </w:rPr>
              <w:t>he motivation to consider intra-slot TDM is to enable flexible configuration of unicast and multicast for a UE in INACTIVE state, rather than intra-slot broadcast in RRC_INACTIVE.</w:t>
            </w:r>
          </w:p>
          <w:p w14:paraId="44AC1EA3" w14:textId="4E1945C0" w:rsidR="00DC3C63" w:rsidRDefault="00DC3C63" w:rsidP="00DC3C63">
            <w:pPr>
              <w:tabs>
                <w:tab w:val="center" w:pos="4153"/>
                <w:tab w:val="right" w:pos="8306"/>
              </w:tabs>
              <w:spacing w:after="0"/>
              <w:rPr>
                <w:rFonts w:ascii="Arial" w:hAnsi="Arial" w:cs="Arial"/>
                <w:sz w:val="20"/>
              </w:rPr>
            </w:pPr>
            <w:r>
              <w:rPr>
                <w:rFonts w:ascii="Arial" w:hAnsi="Arial" w:cs="Arial"/>
                <w:sz w:val="20"/>
              </w:rPr>
              <w:t xml:space="preserve">The issue is simple and no need to go back to RAN2. </w:t>
            </w:r>
          </w:p>
          <w:p w14:paraId="70C5FA46" w14:textId="77777777" w:rsidR="00DC3C63" w:rsidRDefault="00DC3C63" w:rsidP="00DC3C63">
            <w:pPr>
              <w:tabs>
                <w:tab w:val="center" w:pos="4153"/>
                <w:tab w:val="right" w:pos="8306"/>
              </w:tabs>
              <w:spacing w:after="0"/>
              <w:rPr>
                <w:rFonts w:ascii="Arial" w:hAnsi="Arial" w:cs="Arial"/>
                <w:sz w:val="20"/>
              </w:rPr>
            </w:pPr>
          </w:p>
          <w:p w14:paraId="7184B939" w14:textId="48A85AF7" w:rsidR="00DC3C63" w:rsidRDefault="00DC3C63" w:rsidP="00DC3C63">
            <w:pPr>
              <w:tabs>
                <w:tab w:val="center" w:pos="4153"/>
                <w:tab w:val="right" w:pos="8306"/>
              </w:tabs>
              <w:spacing w:after="0"/>
              <w:rPr>
                <w:rFonts w:ascii="Arial" w:hAnsi="Arial" w:cs="Arial"/>
                <w:sz w:val="20"/>
              </w:rPr>
            </w:pPr>
            <w:r>
              <w:rPr>
                <w:rFonts w:ascii="Arial" w:hAnsi="Arial" w:cs="Arial"/>
                <w:sz w:val="20"/>
              </w:rPr>
              <w:t>For component 2, it would be simpler not to add additional 1bit {</w:t>
            </w:r>
            <w:proofErr w:type="spellStart"/>
            <w:proofErr w:type="gramStart"/>
            <w:r>
              <w:rPr>
                <w:rFonts w:ascii="Arial" w:hAnsi="Arial" w:cs="Arial"/>
                <w:sz w:val="20"/>
              </w:rPr>
              <w:t>yes,no</w:t>
            </w:r>
            <w:proofErr w:type="spellEnd"/>
            <w:proofErr w:type="gramEnd"/>
            <w:r>
              <w:rPr>
                <w:rFonts w:ascii="Arial" w:hAnsi="Arial" w:cs="Arial"/>
                <w:sz w:val="20"/>
              </w:rPr>
              <w:t xml:space="preserve">}, especially for RRC_INACTIVE UEs. But if we are the only company, it’s fine to go with the majority. </w:t>
            </w:r>
          </w:p>
        </w:tc>
      </w:tr>
      <w:tr w:rsidR="006D4132" w14:paraId="362D906F" w14:textId="77777777">
        <w:tc>
          <w:tcPr>
            <w:tcW w:w="505" w:type="pct"/>
          </w:tcPr>
          <w:p w14:paraId="560B0F9A" w14:textId="498AD266" w:rsidR="006D4132" w:rsidRPr="006D4132" w:rsidRDefault="006D4132" w:rsidP="00DF5A6C">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60221973" w14:textId="77777777" w:rsidR="006D4132" w:rsidRDefault="006D4132" w:rsidP="00DF5A6C">
            <w:pPr>
              <w:tabs>
                <w:tab w:val="center" w:pos="4153"/>
                <w:tab w:val="right" w:pos="8306"/>
              </w:tabs>
              <w:spacing w:after="0"/>
              <w:rPr>
                <w:rFonts w:ascii="Arial" w:hAnsi="Arial" w:cs="Arial"/>
                <w:sz w:val="20"/>
              </w:rPr>
            </w:pPr>
            <w:r>
              <w:rPr>
                <w:rFonts w:ascii="Arial" w:hAnsi="Arial" w:cs="Arial" w:hint="eastAsia"/>
                <w:sz w:val="20"/>
              </w:rPr>
              <w:t>T</w:t>
            </w:r>
            <w:r>
              <w:rPr>
                <w:rFonts w:ascii="Arial" w:hAnsi="Arial" w:cs="Arial"/>
                <w:sz w:val="20"/>
              </w:rPr>
              <w:t>hanks for further inputs.</w:t>
            </w:r>
          </w:p>
          <w:p w14:paraId="4E92A104" w14:textId="31294931" w:rsidR="006D4132" w:rsidRDefault="006D4132" w:rsidP="00DF5A6C">
            <w:pPr>
              <w:tabs>
                <w:tab w:val="center" w:pos="4153"/>
                <w:tab w:val="right" w:pos="8306"/>
              </w:tabs>
              <w:spacing w:after="0"/>
              <w:rPr>
                <w:rFonts w:ascii="Arial" w:hAnsi="Arial" w:cs="Arial"/>
                <w:sz w:val="20"/>
              </w:rPr>
            </w:pPr>
            <w:r>
              <w:rPr>
                <w:rFonts w:ascii="Arial" w:hAnsi="Arial" w:cs="Arial" w:hint="eastAsia"/>
                <w:sz w:val="20"/>
              </w:rPr>
              <w:t>A</w:t>
            </w:r>
            <w:r>
              <w:rPr>
                <w:rFonts w:ascii="Arial" w:hAnsi="Arial" w:cs="Arial"/>
                <w:sz w:val="20"/>
              </w:rPr>
              <w:t>lthough there are still different views on component 1 and 2 in 57-2, following is the proposal for online session based on the feedbacks so far.</w:t>
            </w:r>
          </w:p>
          <w:p w14:paraId="7BF98448" w14:textId="77777777" w:rsidR="006D4132" w:rsidRPr="006D4132" w:rsidRDefault="006D4132" w:rsidP="00DF5A6C">
            <w:pPr>
              <w:tabs>
                <w:tab w:val="center" w:pos="4153"/>
                <w:tab w:val="right" w:pos="8306"/>
              </w:tabs>
              <w:spacing w:after="0"/>
              <w:rPr>
                <w:rFonts w:ascii="Arial" w:hAnsi="Arial" w:cs="Arial"/>
                <w:sz w:val="20"/>
              </w:rPr>
            </w:pPr>
          </w:p>
          <w:p w14:paraId="6A38002D" w14:textId="77777777" w:rsidR="006D4132" w:rsidRDefault="006D4132" w:rsidP="006D4132">
            <w:pPr>
              <w:pStyle w:val="Heading3"/>
              <w:outlineLvl w:val="2"/>
              <w:rPr>
                <w:rFonts w:ascii="Times New Roman" w:hAnsi="Times New Roman"/>
                <w:b/>
                <w:bCs/>
                <w:lang w:val="en-US"/>
              </w:rPr>
            </w:pPr>
            <w:r>
              <w:rPr>
                <w:rFonts w:ascii="Times New Roman" w:hAnsi="Times New Roman"/>
                <w:b/>
                <w:bCs/>
                <w:highlight w:val="yellow"/>
                <w:lang w:val="en-US"/>
              </w:rPr>
              <w:t>Updated Proposal 2-1:</w:t>
            </w:r>
          </w:p>
          <w:p w14:paraId="016BA381" w14:textId="77777777" w:rsidR="006D4132" w:rsidRPr="00AD3AE6" w:rsidRDefault="006D4132" w:rsidP="006D4132">
            <w:pPr>
              <w:pStyle w:val="ListParagraph"/>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6D4132" w:rsidRPr="00AD3AE6" w14:paraId="719EFC8F" w14:textId="77777777" w:rsidTr="00E00918">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96C4795" w14:textId="77777777" w:rsidR="006D4132" w:rsidRPr="00B85B61" w:rsidRDefault="006D4132" w:rsidP="006D4132">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6A02F00D" w14:textId="77777777" w:rsidR="006D4132" w:rsidRPr="00AD3AE6" w:rsidRDefault="006D4132" w:rsidP="006D413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0DC00EA9" w14:textId="77777777" w:rsidR="006D4132" w:rsidRPr="00AD3AE6" w:rsidRDefault="006D4132" w:rsidP="006D4132">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BFF22CB" w14:textId="77777777" w:rsidR="006D4132" w:rsidRPr="00AD3AE6" w:rsidRDefault="006D4132" w:rsidP="006D4132">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5E67E78" w14:textId="77777777" w:rsidR="006D4132" w:rsidRPr="00AD3AE6" w:rsidRDefault="006D4132" w:rsidP="006D4132">
                  <w:pPr>
                    <w:pStyle w:val="TAL"/>
                    <w:rPr>
                      <w:sz w:val="16"/>
                      <w:szCs w:val="16"/>
                    </w:rPr>
                  </w:pPr>
                  <w:r>
                    <w:rPr>
                      <w:sz w:val="16"/>
                      <w:szCs w:val="16"/>
                    </w:rPr>
                    <w:t>3</w:t>
                  </w:r>
                  <w:r w:rsidRPr="00AD3AE6">
                    <w:rPr>
                      <w:sz w:val="16"/>
                      <w:szCs w:val="16"/>
                    </w:rPr>
                    <w:t>. Support of CFR configuration for multicast.</w:t>
                  </w:r>
                </w:p>
                <w:p w14:paraId="168E8854" w14:textId="77777777" w:rsidR="006D4132" w:rsidRPr="00AD3AE6" w:rsidRDefault="006D4132" w:rsidP="006D4132">
                  <w:pPr>
                    <w:pStyle w:val="TAL"/>
                    <w:rPr>
                      <w:sz w:val="16"/>
                      <w:szCs w:val="16"/>
                    </w:rPr>
                  </w:pPr>
                  <w:r>
                    <w:rPr>
                      <w:sz w:val="16"/>
                      <w:szCs w:val="16"/>
                    </w:rPr>
                    <w:t>4</w:t>
                  </w:r>
                  <w:r w:rsidRPr="00AD3AE6">
                    <w:rPr>
                      <w:sz w:val="16"/>
                      <w:szCs w:val="16"/>
                    </w:rPr>
                    <w:t>. Support of CORESET and common search space configuration for multicast.</w:t>
                  </w:r>
                </w:p>
                <w:p w14:paraId="7510C3F9" w14:textId="77777777" w:rsidR="006D4132" w:rsidRPr="00AD3AE6" w:rsidRDefault="006D4132" w:rsidP="006D4132">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1F3B0FE9" w14:textId="77777777" w:rsidR="006D4132" w:rsidRPr="00AD3AE6" w:rsidRDefault="006D4132" w:rsidP="006D4132">
                  <w:pPr>
                    <w:pStyle w:val="TAL"/>
                    <w:rPr>
                      <w:sz w:val="16"/>
                      <w:szCs w:val="16"/>
                    </w:rPr>
                  </w:pPr>
                  <w:r>
                    <w:rPr>
                      <w:sz w:val="16"/>
                      <w:szCs w:val="16"/>
                    </w:rPr>
                    <w:t>6</w:t>
                  </w:r>
                  <w:r w:rsidRPr="00AD3AE6">
                    <w:rPr>
                      <w:sz w:val="16"/>
                      <w:szCs w:val="16"/>
                    </w:rPr>
                    <w:t>. Support of DCI format 4_1 with CRC scrambled with G-RNTI for multicast MTCH.</w:t>
                  </w:r>
                </w:p>
                <w:p w14:paraId="37DE1937" w14:textId="77777777" w:rsidR="006D4132" w:rsidRPr="00AD3AE6" w:rsidRDefault="006D4132" w:rsidP="006D4132">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5E7A15F7" w14:textId="77777777" w:rsidR="006D4132" w:rsidRPr="00AD3AE6" w:rsidRDefault="006D4132" w:rsidP="006D4132">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0CA98D69" w14:textId="77777777" w:rsidR="006D4132" w:rsidRPr="00B85B61" w:rsidRDefault="006D4132" w:rsidP="006D413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5FA29F1A" w14:textId="77777777" w:rsidR="006D4132" w:rsidRPr="00AD3AE6" w:rsidRDefault="006D4132" w:rsidP="006D413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7CBE9DDB" w14:textId="77777777" w:rsidR="006D4132" w:rsidRPr="00B85B61" w:rsidRDefault="006D4132" w:rsidP="006D4132">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7BACC9A" w14:textId="77777777" w:rsidR="006D4132" w:rsidRPr="00AD3AE6" w:rsidRDefault="006D4132" w:rsidP="006D413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447F51B" w14:textId="77777777" w:rsidR="006D4132" w:rsidRPr="00AD3AE6" w:rsidRDefault="006D4132" w:rsidP="006D413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2792D963" w14:textId="77777777" w:rsidR="006D4132" w:rsidRPr="00AD3AE6" w:rsidRDefault="006D4132" w:rsidP="006D413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47AA76DE" w14:textId="77777777" w:rsidR="006D4132" w:rsidRPr="00AD3AE6" w:rsidRDefault="006D4132" w:rsidP="006D4132">
                  <w:pPr>
                    <w:pStyle w:val="TAL"/>
                    <w:rPr>
                      <w:sz w:val="16"/>
                      <w:szCs w:val="16"/>
                    </w:rPr>
                  </w:pPr>
                  <w:r w:rsidRPr="00AD3AE6">
                    <w:rPr>
                      <w:sz w:val="16"/>
                      <w:szCs w:val="16"/>
                    </w:rPr>
                    <w:t>Optional with capability signalling</w:t>
                  </w:r>
                </w:p>
              </w:tc>
            </w:tr>
            <w:tr w:rsidR="006D4132" w:rsidRPr="00AD3AE6" w14:paraId="60226A19"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7B4BF8F3" w14:textId="77777777" w:rsidR="006D4132" w:rsidRPr="00B85B61" w:rsidRDefault="006D4132" w:rsidP="006D4132">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2C9A7DFC" w14:textId="77777777" w:rsidR="006D4132" w:rsidRPr="00AD3AE6" w:rsidRDefault="006D4132" w:rsidP="006D4132">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DE00231" w14:textId="093DAD70" w:rsidR="006D4132" w:rsidRPr="00AD3AE6" w:rsidRDefault="006D4132" w:rsidP="006D4132">
                  <w:pPr>
                    <w:pStyle w:val="TAL"/>
                    <w:rPr>
                      <w:sz w:val="16"/>
                      <w:szCs w:val="16"/>
                    </w:rPr>
                  </w:pPr>
                  <w:r w:rsidRPr="00AD3AE6">
                    <w:rPr>
                      <w:sz w:val="16"/>
                      <w:szCs w:val="16"/>
                    </w:rPr>
                    <w:t xml:space="preserve">1. Support TDM between one </w:t>
                  </w:r>
                  <w:r>
                    <w:rPr>
                      <w:sz w:val="16"/>
                      <w:szCs w:val="16"/>
                    </w:rPr>
                    <w:t xml:space="preserve">unicast </w:t>
                  </w:r>
                  <w:r w:rsidRPr="00AD3AE6">
                    <w:rPr>
                      <w:sz w:val="16"/>
                      <w:szCs w:val="16"/>
                    </w:rPr>
                    <w:t xml:space="preserve">PDSCH </w:t>
                  </w:r>
                  <w:r>
                    <w:rPr>
                      <w:sz w:val="16"/>
                      <w:szCs w:val="16"/>
                    </w:rPr>
                    <w:t xml:space="preserve">(e.g., small data transmission PDSCH) </w:t>
                  </w:r>
                  <w:r w:rsidRPr="00AD3AE6">
                    <w:rPr>
                      <w:sz w:val="16"/>
                      <w:szCs w:val="16"/>
                    </w:rPr>
                    <w:t>and one group-common PDSCH for multicast in a slot.</w:t>
                  </w:r>
                </w:p>
                <w:p w14:paraId="55C0DCE1" w14:textId="77777777" w:rsidR="006D4132" w:rsidRPr="00AD3AE6" w:rsidRDefault="006D4132" w:rsidP="006D4132">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62E67DBA" w14:textId="77777777" w:rsidR="006D4132" w:rsidRPr="00446D16" w:rsidRDefault="006D4132" w:rsidP="006D4132">
                  <w:pPr>
                    <w:pStyle w:val="TAL"/>
                    <w:rPr>
                      <w:sz w:val="16"/>
                      <w:szCs w:val="16"/>
                    </w:rPr>
                  </w:pPr>
                  <w:r w:rsidRPr="00446D16">
                    <w:rPr>
                      <w:sz w:val="16"/>
                      <w:szCs w:val="16"/>
                    </w:rPr>
                    <w:t>57-1</w:t>
                  </w:r>
                </w:p>
                <w:p w14:paraId="3F72282E" w14:textId="77777777" w:rsidR="006D4132" w:rsidRPr="00446D16" w:rsidRDefault="006D4132" w:rsidP="006D4132">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197C3DDC" w14:textId="77777777" w:rsidR="006D4132" w:rsidRPr="00AD3AE6" w:rsidRDefault="006D4132" w:rsidP="006D413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4E5DEFE5" w14:textId="77777777" w:rsidR="006D4132" w:rsidRPr="00AD3AE6" w:rsidRDefault="006D4132" w:rsidP="006D4132">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C90F45" w14:textId="77777777" w:rsidR="006D4132" w:rsidRPr="00AD3AE6" w:rsidRDefault="006D4132" w:rsidP="006D413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305B6CD6" w14:textId="77777777" w:rsidR="006D4132" w:rsidRPr="00AD3AE6" w:rsidRDefault="006D4132" w:rsidP="006D413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E6B0C02" w14:textId="77777777" w:rsidR="006D4132" w:rsidRPr="00AD3AE6" w:rsidRDefault="006D4132" w:rsidP="006D4132">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2BB88065" w14:textId="77777777" w:rsidR="006D4132" w:rsidRPr="00AD3AE6" w:rsidRDefault="006D4132" w:rsidP="006D4132">
                  <w:pPr>
                    <w:pStyle w:val="TAL"/>
                    <w:rPr>
                      <w:sz w:val="16"/>
                      <w:szCs w:val="16"/>
                    </w:rPr>
                  </w:pPr>
                  <w:r w:rsidRPr="00AD3AE6">
                    <w:rPr>
                      <w:sz w:val="16"/>
                      <w:szCs w:val="16"/>
                    </w:rPr>
                    <w:t>Optional with capability signalling</w:t>
                  </w:r>
                </w:p>
              </w:tc>
            </w:tr>
          </w:tbl>
          <w:p w14:paraId="016260F0" w14:textId="52C8489A" w:rsidR="006D4132" w:rsidRDefault="006D4132" w:rsidP="00DF5A6C">
            <w:pPr>
              <w:tabs>
                <w:tab w:val="center" w:pos="4153"/>
                <w:tab w:val="right" w:pos="8306"/>
              </w:tabs>
              <w:spacing w:after="0"/>
              <w:rPr>
                <w:rFonts w:ascii="Arial" w:hAnsi="Arial" w:cs="Arial"/>
                <w:sz w:val="20"/>
              </w:rPr>
            </w:pPr>
          </w:p>
        </w:tc>
      </w:tr>
      <w:tr w:rsidR="00AB4707" w14:paraId="564D0178" w14:textId="77777777">
        <w:tc>
          <w:tcPr>
            <w:tcW w:w="505" w:type="pct"/>
          </w:tcPr>
          <w:p w14:paraId="31DB2079" w14:textId="7321CF77" w:rsidR="00AB4707" w:rsidRDefault="00AB4707" w:rsidP="00DF5A6C">
            <w:pPr>
              <w:spacing w:after="0"/>
              <w:jc w:val="both"/>
              <w:rPr>
                <w:rFonts w:eastAsiaTheme="minorEastAsia" w:hint="eastAsia"/>
                <w:szCs w:val="21"/>
              </w:rPr>
            </w:pPr>
            <w:r>
              <w:rPr>
                <w:rFonts w:eastAsiaTheme="minorEastAsia"/>
                <w:szCs w:val="21"/>
              </w:rPr>
              <w:t xml:space="preserve">Huawei, </w:t>
            </w:r>
            <w:proofErr w:type="spellStart"/>
            <w:r>
              <w:rPr>
                <w:rFonts w:eastAsiaTheme="minorEastAsia"/>
                <w:szCs w:val="21"/>
              </w:rPr>
              <w:t>HiSilicon</w:t>
            </w:r>
            <w:proofErr w:type="spellEnd"/>
          </w:p>
        </w:tc>
        <w:tc>
          <w:tcPr>
            <w:tcW w:w="4495" w:type="pct"/>
          </w:tcPr>
          <w:p w14:paraId="3E7980BF" w14:textId="30071951" w:rsidR="00AB4707" w:rsidRDefault="00AB4707" w:rsidP="00DF5A6C">
            <w:pPr>
              <w:tabs>
                <w:tab w:val="center" w:pos="4153"/>
                <w:tab w:val="right" w:pos="8306"/>
              </w:tabs>
              <w:spacing w:after="0"/>
              <w:rPr>
                <w:rFonts w:ascii="Arial" w:hAnsi="Arial" w:cs="Arial" w:hint="eastAsia"/>
                <w:sz w:val="20"/>
              </w:rPr>
            </w:pPr>
            <w:r>
              <w:rPr>
                <w:rFonts w:ascii="Arial" w:hAnsi="Arial" w:cs="Arial"/>
                <w:sz w:val="20"/>
              </w:rPr>
              <w:t xml:space="preserve">After further offline discussion, we are ok with the latest FL’s proposal. </w:t>
            </w:r>
            <w:bookmarkStart w:id="8" w:name="_GoBack"/>
            <w:bookmarkEnd w:id="8"/>
          </w:p>
        </w:tc>
      </w:tr>
    </w:tbl>
    <w:p w14:paraId="25DB73C2" w14:textId="77777777" w:rsidR="002B2D50" w:rsidRPr="00690632" w:rsidRDefault="002B2D50">
      <w:pPr>
        <w:spacing w:afterLines="50" w:after="120"/>
        <w:jc w:val="both"/>
        <w:rPr>
          <w:sz w:val="22"/>
        </w:rPr>
      </w:pPr>
    </w:p>
    <w:p w14:paraId="1A122530" w14:textId="77777777" w:rsidR="005A0414" w:rsidRPr="007D5410" w:rsidRDefault="005A0414">
      <w:pPr>
        <w:spacing w:afterLines="50" w:after="120"/>
        <w:jc w:val="both"/>
        <w:rPr>
          <w:sz w:val="22"/>
        </w:rPr>
      </w:pPr>
    </w:p>
    <w:p w14:paraId="0F20FA77" w14:textId="343C96EC" w:rsidR="009E67E1" w:rsidRDefault="00446D16" w:rsidP="009E67E1">
      <w:pPr>
        <w:pStyle w:val="Heading3"/>
        <w:rPr>
          <w:rFonts w:ascii="Times New Roman" w:hAnsi="Times New Roman"/>
          <w:b/>
          <w:bCs/>
          <w:lang w:val="en-US"/>
        </w:rPr>
      </w:pPr>
      <w:r>
        <w:rPr>
          <w:rFonts w:ascii="Times New Roman" w:hAnsi="Times New Roman"/>
          <w:b/>
          <w:bCs/>
          <w:highlight w:val="yellow"/>
          <w:lang w:val="en-US"/>
        </w:rPr>
        <w:lastRenderedPageBreak/>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Huawei, HiSilicon</w:t>
            </w:r>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Huawei, HiSilicon</w:t>
      </w:r>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F5EB" w14:textId="77777777" w:rsidR="00D809D9" w:rsidRDefault="00D809D9">
      <w:pPr>
        <w:spacing w:line="240" w:lineRule="auto"/>
      </w:pPr>
      <w:r>
        <w:separator/>
      </w:r>
    </w:p>
  </w:endnote>
  <w:endnote w:type="continuationSeparator" w:id="0">
    <w:p w14:paraId="218128E0" w14:textId="77777777" w:rsidR="00D809D9" w:rsidRDefault="00D80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A97F" w14:textId="77777777" w:rsidR="00D809D9" w:rsidRDefault="00D809D9">
      <w:pPr>
        <w:spacing w:after="0"/>
      </w:pPr>
      <w:r>
        <w:separator/>
      </w:r>
    </w:p>
  </w:footnote>
  <w:footnote w:type="continuationSeparator" w:id="0">
    <w:p w14:paraId="0FDDBAD2" w14:textId="77777777" w:rsidR="00D809D9" w:rsidRDefault="00D809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BA3"/>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58E"/>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6F47"/>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0DF"/>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32"/>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410"/>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813"/>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AA1"/>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707"/>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09D9"/>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63"/>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A6C"/>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2DDF"/>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EBBEE5C2-7253-45DC-A2F5-986D4AA6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13</Pages>
  <Words>5944</Words>
  <Characters>33885</Characters>
  <Application>Microsoft Office Word</Application>
  <DocSecurity>0</DocSecurity>
  <Lines>282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Huawei</cp:lastModifiedBy>
  <cp:revision>3</cp:revision>
  <cp:lastPrinted>2017-08-08T14:40:00Z</cp:lastPrinted>
  <dcterms:created xsi:type="dcterms:W3CDTF">2024-05-22T03:25:00Z</dcterms:created>
  <dcterms:modified xsi:type="dcterms:W3CDTF">2024-05-22T03:42:00Z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(3)tq2Wc2oAiUUSwAxGSQQhMq6MhJN2FrbBtBfb1GTaVzRKUEChABBvdW7kUQVzfgE7/xvuPadz
BSHeHsL3dymiTp/+j7Iua3+XIgRbGnERJBF0mrPp4pGVcyB4TRcZD38Ovd7EIy2owAuf6uHJ
7Nnr0A5CI3xhoTX9K4+pmQ2+UQVXHKgeusamV26+96OGqXiy/hYpDYnllO+ey5pCkQjhAT4g
EDquXk/JX/dpTgBQma</vt:lpwstr>
  </property>
  <property fmtid="{D5CDD505-2E9C-101B-9397-08002B2CF9AE}" pid="6" name="_2015_ms_pID_7253431">
    <vt:lpwstr>/B7sbbCPVjebc+f2YbGH8NHlnA1u7LjAdp4y0tYVfnS1TGc9GDZEYi
CfwHdfwhtkK8eOCSgsz5leit9TeFYYlsEpm/SwnUGZ6izJFtN6CcAhn/nb2IC+Wf+406tW9P
i2t6PoZAp0jKZnj35i1SdyPl2psqtza76R8Bq20CE6KMQzQMuKPHVVoutONkTewsJSvlna2b
gyEHVIXRUcLB2Zk2CqemmkxIqc6/OpKC+Jem</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MA==</vt:lpwstr>
  </property>
  <property fmtid="{D5CDD505-2E9C-101B-9397-08002B2CF9AE}" pid="36" name="CWM83fec73acdfd4dab933c05427cf90922">
    <vt:lpwstr>CWMMVdHo24Xt4fUnrl0kN61vn4Lu8NGkUxooLM1bAOyUVpzC9PBy5hIX1I79jhk8IpRt961Uasyn+p8J+COEic3iA==</vt:lpwstr>
  </property>
</Properties>
</file>