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57DC28DA" w:rsidR="00B2445D" w:rsidRPr="00AD490A"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w:t>
      </w:r>
      <w:r w:rsidR="006047AD">
        <w:rPr>
          <w:rFonts w:ascii="Arial" w:hAnsi="Arial" w:cs="Arial"/>
          <w:b/>
          <w:bCs/>
          <w:color w:val="000000"/>
          <w:sz w:val="24"/>
          <w:lang w:val="sv-SE"/>
        </w:rPr>
        <w:t>9</w:t>
      </w:r>
      <w:r w:rsidR="006047AD">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00E80241" w:rsidRPr="00AD490A">
        <w:rPr>
          <w:rFonts w:ascii="Arial" w:hAnsi="Arial" w:cs="Arial"/>
          <w:b/>
          <w:bCs/>
          <w:color w:val="000000" w:themeColor="text1"/>
          <w:sz w:val="24"/>
          <w:lang w:val="sv-SE"/>
        </w:rPr>
        <w:t xml:space="preserve"> </w:t>
      </w:r>
      <w:r w:rsidRPr="00AD490A">
        <w:rPr>
          <w:rFonts w:ascii="Arial" w:hAnsi="Arial" w:cs="Arial"/>
          <w:b/>
          <w:bCs/>
          <w:color w:val="000000" w:themeColor="text1"/>
          <w:sz w:val="24"/>
          <w:lang w:val="sv-SE"/>
        </w:rPr>
        <w:t>R1-</w:t>
      </w:r>
      <w:r w:rsidR="009C3A8E" w:rsidRPr="00AD490A">
        <w:rPr>
          <w:rFonts w:ascii="Arial" w:hAnsi="Arial" w:cs="Arial"/>
          <w:b/>
          <w:bCs/>
          <w:color w:val="000000" w:themeColor="text1"/>
          <w:sz w:val="24"/>
          <w:lang w:val="sv-SE"/>
        </w:rPr>
        <w:t>2410652</w:t>
      </w:r>
    </w:p>
    <w:p w14:paraId="7DF20A5B" w14:textId="40AEAB8E" w:rsidR="00021B66" w:rsidRDefault="00021B66" w:rsidP="00B2445D">
      <w:pPr>
        <w:tabs>
          <w:tab w:val="left" w:pos="7340"/>
        </w:tabs>
        <w:spacing w:line="276" w:lineRule="auto"/>
        <w:rPr>
          <w:rFonts w:ascii="Arial" w:hAnsi="Arial" w:cs="Arial"/>
          <w:b/>
          <w:bCs/>
          <w:color w:val="000000" w:themeColor="text1"/>
          <w:sz w:val="24"/>
        </w:rPr>
      </w:pPr>
      <w:r w:rsidRPr="00021B66">
        <w:rPr>
          <w:rFonts w:ascii="Arial" w:hAnsi="Arial" w:cs="Arial"/>
          <w:b/>
          <w:bCs/>
          <w:color w:val="000000" w:themeColor="text1"/>
          <w:sz w:val="24"/>
        </w:rPr>
        <w:t>Orlando, US, November 18</w:t>
      </w:r>
      <w:r w:rsidRPr="00021B66">
        <w:rPr>
          <w:rFonts w:ascii="Arial" w:hAnsi="Arial" w:cs="Arial"/>
          <w:b/>
          <w:bCs/>
          <w:color w:val="000000" w:themeColor="text1"/>
          <w:sz w:val="24"/>
          <w:vertAlign w:val="superscript"/>
        </w:rPr>
        <w:t>th</w:t>
      </w:r>
      <w:r>
        <w:rPr>
          <w:rFonts w:ascii="Arial" w:hAnsi="Arial" w:cs="Arial"/>
          <w:b/>
          <w:bCs/>
          <w:color w:val="000000" w:themeColor="text1"/>
          <w:sz w:val="24"/>
        </w:rPr>
        <w:t xml:space="preserve"> </w:t>
      </w:r>
      <w:r w:rsidRPr="00021B66">
        <w:rPr>
          <w:rFonts w:ascii="Arial" w:hAnsi="Arial" w:cs="Arial"/>
          <w:b/>
          <w:bCs/>
          <w:color w:val="000000" w:themeColor="text1"/>
          <w:sz w:val="24"/>
        </w:rPr>
        <w:t>– 22</w:t>
      </w:r>
      <w:r w:rsidRPr="00021B66">
        <w:rPr>
          <w:rFonts w:ascii="Arial" w:hAnsi="Arial" w:cs="Arial"/>
          <w:b/>
          <w:bCs/>
          <w:color w:val="000000" w:themeColor="text1"/>
          <w:sz w:val="24"/>
          <w:vertAlign w:val="superscript"/>
        </w:rPr>
        <w:t>nd</w:t>
      </w:r>
      <w:r w:rsidRPr="00021B66">
        <w:rPr>
          <w:rFonts w:ascii="Arial" w:hAnsi="Arial" w:cs="Arial"/>
          <w:b/>
          <w:bCs/>
          <w:color w:val="000000" w:themeColor="text1"/>
          <w:sz w:val="24"/>
        </w:rPr>
        <w:t>, 2024</w:t>
      </w:r>
    </w:p>
    <w:p w14:paraId="2413C3D0" w14:textId="498444BC" w:rsidR="00B2445D" w:rsidRDefault="00B2445D" w:rsidP="00021B66">
      <w:pPr>
        <w:tabs>
          <w:tab w:val="left" w:pos="7340"/>
        </w:tabs>
        <w:spacing w:line="276" w:lineRule="auto"/>
        <w:rPr>
          <w:rFonts w:ascii="Arial" w:hAnsi="Arial" w:cs="Arial"/>
          <w:b/>
          <w:bCs/>
        </w:rPr>
      </w:pPr>
    </w:p>
    <w:p w14:paraId="254BD55C" w14:textId="12E61BCF"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BB1A5A">
        <w:rPr>
          <w:rFonts w:ascii="Arial" w:hAnsi="Arial" w:cs="Arial"/>
        </w:rPr>
        <w:t>7</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bookmarkStart w:id="3" w:name="OLE_LINK71"/>
      <w:r>
        <w:rPr>
          <w:rFonts w:ascii="Arial" w:hAnsi="Arial" w:cs="Arial"/>
        </w:rPr>
        <w:t>Moderator (MediaTek Inc.)</w:t>
      </w:r>
      <w:bookmarkEnd w:id="3"/>
    </w:p>
    <w:p w14:paraId="161AC307" w14:textId="3903D367" w:rsidR="00B2445D" w:rsidRDefault="00B2445D" w:rsidP="00CF386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bookmarkStart w:id="4" w:name="OLE_LINK32"/>
      <w:r w:rsidR="00BB1A5A" w:rsidRPr="00BB1A5A">
        <w:rPr>
          <w:rFonts w:ascii="Arial" w:hAnsi="Arial" w:cs="Arial"/>
        </w:rPr>
        <w:t xml:space="preserve">Summary on </w:t>
      </w:r>
      <w:bookmarkStart w:id="5" w:name="OLE_LINK17"/>
      <w:r w:rsidR="00BB1A5A" w:rsidRPr="00BB1A5A">
        <w:rPr>
          <w:rFonts w:ascii="Arial" w:hAnsi="Arial" w:cs="Arial"/>
        </w:rPr>
        <w:t>PDSCH reception scheduled by CORESET not following the unified TCI state</w:t>
      </w:r>
      <w:bookmarkEnd w:id="4"/>
      <w:bookmarkEnd w:id="5"/>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6" w:name="DocumentFor"/>
      <w:bookmarkEnd w:id="6"/>
      <w:r>
        <w:rPr>
          <w:rFonts w:ascii="Arial" w:hAnsi="Arial" w:cs="Arial"/>
        </w:rPr>
        <w:t>Discussion and Decision</w:t>
      </w:r>
    </w:p>
    <w:bookmarkEnd w:id="0"/>
    <w:p w14:paraId="12419B1B" w14:textId="77777777" w:rsidR="00B2445D" w:rsidRPr="008A2200" w:rsidRDefault="00B2445D" w:rsidP="00B2445D">
      <w:pPr>
        <w:pStyle w:val="1"/>
        <w:numPr>
          <w:ilvl w:val="0"/>
          <w:numId w:val="2"/>
        </w:numPr>
        <w:jc w:val="both"/>
        <w:rPr>
          <w:rFonts w:eastAsia="新細明體" w:cs="Arial"/>
          <w:b/>
          <w:bCs/>
          <w:sz w:val="28"/>
          <w:lang w:val="en-US" w:eastAsia="zh-TW"/>
        </w:rPr>
      </w:pPr>
      <w:r w:rsidRPr="008A2200">
        <w:rPr>
          <w:rFonts w:eastAsia="新細明體" w:cs="Arial"/>
          <w:b/>
          <w:bCs/>
          <w:sz w:val="28"/>
          <w:lang w:val="en-US" w:eastAsia="zh-TW"/>
        </w:rPr>
        <w:t>Introduction</w:t>
      </w:r>
    </w:p>
    <w:p w14:paraId="59DBD7DF" w14:textId="15533C90" w:rsidR="00BB2BBE" w:rsidRPr="00195447" w:rsidRDefault="00F3414A" w:rsidP="00195447">
      <w:pPr>
        <w:suppressAutoHyphens w:val="0"/>
        <w:spacing w:before="240" w:after="0" w:line="276" w:lineRule="auto"/>
        <w:jc w:val="both"/>
        <w:rPr>
          <w:rFonts w:ascii="Times New Roman" w:eastAsia="SimSun" w:hAnsi="Times New Roman" w:cs="Times New Roman"/>
          <w:bCs/>
        </w:rPr>
      </w:pPr>
      <w:r w:rsidRPr="00195447">
        <w:rPr>
          <w:rFonts w:ascii="Times New Roman" w:eastAsia="SimSun" w:hAnsi="Times New Roman" w:cs="Times New Roman"/>
          <w:bCs/>
        </w:rPr>
        <w:t>In RAN1#118bis, there were offline/online discussions on QCL assumption for PDSCH reception scheduled by PDCCH in CORESET not following unified TCI state [1]. However, due to the divergence of companies’ views, no final decision was reached in RAN1#118bis, and, per Mr. Chair’s guidance, this issue will be further discussed in RAN1#119.</w:t>
      </w:r>
    </w:p>
    <w:p w14:paraId="16E4FFF8" w14:textId="782E598B" w:rsidR="00F3414A" w:rsidRPr="00195447" w:rsidRDefault="00F3414A" w:rsidP="00F3414A">
      <w:pPr>
        <w:suppressAutoHyphens w:val="0"/>
        <w:spacing w:before="240" w:line="276" w:lineRule="auto"/>
        <w:jc w:val="both"/>
        <w:rPr>
          <w:rFonts w:ascii="Times New Roman" w:eastAsia="SimSun" w:hAnsi="Times New Roman" w:cs="Times New Roman"/>
          <w:bCs/>
        </w:rPr>
      </w:pPr>
      <w:r w:rsidRPr="00195447">
        <w:rPr>
          <w:rFonts w:ascii="Times New Roman" w:eastAsia="SimSun" w:hAnsi="Times New Roman" w:cs="Times New Roman"/>
          <w:bCs/>
        </w:rPr>
        <w:t>According to the contributions to this issue, three alternatives are proposed as follows:</w:t>
      </w:r>
    </w:p>
    <w:tbl>
      <w:tblPr>
        <w:tblStyle w:val="ab"/>
        <w:tblW w:w="0" w:type="auto"/>
        <w:tblLook w:val="04A0" w:firstRow="1" w:lastRow="0" w:firstColumn="1" w:lastColumn="0" w:noHBand="0" w:noVBand="1"/>
      </w:tblPr>
      <w:tblGrid>
        <w:gridCol w:w="10070"/>
      </w:tblGrid>
      <w:tr w:rsidR="00195447" w14:paraId="4C8366A0" w14:textId="77777777" w:rsidTr="00195447">
        <w:tc>
          <w:tcPr>
            <w:tcW w:w="10070" w:type="dxa"/>
          </w:tcPr>
          <w:p w14:paraId="57387AE0" w14:textId="77777777" w:rsidR="00195447" w:rsidRPr="00195447" w:rsidRDefault="00195447" w:rsidP="00195447">
            <w:pPr>
              <w:suppressAutoHyphens w:val="0"/>
              <w:spacing w:after="0" w:line="276" w:lineRule="auto"/>
              <w:jc w:val="both"/>
              <w:rPr>
                <w:rFonts w:ascii="Times New Roman" w:hAnsi="Times New Roman" w:cs="Times New Roman"/>
                <w:bCs/>
                <w:iCs/>
                <w:sz w:val="20"/>
                <w:szCs w:val="20"/>
              </w:rPr>
            </w:pPr>
            <w:r w:rsidRPr="00195447">
              <w:rPr>
                <w:rFonts w:ascii="Times New Roman" w:hAnsi="Times New Roman" w:cs="Times New Roman"/>
                <w:iCs/>
                <w:sz w:val="20"/>
                <w:szCs w:val="20"/>
              </w:rPr>
              <w:t xml:space="preserve">For a PDSCH reception scheduled by a CORESET not following the indicated unified TCI state with the scheduling offset equal to or greater than </w:t>
            </w:r>
            <w:proofErr w:type="spellStart"/>
            <w:r w:rsidRPr="00195447">
              <w:rPr>
                <w:rFonts w:ascii="Times New Roman" w:hAnsi="Times New Roman" w:cs="Times New Roman"/>
                <w:i/>
                <w:sz w:val="20"/>
                <w:szCs w:val="20"/>
              </w:rPr>
              <w:t>timeDurationForQCL</w:t>
            </w:r>
            <w:proofErr w:type="spellEnd"/>
            <w:r w:rsidRPr="00195447">
              <w:rPr>
                <w:rFonts w:ascii="Times New Roman" w:hAnsi="Times New Roman" w:cs="Times New Roman"/>
                <w:iCs/>
                <w:sz w:val="20"/>
                <w:szCs w:val="20"/>
              </w:rPr>
              <w:t>:</w:t>
            </w:r>
          </w:p>
          <w:p w14:paraId="0070E3C3" w14:textId="77777777" w:rsidR="00195447" w:rsidRPr="00195447" w:rsidRDefault="00195447" w:rsidP="00195447">
            <w:pPr>
              <w:spacing w:beforeLines="100" w:before="240" w:after="0" w:line="276" w:lineRule="auto"/>
              <w:rPr>
                <w:rFonts w:ascii="Times New Roman" w:eastAsia="Calibri" w:hAnsi="Times New Roman"/>
                <w:color w:val="000000" w:themeColor="text1"/>
                <w:sz w:val="20"/>
                <w:szCs w:val="20"/>
              </w:rPr>
            </w:pPr>
            <w:bookmarkStart w:id="7" w:name="OLE_LINK61"/>
            <w:bookmarkStart w:id="8" w:name="OLE_LINK2"/>
            <w:bookmarkStart w:id="9" w:name="OLE_LINK76"/>
            <w:r w:rsidRPr="00195447">
              <w:rPr>
                <w:rFonts w:ascii="Times New Roman" w:hAnsi="Times New Roman"/>
                <w:color w:val="000000" w:themeColor="text1"/>
                <w:sz w:val="20"/>
                <w:szCs w:val="20"/>
              </w:rPr>
              <w:t>Atl1 [2][3]: Regardless of the TCI field present/absent in the DL DCI, the UE applies the same QCL assumption as the one applied to the scheduling PDCCH to the corresponding PDSCH reception.</w:t>
            </w:r>
            <w:bookmarkStart w:id="10" w:name="OLE_LINK65"/>
            <w:bookmarkEnd w:id="7"/>
          </w:p>
          <w:p w14:paraId="12B3935A" w14:textId="642BD400" w:rsidR="00195447" w:rsidRPr="00195447" w:rsidRDefault="00195447" w:rsidP="00195447">
            <w:pPr>
              <w:spacing w:beforeLines="100" w:before="240" w:after="0" w:line="276" w:lineRule="auto"/>
              <w:rPr>
                <w:rFonts w:ascii="Times New Roman" w:eastAsia="Calibri" w:hAnsi="Times New Roman"/>
                <w:color w:val="000000" w:themeColor="text1"/>
                <w:sz w:val="20"/>
                <w:szCs w:val="20"/>
              </w:rPr>
            </w:pPr>
            <w:r w:rsidRPr="00195447">
              <w:rPr>
                <w:rFonts w:ascii="Times New Roman" w:hAnsi="Times New Roman"/>
                <w:color w:val="000000" w:themeColor="text1"/>
                <w:sz w:val="20"/>
                <w:szCs w:val="20"/>
              </w:rPr>
              <w:t>Alt2 [4][5][7]: Regardless of the TCI field present/absent in the DL DCI, the UE applies the unified (indicated) TCI state to the corresponding PDSCH reception.</w:t>
            </w:r>
          </w:p>
          <w:p w14:paraId="0E28AD94" w14:textId="39830912" w:rsidR="00195447" w:rsidRPr="00195447" w:rsidRDefault="00195447" w:rsidP="00195447">
            <w:pPr>
              <w:spacing w:beforeLines="100" w:before="240" w:after="0" w:line="276" w:lineRule="auto"/>
              <w:rPr>
                <w:rFonts w:ascii="Times New Roman" w:eastAsia="Batang" w:hAnsi="Times New Roman"/>
                <w:color w:val="000000" w:themeColor="text1"/>
                <w:sz w:val="20"/>
                <w:szCs w:val="20"/>
              </w:rPr>
            </w:pPr>
            <w:r w:rsidRPr="00195447">
              <w:rPr>
                <w:rFonts w:ascii="Times New Roman" w:hAnsi="Times New Roman"/>
                <w:color w:val="000000" w:themeColor="text1"/>
                <w:sz w:val="20"/>
                <w:szCs w:val="20"/>
              </w:rPr>
              <w:t>Alt3 [6]</w:t>
            </w:r>
            <w:r w:rsidRPr="00195447">
              <w:rPr>
                <w:rFonts w:ascii="Times New Roman" w:eastAsia="SimSun" w:hAnsi="Times New Roman"/>
                <w:color w:val="000000" w:themeColor="text1"/>
                <w:sz w:val="20"/>
                <w:szCs w:val="20"/>
                <w:lang w:eastAsia="en-US"/>
              </w:rPr>
              <w:t xml:space="preserve"> (note</w:t>
            </w:r>
            <w:r w:rsidRPr="00195447">
              <w:rPr>
                <w:rFonts w:ascii="Times New Roman" w:hAnsi="Times New Roman"/>
                <w:color w:val="000000" w:themeColor="text1"/>
                <w:sz w:val="20"/>
                <w:szCs w:val="20"/>
              </w:rPr>
              <w:t xml:space="preserve"> that this alternative is different from Alt3 captured in [1]</w:t>
            </w:r>
            <w:r w:rsidRPr="00195447">
              <w:rPr>
                <w:rFonts w:ascii="Times New Roman" w:eastAsia="SimSun" w:hAnsi="Times New Roman"/>
                <w:color w:val="000000" w:themeColor="text1"/>
                <w:sz w:val="20"/>
                <w:szCs w:val="20"/>
                <w:lang w:eastAsia="en-US"/>
              </w:rPr>
              <w:t>)</w:t>
            </w:r>
            <w:r w:rsidRPr="00195447">
              <w:rPr>
                <w:rFonts w:ascii="Times New Roman" w:hAnsi="Times New Roman"/>
                <w:color w:val="000000" w:themeColor="text1"/>
                <w:sz w:val="20"/>
                <w:szCs w:val="20"/>
              </w:rPr>
              <w:t>:</w:t>
            </w:r>
          </w:p>
          <w:p w14:paraId="0BF871EE" w14:textId="77777777" w:rsidR="00195447" w:rsidRPr="00195447" w:rsidRDefault="00195447" w:rsidP="00195447">
            <w:pPr>
              <w:pStyle w:val="af6"/>
              <w:numPr>
                <w:ilvl w:val="0"/>
                <w:numId w:val="24"/>
              </w:numPr>
              <w:spacing w:beforeLines="100" w:before="240" w:after="0" w:line="276" w:lineRule="auto"/>
              <w:ind w:left="454" w:hanging="283"/>
              <w:jc w:val="both"/>
              <w:rPr>
                <w:rFonts w:ascii="Times New Roman" w:hAnsi="Times New Roman"/>
                <w:color w:val="000000" w:themeColor="text1"/>
              </w:rPr>
            </w:pPr>
            <w:r w:rsidRPr="00195447">
              <w:rPr>
                <w:rFonts w:ascii="Times New Roman" w:hAnsi="Times New Roman"/>
                <w:color w:val="000000" w:themeColor="text1"/>
                <w:sz w:val="20"/>
                <w:szCs w:val="20"/>
              </w:rPr>
              <w:t>If the TCI field is present in the DL DCI, the UE applies the TCI state indicated by the TCI field of the DL DCI to the corresponding PDSCH reception, and other Rel-15 QCL rules are applied.</w:t>
            </w:r>
          </w:p>
          <w:p w14:paraId="0A5A7D3E" w14:textId="3CD9D621" w:rsidR="00195447" w:rsidRPr="00195447" w:rsidRDefault="00195447" w:rsidP="00195447">
            <w:pPr>
              <w:pStyle w:val="af6"/>
              <w:numPr>
                <w:ilvl w:val="0"/>
                <w:numId w:val="24"/>
              </w:numPr>
              <w:spacing w:beforeLines="100" w:before="240" w:after="0" w:line="276" w:lineRule="auto"/>
              <w:ind w:left="454" w:hanging="283"/>
              <w:jc w:val="both"/>
              <w:rPr>
                <w:rFonts w:ascii="Times New Roman" w:hAnsi="Times New Roman"/>
                <w:color w:val="000000" w:themeColor="text1"/>
              </w:rPr>
            </w:pPr>
            <w:r w:rsidRPr="00195447">
              <w:rPr>
                <w:rFonts w:ascii="Times New Roman" w:hAnsi="Times New Roman"/>
                <w:color w:val="000000" w:themeColor="text1"/>
                <w:sz w:val="20"/>
                <w:szCs w:val="20"/>
              </w:rPr>
              <w:t>If the TCI field is not present in the DL DCI, the UE applies the same QCL assumption as the one applied to the scheduling PDCCH to the corresponding PDSCH reception.</w:t>
            </w:r>
            <w:bookmarkEnd w:id="8"/>
            <w:bookmarkEnd w:id="9"/>
            <w:bookmarkEnd w:id="10"/>
          </w:p>
        </w:tc>
      </w:tr>
    </w:tbl>
    <w:p w14:paraId="1887F763" w14:textId="77777777" w:rsidR="00195447" w:rsidRDefault="00195447" w:rsidP="00F3414A">
      <w:pPr>
        <w:suppressAutoHyphens w:val="0"/>
        <w:spacing w:after="0" w:line="276" w:lineRule="auto"/>
        <w:jc w:val="both"/>
        <w:rPr>
          <w:rFonts w:ascii="Times New Roman" w:hAnsi="Times New Roman" w:cs="Times New Roman"/>
          <w:iCs/>
        </w:rPr>
      </w:pPr>
    </w:p>
    <w:p w14:paraId="12C6916D" w14:textId="299371F8" w:rsidR="00045590" w:rsidRPr="00195447" w:rsidRDefault="00220FC1" w:rsidP="00F3414A">
      <w:pPr>
        <w:suppressAutoHyphens w:val="0"/>
        <w:spacing w:after="0" w:line="276" w:lineRule="auto"/>
        <w:jc w:val="both"/>
        <w:rPr>
          <w:rFonts w:ascii="Times New Roman" w:eastAsia="SimSun" w:hAnsi="Times New Roman" w:cs="Times New Roman"/>
          <w:bCs/>
        </w:rPr>
      </w:pPr>
      <w:r w:rsidRPr="00195447">
        <w:rPr>
          <w:rFonts w:ascii="Times New Roman" w:eastAsia="SimSun" w:hAnsi="Times New Roman" w:cs="Times New Roman"/>
          <w:bCs/>
        </w:rPr>
        <w:t>For the discussion on this issue in this meeting, we could try to down-select one alternative from above.</w:t>
      </w:r>
    </w:p>
    <w:p w14:paraId="38DF9C9B" w14:textId="77777777" w:rsidR="00045590" w:rsidRDefault="00045590">
      <w:pPr>
        <w:suppressAutoHyphens w:val="0"/>
        <w:spacing w:after="0" w:line="240" w:lineRule="auto"/>
        <w:rPr>
          <w:rFonts w:ascii="Arial" w:eastAsia="SimSun" w:hAnsi="Arial" w:cs="Arial"/>
          <w:bCs/>
        </w:rPr>
      </w:pPr>
      <w:r>
        <w:rPr>
          <w:rFonts w:ascii="Arial" w:eastAsia="SimSun" w:hAnsi="Arial" w:cs="Arial"/>
          <w:bCs/>
        </w:rPr>
        <w:br w:type="page"/>
      </w:r>
    </w:p>
    <w:p w14:paraId="6C6F5EB2" w14:textId="4DF82A57" w:rsidR="001C438B" w:rsidRPr="008A2200" w:rsidRDefault="006C6171" w:rsidP="001C438B">
      <w:pPr>
        <w:pStyle w:val="1"/>
        <w:numPr>
          <w:ilvl w:val="0"/>
          <w:numId w:val="2"/>
        </w:numPr>
        <w:jc w:val="both"/>
        <w:rPr>
          <w:rFonts w:eastAsia="新細明體" w:cs="Arial"/>
          <w:b/>
          <w:bCs/>
          <w:sz w:val="28"/>
          <w:lang w:val="en-US" w:eastAsia="zh-TW"/>
        </w:rPr>
      </w:pPr>
      <w:bookmarkStart w:id="11" w:name="OLE_LINK18"/>
      <w:bookmarkEnd w:id="1"/>
      <w:r w:rsidRPr="008A2200">
        <w:rPr>
          <w:rFonts w:eastAsia="新細明體" w:cs="Arial" w:hint="eastAsia"/>
          <w:b/>
          <w:bCs/>
          <w:sz w:val="28"/>
          <w:lang w:val="en-US" w:eastAsia="zh-TW"/>
        </w:rPr>
        <w:lastRenderedPageBreak/>
        <w:t>D</w:t>
      </w:r>
      <w:r w:rsidRPr="008A2200">
        <w:rPr>
          <w:rFonts w:eastAsia="新細明體" w:cs="Arial"/>
          <w:b/>
          <w:bCs/>
          <w:sz w:val="28"/>
          <w:lang w:val="en-US" w:eastAsia="zh-TW"/>
        </w:rPr>
        <w:t>iscussion</w:t>
      </w:r>
    </w:p>
    <w:bookmarkEnd w:id="11"/>
    <w:p w14:paraId="64038A6A" w14:textId="7CAC0168" w:rsidR="00623286" w:rsidRDefault="00623286" w:rsidP="00623286">
      <w:pPr>
        <w:pStyle w:val="a3"/>
        <w:spacing w:before="240"/>
        <w:jc w:val="center"/>
        <w:rPr>
          <w:rFonts w:ascii="Times New Roman" w:hAnsi="Times New Roman" w:cs="Times New Roman"/>
        </w:rPr>
      </w:pPr>
      <w:r>
        <w:rPr>
          <w:rFonts w:ascii="Times New Roman" w:hAnsi="Times New Roman" w:cs="Times New Roman"/>
        </w:rPr>
        <w:t>Table 1 Questions for Discussion</w:t>
      </w:r>
    </w:p>
    <w:tbl>
      <w:tblPr>
        <w:tblStyle w:val="ab"/>
        <w:tblW w:w="10201" w:type="dxa"/>
        <w:tblLook w:val="04A0" w:firstRow="1" w:lastRow="0" w:firstColumn="1" w:lastColumn="0" w:noHBand="0" w:noVBand="1"/>
      </w:tblPr>
      <w:tblGrid>
        <w:gridCol w:w="462"/>
        <w:gridCol w:w="9739"/>
      </w:tblGrid>
      <w:tr w:rsidR="00623286" w:rsidRPr="00BB2BBE" w14:paraId="0DACDB15" w14:textId="77777777" w:rsidTr="00FF1741">
        <w:trPr>
          <w:trHeight w:val="420"/>
        </w:trPr>
        <w:tc>
          <w:tcPr>
            <w:tcW w:w="4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E1DE58" w14:textId="41C66CCD" w:rsidR="00623286" w:rsidRPr="00BB2BBE" w:rsidRDefault="00623286">
            <w:pPr>
              <w:snapToGrid w:val="0"/>
              <w:spacing w:after="0" w:line="240" w:lineRule="auto"/>
              <w:jc w:val="both"/>
              <w:rPr>
                <w:rFonts w:ascii="Times New Roman" w:hAnsi="Times New Roman" w:cs="Times New Roman"/>
                <w:b/>
                <w:sz w:val="20"/>
              </w:rPr>
            </w:pPr>
            <w:r w:rsidRPr="00BB2BBE">
              <w:rPr>
                <w:rFonts w:ascii="Times New Roman" w:hAnsi="Times New Roman" w:cs="Times New Roman" w:hint="eastAsia"/>
                <w:b/>
                <w:sz w:val="20"/>
              </w:rPr>
              <w:t>#</w:t>
            </w:r>
          </w:p>
        </w:tc>
        <w:tc>
          <w:tcPr>
            <w:tcW w:w="9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BAD5E8" w14:textId="769126B9" w:rsidR="00623286" w:rsidRPr="00BB2BBE" w:rsidRDefault="00623286">
            <w:pPr>
              <w:suppressAutoHyphens w:val="0"/>
              <w:spacing w:after="0" w:line="240" w:lineRule="auto"/>
              <w:jc w:val="both"/>
              <w:rPr>
                <w:rFonts w:ascii="Times New Roman" w:hAnsi="Times New Roman" w:cs="Times New Roman"/>
                <w:b/>
                <w:sz w:val="20"/>
                <w:lang w:eastAsia="zh-CN"/>
              </w:rPr>
            </w:pPr>
            <w:r w:rsidRPr="00BB2BBE">
              <w:rPr>
                <w:rFonts w:ascii="Times New Roman" w:hAnsi="Times New Roman" w:cs="Times New Roman" w:hint="eastAsia"/>
                <w:b/>
                <w:sz w:val="20"/>
              </w:rPr>
              <w:t>Q</w:t>
            </w:r>
            <w:r w:rsidRPr="00BB2BBE">
              <w:rPr>
                <w:rFonts w:ascii="Times New Roman" w:hAnsi="Times New Roman" w:cs="Times New Roman"/>
                <w:b/>
                <w:sz w:val="20"/>
              </w:rPr>
              <w:t>uestion</w:t>
            </w:r>
          </w:p>
        </w:tc>
      </w:tr>
      <w:tr w:rsidR="00623286" w:rsidRPr="00BB2BBE" w14:paraId="41B9063A" w14:textId="77777777" w:rsidTr="00FF1741">
        <w:trPr>
          <w:trHeight w:val="1023"/>
        </w:trPr>
        <w:tc>
          <w:tcPr>
            <w:tcW w:w="462" w:type="dxa"/>
            <w:tcBorders>
              <w:top w:val="single" w:sz="4" w:space="0" w:color="auto"/>
              <w:left w:val="single" w:sz="4" w:space="0" w:color="auto"/>
              <w:bottom w:val="single" w:sz="4" w:space="0" w:color="auto"/>
              <w:right w:val="single" w:sz="4" w:space="0" w:color="auto"/>
            </w:tcBorders>
          </w:tcPr>
          <w:p w14:paraId="3B5D7824" w14:textId="260538EE" w:rsidR="00623286" w:rsidRPr="00BB2BBE" w:rsidRDefault="00220FC1">
            <w:pPr>
              <w:snapToGrid w:val="0"/>
              <w:spacing w:after="0" w:line="240" w:lineRule="auto"/>
              <w:rPr>
                <w:rFonts w:ascii="Times New Roman" w:hAnsi="Times New Roman" w:cs="Times New Roman"/>
                <w:color w:val="000000" w:themeColor="text1"/>
                <w:sz w:val="20"/>
              </w:rPr>
            </w:pPr>
            <w:r>
              <w:rPr>
                <w:rFonts w:ascii="Times New Roman" w:hAnsi="Times New Roman" w:cs="Times New Roman" w:hint="eastAsia"/>
                <w:color w:val="000000" w:themeColor="text1"/>
                <w:sz w:val="20"/>
              </w:rPr>
              <w:t>1</w:t>
            </w:r>
          </w:p>
        </w:tc>
        <w:tc>
          <w:tcPr>
            <w:tcW w:w="9739" w:type="dxa"/>
            <w:tcBorders>
              <w:top w:val="single" w:sz="4" w:space="0" w:color="auto"/>
              <w:left w:val="single" w:sz="4" w:space="0" w:color="auto"/>
              <w:bottom w:val="single" w:sz="4" w:space="0" w:color="auto"/>
              <w:right w:val="single" w:sz="4" w:space="0" w:color="auto"/>
            </w:tcBorders>
          </w:tcPr>
          <w:p w14:paraId="3F23D672" w14:textId="3071CF09" w:rsidR="00623286" w:rsidRPr="00045590" w:rsidRDefault="00045590" w:rsidP="00045590">
            <w:pPr>
              <w:tabs>
                <w:tab w:val="left" w:pos="314"/>
                <w:tab w:val="left" w:pos="720"/>
              </w:tabs>
              <w:snapToGrid w:val="0"/>
              <w:spacing w:after="0" w:line="240" w:lineRule="auto"/>
              <w:jc w:val="both"/>
              <w:rPr>
                <w:rFonts w:ascii="Times New Roman" w:hAnsi="Times New Roman" w:cs="Times New Roman"/>
                <w:color w:val="000000" w:themeColor="text1"/>
                <w:sz w:val="20"/>
                <w:szCs w:val="20"/>
              </w:rPr>
            </w:pPr>
            <w:r w:rsidRPr="00045590">
              <w:rPr>
                <w:rFonts w:ascii="Times New Roman" w:hAnsi="Times New Roman" w:cs="Times New Roman" w:hint="eastAsia"/>
                <w:color w:val="000000" w:themeColor="text1"/>
                <w:sz w:val="20"/>
                <w:szCs w:val="20"/>
              </w:rPr>
              <w:t>Pl</w:t>
            </w:r>
            <w:r w:rsidRPr="00045590">
              <w:rPr>
                <w:rFonts w:ascii="Times New Roman" w:hAnsi="Times New Roman" w:cs="Times New Roman"/>
                <w:color w:val="000000" w:themeColor="text1"/>
                <w:sz w:val="20"/>
                <w:szCs w:val="20"/>
              </w:rPr>
              <w:t>ease share your view on which one of the</w:t>
            </w:r>
            <w:r w:rsidR="004319E4">
              <w:rPr>
                <w:rFonts w:ascii="Times New Roman" w:hAnsi="Times New Roman" w:cs="Times New Roman"/>
                <w:color w:val="000000" w:themeColor="text1"/>
                <w:sz w:val="20"/>
                <w:szCs w:val="20"/>
              </w:rPr>
              <w:t xml:space="preserve"> following</w:t>
            </w:r>
            <w:r w:rsidRPr="00045590">
              <w:rPr>
                <w:rFonts w:ascii="Times New Roman" w:hAnsi="Times New Roman" w:cs="Times New Roman"/>
                <w:color w:val="000000" w:themeColor="text1"/>
                <w:sz w:val="20"/>
                <w:szCs w:val="20"/>
              </w:rPr>
              <w:t xml:space="preserve"> alternatives should be adopted.</w:t>
            </w:r>
          </w:p>
          <w:p w14:paraId="407E704A" w14:textId="74F7D4BA" w:rsidR="00045590" w:rsidRDefault="00045590" w:rsidP="00045590">
            <w:pPr>
              <w:spacing w:beforeLines="100" w:before="240" w:line="240" w:lineRule="auto"/>
              <w:rPr>
                <w:rFonts w:ascii="Times New Roman" w:hAnsi="Times New Roman" w:cs="Times New Roman"/>
                <w:color w:val="000000" w:themeColor="text1"/>
                <w:sz w:val="20"/>
                <w:szCs w:val="20"/>
              </w:rPr>
            </w:pPr>
            <w:r w:rsidRPr="00045590">
              <w:rPr>
                <w:rFonts w:ascii="Times New Roman" w:hAnsi="Times New Roman" w:cs="Times New Roman"/>
                <w:color w:val="000000" w:themeColor="text1"/>
                <w:sz w:val="20"/>
                <w:szCs w:val="20"/>
              </w:rPr>
              <w:t>Atl1: Regardless of the TCI field present/absent in the DL DCI, the UE applies the same QCL assumption as the one applied to the scheduling PDCCH to the corresponding PDSCH reception.</w:t>
            </w:r>
          </w:p>
          <w:p w14:paraId="094245A2" w14:textId="2FD512F9" w:rsidR="004319E4" w:rsidRPr="004319E4" w:rsidRDefault="004319E4" w:rsidP="004319E4">
            <w:pPr>
              <w:pStyle w:val="af6"/>
              <w:numPr>
                <w:ilvl w:val="0"/>
                <w:numId w:val="21"/>
              </w:numPr>
              <w:spacing w:beforeLines="100" w:before="240" w:line="240" w:lineRule="auto"/>
              <w:ind w:left="842" w:hanging="123"/>
              <w:rPr>
                <w:rFonts w:ascii="Times New Roman" w:hAnsi="Times New Roman" w:cs="Times New Roman"/>
                <w:color w:val="0000FF"/>
                <w:sz w:val="18"/>
                <w:szCs w:val="18"/>
              </w:rPr>
            </w:pPr>
            <w:bookmarkStart w:id="12" w:name="OLE_LINK79"/>
            <w:r w:rsidRPr="004319E4">
              <w:rPr>
                <w:rFonts w:ascii="Times New Roman" w:eastAsia="新細明體" w:hAnsi="Times New Roman" w:cs="Times New Roman" w:hint="eastAsia"/>
                <w:color w:val="0000FF"/>
                <w:sz w:val="18"/>
                <w:szCs w:val="18"/>
                <w:lang w:eastAsia="zh-TW"/>
              </w:rPr>
              <w:t>S</w:t>
            </w:r>
            <w:r w:rsidRPr="004319E4">
              <w:rPr>
                <w:rFonts w:ascii="Times New Roman" w:eastAsia="新細明體" w:hAnsi="Times New Roman" w:cs="Times New Roman"/>
                <w:color w:val="0000FF"/>
                <w:sz w:val="18"/>
                <w:szCs w:val="18"/>
                <w:lang w:eastAsia="zh-TW"/>
              </w:rPr>
              <w:t>upport/fine</w:t>
            </w:r>
            <w:r>
              <w:rPr>
                <w:rFonts w:ascii="Times New Roman" w:eastAsia="新細明體" w:hAnsi="Times New Roman" w:cs="Times New Roman"/>
                <w:color w:val="0000FF"/>
                <w:sz w:val="18"/>
                <w:szCs w:val="18"/>
                <w:lang w:eastAsia="zh-TW"/>
              </w:rPr>
              <w:t xml:space="preserve">: </w:t>
            </w:r>
            <w:r w:rsidRPr="004319E4">
              <w:rPr>
                <w:rFonts w:ascii="Times New Roman" w:eastAsia="新細明體" w:hAnsi="Times New Roman" w:cs="Times New Roman"/>
                <w:color w:val="0000FF"/>
                <w:sz w:val="18"/>
                <w:szCs w:val="18"/>
                <w:lang w:eastAsia="zh-TW"/>
              </w:rPr>
              <w:t>M</w:t>
            </w:r>
            <w:r>
              <w:rPr>
                <w:rFonts w:ascii="Times New Roman" w:eastAsia="新細明體" w:hAnsi="Times New Roman" w:cs="Times New Roman" w:hint="eastAsia"/>
                <w:color w:val="0000FF"/>
                <w:sz w:val="18"/>
                <w:szCs w:val="18"/>
                <w:lang w:eastAsia="zh-TW"/>
              </w:rPr>
              <w:t>TK</w:t>
            </w:r>
            <w:r w:rsidRPr="004319E4">
              <w:rPr>
                <w:rFonts w:ascii="Times New Roman" w:eastAsia="新細明體" w:hAnsi="Times New Roman" w:cs="Times New Roman"/>
                <w:color w:val="0000FF"/>
                <w:sz w:val="18"/>
                <w:szCs w:val="18"/>
                <w:lang w:eastAsia="zh-TW"/>
              </w:rPr>
              <w:t>, DOCOMO, Ericsson, Huawei, Hisilicon</w:t>
            </w:r>
          </w:p>
          <w:bookmarkEnd w:id="12"/>
          <w:p w14:paraId="4DA6940F" w14:textId="3330C0D9" w:rsidR="00045590" w:rsidRDefault="00045590" w:rsidP="00045590">
            <w:pPr>
              <w:spacing w:beforeLines="100" w:before="240" w:line="240" w:lineRule="auto"/>
              <w:rPr>
                <w:rFonts w:ascii="Times New Roman" w:hAnsi="Times New Roman" w:cs="Times New Roman"/>
                <w:color w:val="000000" w:themeColor="text1"/>
                <w:sz w:val="20"/>
                <w:szCs w:val="20"/>
              </w:rPr>
            </w:pPr>
            <w:r w:rsidRPr="00045590">
              <w:rPr>
                <w:rFonts w:ascii="Times New Roman" w:hAnsi="Times New Roman" w:cs="Times New Roman"/>
                <w:color w:val="000000" w:themeColor="text1"/>
                <w:sz w:val="20"/>
                <w:szCs w:val="20"/>
              </w:rPr>
              <w:t>Alt2: Regardless of the TCI field present/absent in the DL DCI, the UE applies the unified (indicated) TCI state to the corresponding PDSCH reception.</w:t>
            </w:r>
          </w:p>
          <w:p w14:paraId="56AF253B" w14:textId="689F8BA2" w:rsidR="004319E4" w:rsidRPr="004319E4" w:rsidRDefault="004319E4" w:rsidP="004319E4">
            <w:pPr>
              <w:pStyle w:val="af6"/>
              <w:numPr>
                <w:ilvl w:val="0"/>
                <w:numId w:val="21"/>
              </w:numPr>
              <w:spacing w:beforeLines="100" w:before="240" w:line="240" w:lineRule="auto"/>
              <w:ind w:left="842" w:hanging="123"/>
              <w:rPr>
                <w:rFonts w:ascii="Times New Roman" w:eastAsia="新細明體" w:hAnsi="Times New Roman" w:cs="Times New Roman"/>
                <w:color w:val="0000FF"/>
                <w:sz w:val="18"/>
                <w:szCs w:val="18"/>
                <w:lang w:eastAsia="zh-TW"/>
              </w:rPr>
            </w:pPr>
            <w:bookmarkStart w:id="13" w:name="OLE_LINK80"/>
            <w:r w:rsidRPr="004319E4">
              <w:rPr>
                <w:rFonts w:ascii="Times New Roman" w:eastAsia="新細明體" w:hAnsi="Times New Roman" w:cs="Times New Roman"/>
                <w:color w:val="0000FF"/>
                <w:sz w:val="18"/>
                <w:szCs w:val="18"/>
                <w:lang w:eastAsia="zh-TW"/>
              </w:rPr>
              <w:t xml:space="preserve">Support/fine: </w:t>
            </w:r>
            <w:r>
              <w:rPr>
                <w:rFonts w:ascii="Times New Roman" w:eastAsia="新細明體" w:hAnsi="Times New Roman" w:cs="Times New Roman" w:hint="eastAsia"/>
                <w:color w:val="0000FF"/>
                <w:sz w:val="18"/>
                <w:szCs w:val="18"/>
                <w:lang w:eastAsia="zh-TW"/>
              </w:rPr>
              <w:t>Sa</w:t>
            </w:r>
            <w:r>
              <w:rPr>
                <w:rFonts w:ascii="Times New Roman" w:eastAsia="新細明體" w:hAnsi="Times New Roman" w:cs="Times New Roman"/>
                <w:color w:val="0000FF"/>
                <w:sz w:val="18"/>
                <w:szCs w:val="18"/>
                <w:lang w:eastAsia="zh-TW"/>
              </w:rPr>
              <w:t>msung, ZTE</w:t>
            </w:r>
          </w:p>
          <w:bookmarkEnd w:id="13"/>
          <w:p w14:paraId="0A8AE0BD" w14:textId="5C20E4E0" w:rsidR="00045590" w:rsidRPr="00045590" w:rsidRDefault="00045590" w:rsidP="00045590">
            <w:pPr>
              <w:spacing w:beforeLines="100" w:before="240" w:line="240" w:lineRule="auto"/>
              <w:rPr>
                <w:rFonts w:ascii="Times New Roman" w:eastAsia="Batang" w:hAnsi="Times New Roman" w:cs="Times New Roman"/>
                <w:color w:val="000000" w:themeColor="text1"/>
                <w:sz w:val="20"/>
                <w:szCs w:val="20"/>
              </w:rPr>
            </w:pPr>
            <w:r w:rsidRPr="00045590">
              <w:rPr>
                <w:rFonts w:ascii="Times New Roman" w:hAnsi="Times New Roman" w:cs="Times New Roman"/>
                <w:color w:val="000000" w:themeColor="text1"/>
                <w:sz w:val="20"/>
                <w:szCs w:val="20"/>
              </w:rPr>
              <w:t>Alt3</w:t>
            </w:r>
            <w:r>
              <w:rPr>
                <w:rFonts w:ascii="Times New Roman" w:hAnsi="Times New Roman" w:cs="Times New Roman"/>
                <w:color w:val="000000" w:themeColor="text1"/>
                <w:sz w:val="20"/>
                <w:szCs w:val="20"/>
              </w:rPr>
              <w:t>:</w:t>
            </w:r>
            <w:r>
              <w:rPr>
                <w:rFonts w:ascii="Times New Roman" w:hAnsi="Times New Roman" w:cs="Times New Roman" w:hint="eastAsia"/>
                <w:color w:val="000000" w:themeColor="text1"/>
                <w:sz w:val="20"/>
                <w:szCs w:val="20"/>
              </w:rPr>
              <w:t xml:space="preserve"> N</w:t>
            </w:r>
            <w:r w:rsidRPr="00045590">
              <w:rPr>
                <w:rFonts w:ascii="Times New Roman" w:eastAsia="SimSun" w:hAnsi="Times New Roman" w:cs="Times New Roman"/>
                <w:color w:val="000000" w:themeColor="text1"/>
                <w:sz w:val="20"/>
                <w:szCs w:val="20"/>
                <w:lang w:eastAsia="en-US"/>
              </w:rPr>
              <w:t>ote</w:t>
            </w:r>
            <w:r w:rsidRPr="00045590">
              <w:rPr>
                <w:rFonts w:ascii="Times New Roman" w:hAnsi="Times New Roman" w:cs="Times New Roman"/>
                <w:color w:val="000000" w:themeColor="text1"/>
                <w:sz w:val="20"/>
                <w:szCs w:val="20"/>
              </w:rPr>
              <w:t xml:space="preserve"> that this alternative is different from Alt3 captured in [1]</w:t>
            </w:r>
          </w:p>
          <w:p w14:paraId="0CDC6B9C" w14:textId="77777777" w:rsidR="00045590" w:rsidRPr="00045590" w:rsidRDefault="00045590" w:rsidP="00045590">
            <w:pPr>
              <w:pStyle w:val="af6"/>
              <w:numPr>
                <w:ilvl w:val="1"/>
                <w:numId w:val="15"/>
              </w:numPr>
              <w:spacing w:beforeLines="100" w:before="240" w:line="240" w:lineRule="auto"/>
              <w:ind w:leftChars="168" w:left="852" w:hanging="482"/>
              <w:jc w:val="both"/>
              <w:rPr>
                <w:rFonts w:ascii="Times New Roman" w:hAnsi="Times New Roman" w:cs="Times New Roman"/>
                <w:color w:val="000000" w:themeColor="text1"/>
                <w:sz w:val="20"/>
                <w:szCs w:val="20"/>
              </w:rPr>
            </w:pPr>
            <w:r w:rsidRPr="00045590">
              <w:rPr>
                <w:rFonts w:ascii="Times New Roman" w:hAnsi="Times New Roman" w:cs="Times New Roman"/>
                <w:color w:val="000000" w:themeColor="text1"/>
                <w:sz w:val="20"/>
                <w:szCs w:val="20"/>
              </w:rPr>
              <w:t>If the TCI field is present in the DL DCI, the UE applies the TCI state indicated by the TCI field of the DL DCI to the corresponding PDSCH reception, and other Rel-15 QCL rules are applied.</w:t>
            </w:r>
          </w:p>
          <w:p w14:paraId="5A85A90C" w14:textId="198784DA" w:rsidR="004319E4" w:rsidRDefault="00045590" w:rsidP="004319E4">
            <w:pPr>
              <w:pStyle w:val="af6"/>
              <w:numPr>
                <w:ilvl w:val="1"/>
                <w:numId w:val="15"/>
              </w:numPr>
              <w:spacing w:beforeLines="100" w:before="240" w:line="240" w:lineRule="auto"/>
              <w:ind w:leftChars="168" w:left="852" w:hanging="482"/>
              <w:rPr>
                <w:rFonts w:ascii="Times New Roman" w:hAnsi="Times New Roman" w:cs="Times New Roman"/>
                <w:color w:val="000000" w:themeColor="text1"/>
                <w:sz w:val="20"/>
                <w:szCs w:val="20"/>
              </w:rPr>
            </w:pPr>
            <w:r w:rsidRPr="00045590">
              <w:rPr>
                <w:rFonts w:ascii="Times New Roman" w:hAnsi="Times New Roman" w:cs="Times New Roman"/>
                <w:color w:val="000000" w:themeColor="text1"/>
                <w:sz w:val="20"/>
                <w:szCs w:val="20"/>
              </w:rPr>
              <w:t>If the TCI field is not present in the DL DCI, the UE applies the same QCL assumption as the one applied to the scheduling PDCCH to the corresponding PDSCH reception.</w:t>
            </w:r>
          </w:p>
          <w:p w14:paraId="154E2F61" w14:textId="76F51AEA" w:rsidR="004319E4" w:rsidRPr="004319E4" w:rsidRDefault="004319E4" w:rsidP="004319E4">
            <w:pPr>
              <w:numPr>
                <w:ilvl w:val="0"/>
                <w:numId w:val="22"/>
              </w:numPr>
              <w:spacing w:beforeLines="100" w:before="240" w:line="240" w:lineRule="auto"/>
              <w:ind w:left="842" w:hanging="142"/>
              <w:contextualSpacing/>
              <w:rPr>
                <w:rFonts w:ascii="Times New Roman" w:hAnsi="Times New Roman" w:cs="Times New Roman"/>
                <w:color w:val="0000FF"/>
                <w:sz w:val="18"/>
                <w:szCs w:val="18"/>
                <w:lang w:val="en-GB"/>
              </w:rPr>
            </w:pPr>
            <w:r w:rsidRPr="004319E4">
              <w:rPr>
                <w:rFonts w:ascii="Times New Roman" w:hAnsi="Times New Roman" w:cs="Times New Roman"/>
                <w:color w:val="0000FF"/>
                <w:sz w:val="18"/>
                <w:szCs w:val="18"/>
                <w:lang w:val="en-GB"/>
              </w:rPr>
              <w:t xml:space="preserve">Support/fine: </w:t>
            </w:r>
            <w:r w:rsidR="00195447">
              <w:rPr>
                <w:rFonts w:ascii="Times New Roman" w:hAnsi="Times New Roman" w:cs="Times New Roman"/>
                <w:color w:val="0000FF"/>
                <w:sz w:val="18"/>
                <w:szCs w:val="18"/>
                <w:lang w:val="en-GB"/>
              </w:rPr>
              <w:t>vivo</w:t>
            </w:r>
          </w:p>
          <w:p w14:paraId="33DB3C12" w14:textId="77777777" w:rsidR="004319E4" w:rsidRDefault="004319E4" w:rsidP="004319E4">
            <w:pPr>
              <w:tabs>
                <w:tab w:val="left" w:pos="314"/>
                <w:tab w:val="left" w:pos="720"/>
              </w:tabs>
              <w:snapToGrid w:val="0"/>
              <w:spacing w:after="0" w:line="240" w:lineRule="auto"/>
              <w:rPr>
                <w:rFonts w:ascii="Times New Roman" w:hAnsi="Times New Roman" w:cs="Times New Roman"/>
                <w:b/>
                <w:bCs/>
                <w:color w:val="000000" w:themeColor="text1"/>
                <w:sz w:val="20"/>
                <w:highlight w:val="yellow"/>
              </w:rPr>
            </w:pPr>
          </w:p>
          <w:p w14:paraId="2AB01F99" w14:textId="59913CED" w:rsidR="00045590" w:rsidRPr="004319E4" w:rsidRDefault="004319E4" w:rsidP="004319E4">
            <w:pPr>
              <w:tabs>
                <w:tab w:val="left" w:pos="314"/>
                <w:tab w:val="left" w:pos="720"/>
              </w:tabs>
              <w:snapToGrid w:val="0"/>
              <w:spacing w:after="0" w:line="240" w:lineRule="auto"/>
              <w:rPr>
                <w:rFonts w:ascii="Times New Roman" w:hAnsi="Times New Roman" w:cs="Times New Roman"/>
                <w:b/>
                <w:bCs/>
                <w:color w:val="000000" w:themeColor="text1"/>
                <w:sz w:val="20"/>
              </w:rPr>
            </w:pPr>
            <w:r w:rsidRPr="004319E4">
              <w:rPr>
                <w:rFonts w:ascii="Times New Roman" w:hAnsi="Times New Roman" w:cs="Times New Roman" w:hint="eastAsia"/>
                <w:b/>
                <w:bCs/>
                <w:color w:val="000000" w:themeColor="text1"/>
                <w:sz w:val="20"/>
                <w:highlight w:val="yellow"/>
              </w:rPr>
              <w:t>P</w:t>
            </w:r>
            <w:r w:rsidRPr="004319E4">
              <w:rPr>
                <w:rFonts w:ascii="Times New Roman" w:hAnsi="Times New Roman" w:cs="Times New Roman"/>
                <w:b/>
                <w:bCs/>
                <w:color w:val="000000" w:themeColor="text1"/>
                <w:sz w:val="20"/>
                <w:highlight w:val="yellow"/>
              </w:rPr>
              <w:t xml:space="preserve">lease check the corresponding </w:t>
            </w:r>
            <w:r>
              <w:rPr>
                <w:rFonts w:ascii="Times New Roman" w:hAnsi="Times New Roman" w:cs="Times New Roman"/>
                <w:b/>
                <w:bCs/>
                <w:color w:val="000000" w:themeColor="text1"/>
                <w:sz w:val="20"/>
                <w:highlight w:val="yellow"/>
              </w:rPr>
              <w:t xml:space="preserve">draft </w:t>
            </w:r>
            <w:r w:rsidRPr="004319E4">
              <w:rPr>
                <w:rFonts w:ascii="Times New Roman" w:hAnsi="Times New Roman" w:cs="Times New Roman"/>
                <w:b/>
                <w:bCs/>
                <w:color w:val="000000" w:themeColor="text1"/>
                <w:sz w:val="20"/>
                <w:highlight w:val="yellow"/>
              </w:rPr>
              <w:t>CR</w:t>
            </w:r>
            <w:r>
              <w:rPr>
                <w:rFonts w:ascii="Times New Roman" w:hAnsi="Times New Roman" w:cs="Times New Roman"/>
                <w:b/>
                <w:bCs/>
                <w:color w:val="000000" w:themeColor="text1"/>
                <w:sz w:val="20"/>
                <w:highlight w:val="yellow"/>
              </w:rPr>
              <w:t>s</w:t>
            </w:r>
            <w:r w:rsidRPr="004319E4">
              <w:rPr>
                <w:rFonts w:ascii="Times New Roman" w:hAnsi="Times New Roman" w:cs="Times New Roman"/>
                <w:b/>
                <w:bCs/>
                <w:color w:val="000000" w:themeColor="text1"/>
                <w:sz w:val="20"/>
                <w:highlight w:val="yellow"/>
              </w:rPr>
              <w:t xml:space="preserve"> in Section 3</w:t>
            </w:r>
          </w:p>
        </w:tc>
      </w:tr>
    </w:tbl>
    <w:p w14:paraId="68E7DCFD" w14:textId="7BFA84C8" w:rsidR="00623286" w:rsidRDefault="00623286" w:rsidP="00623286">
      <w:pPr>
        <w:pStyle w:val="a3"/>
        <w:spacing w:before="240"/>
        <w:jc w:val="center"/>
        <w:rPr>
          <w:rFonts w:ascii="Times New Roman" w:hAnsi="Times New Roman" w:cs="Times New Roman"/>
        </w:rPr>
      </w:pPr>
      <w:r>
        <w:rPr>
          <w:rFonts w:ascii="Times New Roman" w:hAnsi="Times New Roman" w:cs="Times New Roman"/>
        </w:rPr>
        <w:t>Table 2 Company input for Questions in Table 1</w:t>
      </w:r>
    </w:p>
    <w:tbl>
      <w:tblPr>
        <w:tblStyle w:val="ab"/>
        <w:tblW w:w="10070" w:type="dxa"/>
        <w:tblLook w:val="04A0" w:firstRow="1" w:lastRow="0" w:firstColumn="1" w:lastColumn="0" w:noHBand="0" w:noVBand="1"/>
      </w:tblPr>
      <w:tblGrid>
        <w:gridCol w:w="1040"/>
        <w:gridCol w:w="1277"/>
        <w:gridCol w:w="7753"/>
      </w:tblGrid>
      <w:tr w:rsidR="004319E4" w14:paraId="5A11C841" w14:textId="77777777" w:rsidTr="004319E4">
        <w:tc>
          <w:tcPr>
            <w:tcW w:w="104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15BC57" w14:textId="77777777" w:rsidR="004319E4" w:rsidRDefault="004319E4">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118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4E3688" w14:textId="48381597" w:rsidR="004319E4" w:rsidRDefault="004319E4">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Support/fine to which Alt</w:t>
            </w:r>
          </w:p>
        </w:tc>
        <w:tc>
          <w:tcPr>
            <w:tcW w:w="784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E714B2" w14:textId="6F3AC36A" w:rsidR="004319E4" w:rsidRDefault="004319E4">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lang w:eastAsia="zh-CN"/>
              </w:rPr>
              <w:t>Comment</w:t>
            </w:r>
          </w:p>
        </w:tc>
      </w:tr>
      <w:tr w:rsidR="004319E4" w14:paraId="331E2BD1"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773C4C69" w14:textId="5E6BB4A2" w:rsidR="004319E4" w:rsidRPr="004319E4" w:rsidRDefault="004319E4">
            <w:pPr>
              <w:snapToGrid w:val="0"/>
              <w:spacing w:after="0" w:line="240" w:lineRule="auto"/>
              <w:rPr>
                <w:rFonts w:ascii="Times New Roman" w:hAnsi="Times New Roman" w:cs="Times New Roman"/>
                <w:color w:val="000000" w:themeColor="text1"/>
                <w:sz w:val="18"/>
                <w:szCs w:val="18"/>
              </w:rPr>
            </w:pPr>
            <w:r w:rsidRPr="004319E4">
              <w:rPr>
                <w:rFonts w:ascii="Times New Roman" w:hAnsi="Times New Roman" w:cs="Times New Roman" w:hint="eastAsia"/>
                <w:color w:val="0000FF"/>
                <w:sz w:val="18"/>
                <w:szCs w:val="18"/>
              </w:rPr>
              <w:t>M</w:t>
            </w:r>
            <w:r w:rsidRPr="004319E4">
              <w:rPr>
                <w:rFonts w:ascii="Times New Roman" w:hAnsi="Times New Roman" w:cs="Times New Roman"/>
                <w:color w:val="0000FF"/>
                <w:sz w:val="18"/>
                <w:szCs w:val="18"/>
              </w:rPr>
              <w:t>od</w:t>
            </w:r>
          </w:p>
        </w:tc>
        <w:tc>
          <w:tcPr>
            <w:tcW w:w="1187" w:type="dxa"/>
            <w:tcBorders>
              <w:top w:val="single" w:sz="4" w:space="0" w:color="auto"/>
              <w:left w:val="single" w:sz="4" w:space="0" w:color="auto"/>
              <w:bottom w:val="single" w:sz="4" w:space="0" w:color="auto"/>
              <w:right w:val="single" w:sz="4" w:space="0" w:color="auto"/>
            </w:tcBorders>
          </w:tcPr>
          <w:p w14:paraId="32DF9632" w14:textId="7FF5643F" w:rsidR="004319E4" w:rsidRPr="004319E4" w:rsidRDefault="004319E4" w:rsidP="004319E4">
            <w:pPr>
              <w:snapToGrid w:val="0"/>
              <w:spacing w:after="0" w:line="240" w:lineRule="auto"/>
              <w:rPr>
                <w:rFonts w:ascii="Times New Roman" w:hAnsi="Times New Roman" w:cs="Times New Roman"/>
                <w:color w:val="0000FF"/>
                <w:sz w:val="18"/>
                <w:szCs w:val="18"/>
              </w:rPr>
            </w:pPr>
            <w:r>
              <w:rPr>
                <w:rFonts w:ascii="Times New Roman" w:hAnsi="Times New Roman" w:cs="Times New Roman" w:hint="eastAsia"/>
                <w:color w:val="0000FF"/>
                <w:sz w:val="18"/>
                <w:szCs w:val="18"/>
              </w:rPr>
              <w:t>A</w:t>
            </w:r>
            <w:r>
              <w:rPr>
                <w:rFonts w:ascii="Times New Roman" w:hAnsi="Times New Roman" w:cs="Times New Roman"/>
                <w:color w:val="0000FF"/>
                <w:sz w:val="18"/>
                <w:szCs w:val="18"/>
              </w:rPr>
              <w:t>lt1/Alt2/</w:t>
            </w:r>
            <w:r>
              <w:rPr>
                <w:rFonts w:ascii="Times New Roman" w:hAnsi="Times New Roman" w:cs="Times New Roman" w:hint="eastAsia"/>
                <w:color w:val="0000FF"/>
                <w:sz w:val="18"/>
                <w:szCs w:val="18"/>
              </w:rPr>
              <w:t>A</w:t>
            </w:r>
            <w:r>
              <w:rPr>
                <w:rFonts w:ascii="Times New Roman" w:hAnsi="Times New Roman" w:cs="Times New Roman"/>
                <w:color w:val="0000FF"/>
                <w:sz w:val="18"/>
                <w:szCs w:val="18"/>
              </w:rPr>
              <w:t>lt3</w:t>
            </w:r>
          </w:p>
        </w:tc>
        <w:tc>
          <w:tcPr>
            <w:tcW w:w="7842" w:type="dxa"/>
            <w:tcBorders>
              <w:top w:val="single" w:sz="4" w:space="0" w:color="auto"/>
              <w:left w:val="single" w:sz="4" w:space="0" w:color="auto"/>
              <w:bottom w:val="single" w:sz="4" w:space="0" w:color="auto"/>
              <w:right w:val="single" w:sz="4" w:space="0" w:color="auto"/>
            </w:tcBorders>
          </w:tcPr>
          <w:p w14:paraId="101C921D" w14:textId="328EFF29" w:rsidR="004319E4" w:rsidRPr="00535888" w:rsidRDefault="004319E4" w:rsidP="004319E4">
            <w:pPr>
              <w:snapToGrid w:val="0"/>
              <w:spacing w:after="0" w:line="240" w:lineRule="auto"/>
              <w:rPr>
                <w:rFonts w:ascii="Times New Roman" w:hAnsi="Times New Roman"/>
                <w:color w:val="000000" w:themeColor="text1"/>
                <w:sz w:val="18"/>
                <w:szCs w:val="18"/>
              </w:rPr>
            </w:pPr>
            <w:r w:rsidRPr="004319E4">
              <w:rPr>
                <w:rFonts w:ascii="Times New Roman" w:hAnsi="Times New Roman" w:cs="Times New Roman" w:hint="eastAsia"/>
                <w:color w:val="0000FF"/>
                <w:sz w:val="18"/>
                <w:szCs w:val="18"/>
              </w:rPr>
              <w:t>P</w:t>
            </w:r>
            <w:r w:rsidRPr="004319E4">
              <w:rPr>
                <w:rFonts w:ascii="Times New Roman" w:hAnsi="Times New Roman" w:cs="Times New Roman"/>
                <w:color w:val="0000FF"/>
                <w:sz w:val="18"/>
                <w:szCs w:val="18"/>
              </w:rPr>
              <w:t>lease share your view on Question 1</w:t>
            </w:r>
          </w:p>
        </w:tc>
      </w:tr>
      <w:tr w:rsidR="004319E4" w14:paraId="00BD8F36"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2EBFE92A" w14:textId="589B1AEC" w:rsidR="004319E4" w:rsidRPr="00B27788" w:rsidRDefault="001D7846">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Google</w:t>
            </w:r>
          </w:p>
        </w:tc>
        <w:tc>
          <w:tcPr>
            <w:tcW w:w="1187" w:type="dxa"/>
            <w:tcBorders>
              <w:top w:val="single" w:sz="4" w:space="0" w:color="auto"/>
              <w:left w:val="single" w:sz="4" w:space="0" w:color="auto"/>
              <w:bottom w:val="single" w:sz="4" w:space="0" w:color="auto"/>
              <w:right w:val="single" w:sz="4" w:space="0" w:color="auto"/>
            </w:tcBorders>
          </w:tcPr>
          <w:p w14:paraId="62BAA252" w14:textId="6D089AA4" w:rsidR="004319E4" w:rsidRPr="00B27788" w:rsidRDefault="001D7846" w:rsidP="00F03CB7">
            <w:pPr>
              <w:spacing w:after="0" w:line="240" w:lineRule="auto"/>
              <w:jc w:val="both"/>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Alt2</w:t>
            </w:r>
          </w:p>
        </w:tc>
        <w:tc>
          <w:tcPr>
            <w:tcW w:w="7842" w:type="dxa"/>
            <w:tcBorders>
              <w:top w:val="single" w:sz="4" w:space="0" w:color="auto"/>
              <w:left w:val="single" w:sz="4" w:space="0" w:color="auto"/>
              <w:bottom w:val="single" w:sz="4" w:space="0" w:color="auto"/>
              <w:right w:val="single" w:sz="4" w:space="0" w:color="auto"/>
            </w:tcBorders>
          </w:tcPr>
          <w:p w14:paraId="33B3A5A2" w14:textId="77777777" w:rsidR="000310A4" w:rsidRDefault="001D7846" w:rsidP="00F03CB7">
            <w:pPr>
              <w:spacing w:after="0" w:line="240" w:lineRule="auto"/>
              <w:jc w:val="both"/>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 xml:space="preserve">Though sharing motivation of Alt1, we think Alt2 is a better way to go. </w:t>
            </w:r>
          </w:p>
          <w:p w14:paraId="4AD4CC6B" w14:textId="77777777" w:rsidR="000310A4" w:rsidRDefault="000310A4" w:rsidP="00F03CB7">
            <w:pPr>
              <w:spacing w:after="0" w:line="240" w:lineRule="auto"/>
              <w:jc w:val="both"/>
              <w:rPr>
                <w:rFonts w:ascii="Times New Roman" w:eastAsiaTheme="minorEastAsia" w:hAnsi="Times New Roman" w:cs="Times New Roman"/>
                <w:color w:val="000000" w:themeColor="text1"/>
                <w:sz w:val="18"/>
                <w:szCs w:val="18"/>
                <w:lang w:eastAsia="ko-KR"/>
              </w:rPr>
            </w:pPr>
          </w:p>
          <w:p w14:paraId="1360B99E" w14:textId="068BD214" w:rsidR="004319E4" w:rsidRPr="00B27788" w:rsidRDefault="001D7846" w:rsidP="00F03CB7">
            <w:pPr>
              <w:spacing w:after="0" w:line="240" w:lineRule="auto"/>
              <w:jc w:val="both"/>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 xml:space="preserve">We note that for Rel-18, UE also uses the indicated TCI state </w:t>
            </w:r>
            <w:r w:rsidR="00197278">
              <w:rPr>
                <w:rFonts w:ascii="Times New Roman" w:eastAsiaTheme="minorEastAsia" w:hAnsi="Times New Roman" w:cs="Times New Roman"/>
                <w:color w:val="000000" w:themeColor="text1"/>
                <w:sz w:val="18"/>
                <w:szCs w:val="18"/>
                <w:lang w:eastAsia="ko-KR"/>
              </w:rPr>
              <w:t xml:space="preserve">(first or second) </w:t>
            </w:r>
            <w:r>
              <w:rPr>
                <w:rFonts w:ascii="Times New Roman" w:eastAsiaTheme="minorEastAsia" w:hAnsi="Times New Roman" w:cs="Times New Roman"/>
                <w:color w:val="000000" w:themeColor="text1"/>
                <w:sz w:val="18"/>
                <w:szCs w:val="18"/>
                <w:lang w:eastAsia="ko-KR"/>
              </w:rPr>
              <w:t xml:space="preserve">to receive broadcast signal, when the </w:t>
            </w:r>
            <w:r w:rsidR="00197278">
              <w:rPr>
                <w:rFonts w:ascii="Times New Roman" w:eastAsiaTheme="minorEastAsia" w:hAnsi="Times New Roman" w:cs="Times New Roman"/>
                <w:color w:val="000000" w:themeColor="text1"/>
                <w:sz w:val="18"/>
                <w:szCs w:val="18"/>
                <w:lang w:eastAsia="ko-KR"/>
              </w:rPr>
              <w:t>scheduling</w:t>
            </w:r>
            <w:r>
              <w:rPr>
                <w:rFonts w:ascii="Times New Roman" w:eastAsiaTheme="minorEastAsia" w:hAnsi="Times New Roman" w:cs="Times New Roman"/>
                <w:color w:val="000000" w:themeColor="text1"/>
                <w:sz w:val="18"/>
                <w:szCs w:val="18"/>
                <w:lang w:eastAsia="ko-KR"/>
              </w:rPr>
              <w:t xml:space="preserve"> offset is above threshold. It would not be a perfect solution. But unless companies have the consensus to modify Rel-18 behavior as well, otherwise, we do not see why UE behavior would be different under the same scenario. </w:t>
            </w:r>
          </w:p>
        </w:tc>
      </w:tr>
      <w:tr w:rsidR="004319E4" w14:paraId="756A688F"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5910526D" w14:textId="7D1628F0" w:rsidR="004319E4" w:rsidRPr="00FF1741" w:rsidRDefault="009A0DB4">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ZTE</w:t>
            </w:r>
          </w:p>
        </w:tc>
        <w:tc>
          <w:tcPr>
            <w:tcW w:w="1187" w:type="dxa"/>
            <w:tcBorders>
              <w:top w:val="single" w:sz="4" w:space="0" w:color="auto"/>
              <w:left w:val="single" w:sz="4" w:space="0" w:color="auto"/>
              <w:bottom w:val="single" w:sz="4" w:space="0" w:color="auto"/>
              <w:right w:val="single" w:sz="4" w:space="0" w:color="auto"/>
            </w:tcBorders>
          </w:tcPr>
          <w:p w14:paraId="5BB86E5B" w14:textId="6AEBC0A1" w:rsidR="004319E4" w:rsidRPr="006812F6" w:rsidRDefault="009A0DB4" w:rsidP="006812F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w:t>
            </w:r>
            <w:r>
              <w:rPr>
                <w:rFonts w:ascii="DengXian" w:eastAsia="DengXian" w:hAnsi="DengXian" w:cs="Times New Roman" w:hint="eastAsia"/>
                <w:color w:val="000000" w:themeColor="text1"/>
                <w:sz w:val="18"/>
                <w:szCs w:val="18"/>
                <w:lang w:eastAsia="zh-CN"/>
              </w:rPr>
              <w:t>l</w:t>
            </w:r>
            <w:r>
              <w:rPr>
                <w:rFonts w:ascii="Times New Roman" w:hAnsi="Times New Roman" w:cs="Times New Roman"/>
                <w:color w:val="000000" w:themeColor="text1"/>
                <w:sz w:val="18"/>
                <w:szCs w:val="18"/>
              </w:rPr>
              <w:t>t2</w:t>
            </w:r>
          </w:p>
        </w:tc>
        <w:tc>
          <w:tcPr>
            <w:tcW w:w="7842" w:type="dxa"/>
            <w:tcBorders>
              <w:top w:val="single" w:sz="4" w:space="0" w:color="auto"/>
              <w:left w:val="single" w:sz="4" w:space="0" w:color="auto"/>
              <w:bottom w:val="single" w:sz="4" w:space="0" w:color="auto"/>
              <w:right w:val="single" w:sz="4" w:space="0" w:color="auto"/>
            </w:tcBorders>
          </w:tcPr>
          <w:p w14:paraId="5A9F3625" w14:textId="77777777" w:rsidR="008346B9" w:rsidRDefault="009A0DB4" w:rsidP="003D02C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Besides for the reason raised in our contribution </w:t>
            </w:r>
            <w:r w:rsidRPr="009A0DB4">
              <w:rPr>
                <w:rFonts w:ascii="Times New Roman" w:hAnsi="Times New Roman" w:cs="Times New Roman"/>
                <w:color w:val="000000" w:themeColor="text1"/>
                <w:sz w:val="18"/>
                <w:szCs w:val="18"/>
              </w:rPr>
              <w:t>R1-2410120</w:t>
            </w:r>
            <w:r w:rsidR="008346B9">
              <w:rPr>
                <w:rFonts w:ascii="Times New Roman" w:hAnsi="Times New Roman" w:cs="Times New Roman"/>
                <w:color w:val="000000" w:themeColor="text1"/>
                <w:sz w:val="18"/>
                <w:szCs w:val="18"/>
              </w:rPr>
              <w:t xml:space="preserve">: </w:t>
            </w:r>
            <w:r w:rsidR="008346B9" w:rsidRPr="008346B9">
              <w:rPr>
                <w:rFonts w:ascii="Times New Roman" w:hAnsi="Times New Roman" w:cs="Times New Roman"/>
                <w:color w:val="000000" w:themeColor="text1"/>
                <w:sz w:val="18"/>
                <w:szCs w:val="18"/>
              </w:rPr>
              <w:t>a basic principle for unified TCI operation</w:t>
            </w:r>
            <w:r w:rsidR="008346B9">
              <w:rPr>
                <w:rFonts w:ascii="Times New Roman" w:hAnsi="Times New Roman" w:cs="Times New Roman"/>
                <w:color w:val="000000" w:themeColor="text1"/>
                <w:sz w:val="18"/>
                <w:szCs w:val="18"/>
              </w:rPr>
              <w:t xml:space="preserve">, </w:t>
            </w:r>
            <w:r w:rsidR="008346B9" w:rsidRPr="008346B9">
              <w:rPr>
                <w:rFonts w:ascii="Times New Roman" w:hAnsi="Times New Roman" w:cs="Times New Roman"/>
                <w:color w:val="000000" w:themeColor="text1"/>
                <w:sz w:val="18"/>
                <w:szCs w:val="18"/>
              </w:rPr>
              <w:t>avoiding complicated rule of beam collision</w:t>
            </w:r>
            <w:r w:rsidR="008346B9">
              <w:rPr>
                <w:rFonts w:ascii="Times New Roman" w:hAnsi="Times New Roman" w:cs="Times New Roman"/>
                <w:color w:val="000000" w:themeColor="text1"/>
                <w:sz w:val="18"/>
                <w:szCs w:val="18"/>
              </w:rPr>
              <w:t>, etc</w:t>
            </w:r>
            <w:r w:rsidR="008346B9" w:rsidRPr="008346B9">
              <w:rPr>
                <w:rFonts w:ascii="Times New Roman" w:hAnsi="Times New Roman" w:cs="Times New Roman"/>
                <w:color w:val="000000" w:themeColor="text1"/>
                <w:sz w:val="18"/>
                <w:szCs w:val="18"/>
              </w:rPr>
              <w:t>.</w:t>
            </w:r>
            <w:r>
              <w:rPr>
                <w:rFonts w:ascii="Times New Roman" w:hAnsi="Times New Roman" w:cs="Times New Roman"/>
                <w:color w:val="000000" w:themeColor="text1"/>
                <w:sz w:val="18"/>
                <w:szCs w:val="18"/>
              </w:rPr>
              <w:t>, one more thing</w:t>
            </w:r>
            <w:r w:rsidR="008346B9">
              <w:rPr>
                <w:rFonts w:ascii="Times New Roman" w:hAnsi="Times New Roman" w:cs="Times New Roman"/>
                <w:color w:val="000000" w:themeColor="text1"/>
                <w:sz w:val="18"/>
                <w:szCs w:val="18"/>
              </w:rPr>
              <w:t xml:space="preserve"> is highlighted</w:t>
            </w:r>
            <w:r>
              <w:rPr>
                <w:rFonts w:ascii="Times New Roman" w:hAnsi="Times New Roman" w:cs="Times New Roman"/>
                <w:color w:val="000000" w:themeColor="text1"/>
                <w:sz w:val="18"/>
                <w:szCs w:val="18"/>
              </w:rPr>
              <w:t xml:space="preserve">: </w:t>
            </w:r>
          </w:p>
          <w:p w14:paraId="73E10324" w14:textId="77777777" w:rsidR="008346B9" w:rsidRDefault="009A0DB4" w:rsidP="008346B9">
            <w:pPr>
              <w:pStyle w:val="af6"/>
              <w:numPr>
                <w:ilvl w:val="1"/>
                <w:numId w:val="15"/>
              </w:numPr>
              <w:overflowPunct w:val="0"/>
              <w:autoSpaceDE w:val="0"/>
              <w:autoSpaceDN w:val="0"/>
              <w:adjustRightInd w:val="0"/>
              <w:spacing w:after="0" w:line="240" w:lineRule="auto"/>
              <w:ind w:left="810"/>
              <w:textAlignment w:val="baseline"/>
              <w:rPr>
                <w:rFonts w:ascii="Times New Roman" w:hAnsi="Times New Roman" w:cs="Times New Roman"/>
                <w:color w:val="000000" w:themeColor="text1"/>
                <w:sz w:val="18"/>
                <w:szCs w:val="18"/>
              </w:rPr>
            </w:pPr>
            <w:r w:rsidRPr="008346B9">
              <w:rPr>
                <w:rFonts w:ascii="Times New Roman" w:hAnsi="Times New Roman" w:cs="Times New Roman"/>
                <w:color w:val="000000" w:themeColor="text1"/>
                <w:sz w:val="18"/>
                <w:szCs w:val="18"/>
              </w:rPr>
              <w:t xml:space="preserve">for current FR2 UE, the typical UE capability signaling </w:t>
            </w:r>
            <w:proofErr w:type="spellStart"/>
            <w:r w:rsidRPr="008346B9">
              <w:rPr>
                <w:rFonts w:ascii="Times New Roman" w:hAnsi="Times New Roman" w:cs="Times New Roman"/>
                <w:i/>
                <w:color w:val="000000" w:themeColor="text1"/>
                <w:sz w:val="18"/>
                <w:szCs w:val="18"/>
              </w:rPr>
              <w:t>timeDurationForQCL</w:t>
            </w:r>
            <w:proofErr w:type="spellEnd"/>
            <w:r w:rsidRPr="008346B9">
              <w:rPr>
                <w:rFonts w:ascii="Times New Roman" w:hAnsi="Times New Roman" w:cs="Times New Roman"/>
                <w:color w:val="000000" w:themeColor="text1"/>
                <w:sz w:val="18"/>
                <w:szCs w:val="18"/>
              </w:rPr>
              <w:t xml:space="preserve"> is indicated by s28, i.e., 28 OFDM symbol, but, </w:t>
            </w:r>
            <w:r w:rsidR="003D02CC" w:rsidRPr="008346B9">
              <w:rPr>
                <w:rFonts w:ascii="Times New Roman" w:hAnsi="Times New Roman" w:cs="Times New Roman"/>
                <w:color w:val="000000" w:themeColor="text1"/>
                <w:sz w:val="18"/>
                <w:szCs w:val="18"/>
              </w:rPr>
              <w:t>K0 for</w:t>
            </w:r>
            <w:r w:rsidRPr="008346B9">
              <w:rPr>
                <w:rFonts w:ascii="Times New Roman" w:hAnsi="Times New Roman" w:cs="Times New Roman"/>
                <w:color w:val="000000" w:themeColor="text1"/>
                <w:sz w:val="18"/>
                <w:szCs w:val="18"/>
              </w:rPr>
              <w:t xml:space="preserve"> non-UE-dedicated PDSCH scheduled by DCI format 1_0</w:t>
            </w:r>
            <w:r w:rsidR="003D02CC" w:rsidRPr="008346B9">
              <w:rPr>
                <w:rFonts w:ascii="Times New Roman" w:hAnsi="Times New Roman" w:cs="Times New Roman"/>
                <w:color w:val="000000" w:themeColor="text1"/>
                <w:sz w:val="18"/>
                <w:szCs w:val="18"/>
              </w:rPr>
              <w:t xml:space="preserve"> is 1 or 0 slot. That means that the scheduling offset should be less than a threshold as a typical case. </w:t>
            </w:r>
          </w:p>
          <w:p w14:paraId="62370FEA" w14:textId="430EECA6" w:rsidR="004319E4" w:rsidRPr="006812F6" w:rsidRDefault="003D02CC" w:rsidP="008346B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346B9">
              <w:rPr>
                <w:rFonts w:ascii="Times New Roman" w:hAnsi="Times New Roman" w:cs="Times New Roman"/>
                <w:color w:val="000000" w:themeColor="text1"/>
                <w:sz w:val="18"/>
                <w:szCs w:val="18"/>
              </w:rPr>
              <w:t xml:space="preserve">Per current spec, we can observe that, regardless of being following unified TCI or not, the PDSCH with scheduling offset less than a threshold should be aligned with indicated TCI state. </w:t>
            </w:r>
            <w:r w:rsidR="008346B9">
              <w:rPr>
                <w:rFonts w:ascii="Times New Roman" w:hAnsi="Times New Roman" w:cs="Times New Roman"/>
                <w:color w:val="000000" w:themeColor="text1"/>
                <w:sz w:val="18"/>
                <w:szCs w:val="18"/>
              </w:rPr>
              <w:t>Then</w:t>
            </w:r>
            <w:r>
              <w:rPr>
                <w:rFonts w:ascii="Times New Roman" w:hAnsi="Times New Roman" w:cs="Times New Roman"/>
                <w:color w:val="000000" w:themeColor="text1"/>
                <w:sz w:val="18"/>
                <w:szCs w:val="18"/>
              </w:rPr>
              <w:t>, b</w:t>
            </w:r>
            <w:r w:rsidRPr="003D02CC">
              <w:rPr>
                <w:rFonts w:ascii="Times New Roman" w:hAnsi="Times New Roman" w:cs="Times New Roman"/>
                <w:color w:val="000000" w:themeColor="text1"/>
                <w:sz w:val="18"/>
                <w:szCs w:val="18"/>
              </w:rPr>
              <w:t xml:space="preserve">ased on this analysis, the potential benefit of improving flexibility of TCI indication for non-UE dedicated PDSCH </w:t>
            </w:r>
            <w:r>
              <w:rPr>
                <w:rFonts w:ascii="Times New Roman" w:hAnsi="Times New Roman" w:cs="Times New Roman"/>
                <w:color w:val="000000" w:themeColor="text1"/>
                <w:sz w:val="18"/>
                <w:szCs w:val="18"/>
              </w:rPr>
              <w:t xml:space="preserve">(going with either Alt-1 or Alt-3) </w:t>
            </w:r>
            <w:r w:rsidRPr="003D02CC">
              <w:rPr>
                <w:rFonts w:ascii="Times New Roman" w:hAnsi="Times New Roman" w:cs="Times New Roman"/>
                <w:color w:val="000000" w:themeColor="text1"/>
                <w:sz w:val="18"/>
                <w:szCs w:val="18"/>
              </w:rPr>
              <w:t>is very weak.</w:t>
            </w:r>
          </w:p>
        </w:tc>
      </w:tr>
      <w:tr w:rsidR="004319E4" w14:paraId="04A9E2BA"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181145B5" w14:textId="27FB1E4E" w:rsidR="004319E4" w:rsidRPr="00FF1741" w:rsidRDefault="004319E4">
            <w:pPr>
              <w:snapToGrid w:val="0"/>
              <w:spacing w:after="0" w:line="240" w:lineRule="auto"/>
              <w:rPr>
                <w:rFonts w:ascii="Times New Roman" w:eastAsia="DengXian" w:hAnsi="Times New Roman" w:cs="Times New Roman"/>
                <w:color w:val="000000" w:themeColor="text1"/>
                <w:sz w:val="18"/>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14:paraId="2342FBD2" w14:textId="77777777" w:rsidR="004319E4" w:rsidRPr="00FF1741" w:rsidRDefault="004319E4">
            <w:pPr>
              <w:spacing w:after="0" w:line="240" w:lineRule="auto"/>
              <w:jc w:val="both"/>
              <w:rPr>
                <w:rFonts w:ascii="Times New Roman" w:eastAsia="DengXian" w:hAnsi="Times New Roman" w:cs="Times New Roman"/>
                <w:color w:val="000000" w:themeColor="text1"/>
                <w:sz w:val="18"/>
                <w:szCs w:val="18"/>
                <w:lang w:eastAsia="zh-CN"/>
              </w:rPr>
            </w:pPr>
          </w:p>
        </w:tc>
        <w:tc>
          <w:tcPr>
            <w:tcW w:w="7842" w:type="dxa"/>
            <w:tcBorders>
              <w:top w:val="single" w:sz="4" w:space="0" w:color="auto"/>
              <w:left w:val="single" w:sz="4" w:space="0" w:color="auto"/>
              <w:bottom w:val="single" w:sz="4" w:space="0" w:color="auto"/>
              <w:right w:val="single" w:sz="4" w:space="0" w:color="auto"/>
            </w:tcBorders>
          </w:tcPr>
          <w:p w14:paraId="69ABF383" w14:textId="4D6E8076" w:rsidR="004319E4" w:rsidRPr="00FF1741" w:rsidRDefault="004319E4">
            <w:pPr>
              <w:spacing w:after="0" w:line="240" w:lineRule="auto"/>
              <w:jc w:val="both"/>
              <w:rPr>
                <w:rFonts w:ascii="Times New Roman" w:eastAsia="DengXian" w:hAnsi="Times New Roman" w:cs="Times New Roman"/>
                <w:color w:val="000000" w:themeColor="text1"/>
                <w:sz w:val="18"/>
                <w:szCs w:val="18"/>
                <w:lang w:eastAsia="zh-CN"/>
              </w:rPr>
            </w:pPr>
          </w:p>
        </w:tc>
      </w:tr>
      <w:tr w:rsidR="004319E4" w14:paraId="523C6184"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0388FF25" w14:textId="40409D3F" w:rsidR="004319E4" w:rsidRPr="00FF1741" w:rsidRDefault="004319E4">
            <w:pPr>
              <w:snapToGrid w:val="0"/>
              <w:spacing w:after="0" w:line="240" w:lineRule="auto"/>
              <w:rPr>
                <w:rFonts w:ascii="Times New Roman" w:eastAsia="DengXian" w:hAnsi="Times New Roman" w:cs="Times New Roman"/>
                <w:color w:val="000000" w:themeColor="text1"/>
                <w:sz w:val="18"/>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14:paraId="739FDECA" w14:textId="77777777" w:rsidR="004319E4" w:rsidRPr="00FF1741" w:rsidRDefault="004319E4">
            <w:pPr>
              <w:spacing w:after="0" w:line="240" w:lineRule="auto"/>
              <w:jc w:val="both"/>
              <w:rPr>
                <w:rFonts w:ascii="Times New Roman" w:eastAsia="DengXian" w:hAnsi="Times New Roman" w:cs="Times New Roman"/>
                <w:color w:val="000000" w:themeColor="text1"/>
                <w:sz w:val="18"/>
                <w:szCs w:val="18"/>
                <w:lang w:eastAsia="zh-CN"/>
              </w:rPr>
            </w:pPr>
          </w:p>
        </w:tc>
        <w:tc>
          <w:tcPr>
            <w:tcW w:w="7842" w:type="dxa"/>
            <w:tcBorders>
              <w:top w:val="single" w:sz="4" w:space="0" w:color="auto"/>
              <w:left w:val="single" w:sz="4" w:space="0" w:color="auto"/>
              <w:bottom w:val="single" w:sz="4" w:space="0" w:color="auto"/>
              <w:right w:val="single" w:sz="4" w:space="0" w:color="auto"/>
            </w:tcBorders>
          </w:tcPr>
          <w:p w14:paraId="39B0E48A" w14:textId="5BC36FAB" w:rsidR="004319E4" w:rsidRPr="00FF1741" w:rsidRDefault="004319E4">
            <w:pPr>
              <w:spacing w:after="0" w:line="240" w:lineRule="auto"/>
              <w:jc w:val="both"/>
              <w:rPr>
                <w:rFonts w:ascii="Times New Roman" w:eastAsia="DengXian" w:hAnsi="Times New Roman" w:cs="Times New Roman"/>
                <w:color w:val="000000" w:themeColor="text1"/>
                <w:sz w:val="18"/>
                <w:szCs w:val="18"/>
                <w:lang w:eastAsia="zh-CN"/>
              </w:rPr>
            </w:pPr>
          </w:p>
        </w:tc>
      </w:tr>
      <w:tr w:rsidR="004319E4" w14:paraId="6F89BFD0"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0F9598E0" w14:textId="0C68C6A8" w:rsidR="004319E4" w:rsidRDefault="004319E4">
            <w:pPr>
              <w:snapToGrid w:val="0"/>
              <w:spacing w:after="0" w:line="240" w:lineRule="auto"/>
              <w:rPr>
                <w:rFonts w:ascii="Times New Roman" w:eastAsia="DengXian" w:hAnsi="Times New Roman" w:cs="Times New Roman"/>
                <w:color w:val="000000" w:themeColor="text1"/>
                <w:sz w:val="18"/>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14:paraId="579E8A00" w14:textId="77777777"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c>
          <w:tcPr>
            <w:tcW w:w="7842" w:type="dxa"/>
            <w:tcBorders>
              <w:top w:val="single" w:sz="4" w:space="0" w:color="auto"/>
              <w:left w:val="single" w:sz="4" w:space="0" w:color="auto"/>
              <w:bottom w:val="single" w:sz="4" w:space="0" w:color="auto"/>
              <w:right w:val="single" w:sz="4" w:space="0" w:color="auto"/>
            </w:tcBorders>
          </w:tcPr>
          <w:p w14:paraId="79168218" w14:textId="5732EC42"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r>
      <w:tr w:rsidR="004319E4" w14:paraId="2BEF2EF8"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161F1A75" w14:textId="77777777" w:rsidR="004319E4" w:rsidRDefault="004319E4">
            <w:pPr>
              <w:snapToGrid w:val="0"/>
              <w:spacing w:after="0" w:line="240" w:lineRule="auto"/>
              <w:rPr>
                <w:rFonts w:ascii="Times New Roman" w:eastAsia="DengXian" w:hAnsi="Times New Roman" w:cs="Times New Roman"/>
                <w:color w:val="000000" w:themeColor="text1"/>
                <w:sz w:val="18"/>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14:paraId="2489D75B" w14:textId="77777777"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c>
          <w:tcPr>
            <w:tcW w:w="7842" w:type="dxa"/>
            <w:tcBorders>
              <w:top w:val="single" w:sz="4" w:space="0" w:color="auto"/>
              <w:left w:val="single" w:sz="4" w:space="0" w:color="auto"/>
              <w:bottom w:val="single" w:sz="4" w:space="0" w:color="auto"/>
              <w:right w:val="single" w:sz="4" w:space="0" w:color="auto"/>
            </w:tcBorders>
          </w:tcPr>
          <w:p w14:paraId="4246A9DC" w14:textId="7820FCA9"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r>
      <w:tr w:rsidR="004319E4" w14:paraId="0807AD44"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045A1053" w14:textId="77777777" w:rsidR="004319E4" w:rsidRDefault="004319E4">
            <w:pPr>
              <w:snapToGrid w:val="0"/>
              <w:spacing w:after="0" w:line="240" w:lineRule="auto"/>
              <w:rPr>
                <w:rFonts w:ascii="Times New Roman" w:eastAsia="DengXian" w:hAnsi="Times New Roman" w:cs="Times New Roman"/>
                <w:color w:val="000000" w:themeColor="text1"/>
                <w:sz w:val="18"/>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14:paraId="3E1170E7" w14:textId="77777777"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c>
          <w:tcPr>
            <w:tcW w:w="7842" w:type="dxa"/>
            <w:tcBorders>
              <w:top w:val="single" w:sz="4" w:space="0" w:color="auto"/>
              <w:left w:val="single" w:sz="4" w:space="0" w:color="auto"/>
              <w:bottom w:val="single" w:sz="4" w:space="0" w:color="auto"/>
              <w:right w:val="single" w:sz="4" w:space="0" w:color="auto"/>
            </w:tcBorders>
          </w:tcPr>
          <w:p w14:paraId="0E30FA86" w14:textId="5717908E"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r>
      <w:tr w:rsidR="004319E4" w14:paraId="6EA7B12D"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26BE6217" w14:textId="77777777" w:rsidR="004319E4" w:rsidRDefault="004319E4">
            <w:pPr>
              <w:snapToGrid w:val="0"/>
              <w:spacing w:after="0" w:line="240" w:lineRule="auto"/>
              <w:rPr>
                <w:rFonts w:ascii="Times New Roman" w:eastAsia="DengXian" w:hAnsi="Times New Roman" w:cs="Times New Roman"/>
                <w:color w:val="000000" w:themeColor="text1"/>
                <w:sz w:val="18"/>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14:paraId="2FAA2F39" w14:textId="77777777"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c>
          <w:tcPr>
            <w:tcW w:w="7842" w:type="dxa"/>
            <w:tcBorders>
              <w:top w:val="single" w:sz="4" w:space="0" w:color="auto"/>
              <w:left w:val="single" w:sz="4" w:space="0" w:color="auto"/>
              <w:bottom w:val="single" w:sz="4" w:space="0" w:color="auto"/>
              <w:right w:val="single" w:sz="4" w:space="0" w:color="auto"/>
            </w:tcBorders>
          </w:tcPr>
          <w:p w14:paraId="70C5C872" w14:textId="3E25152D"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r>
      <w:tr w:rsidR="004319E4" w14:paraId="14E84D62" w14:textId="77777777" w:rsidTr="004319E4">
        <w:trPr>
          <w:trHeight w:val="215"/>
        </w:trPr>
        <w:tc>
          <w:tcPr>
            <w:tcW w:w="1041" w:type="dxa"/>
            <w:tcBorders>
              <w:top w:val="single" w:sz="4" w:space="0" w:color="auto"/>
              <w:left w:val="single" w:sz="4" w:space="0" w:color="auto"/>
              <w:bottom w:val="single" w:sz="4" w:space="0" w:color="auto"/>
              <w:right w:val="single" w:sz="4" w:space="0" w:color="auto"/>
            </w:tcBorders>
          </w:tcPr>
          <w:p w14:paraId="079EA7CB" w14:textId="77777777" w:rsidR="004319E4" w:rsidRDefault="004319E4">
            <w:pPr>
              <w:snapToGrid w:val="0"/>
              <w:spacing w:after="0" w:line="240" w:lineRule="auto"/>
              <w:rPr>
                <w:rFonts w:ascii="Times New Roman" w:eastAsia="DengXian" w:hAnsi="Times New Roman" w:cs="Times New Roman"/>
                <w:color w:val="000000" w:themeColor="text1"/>
                <w:sz w:val="18"/>
                <w:szCs w:val="18"/>
                <w:lang w:eastAsia="zh-CN"/>
              </w:rPr>
            </w:pPr>
          </w:p>
        </w:tc>
        <w:tc>
          <w:tcPr>
            <w:tcW w:w="1187" w:type="dxa"/>
            <w:tcBorders>
              <w:top w:val="single" w:sz="4" w:space="0" w:color="auto"/>
              <w:left w:val="single" w:sz="4" w:space="0" w:color="auto"/>
              <w:bottom w:val="single" w:sz="4" w:space="0" w:color="auto"/>
              <w:right w:val="single" w:sz="4" w:space="0" w:color="auto"/>
            </w:tcBorders>
          </w:tcPr>
          <w:p w14:paraId="3EEEE01B" w14:textId="77777777"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c>
          <w:tcPr>
            <w:tcW w:w="7842" w:type="dxa"/>
            <w:tcBorders>
              <w:top w:val="single" w:sz="4" w:space="0" w:color="auto"/>
              <w:left w:val="single" w:sz="4" w:space="0" w:color="auto"/>
              <w:bottom w:val="single" w:sz="4" w:space="0" w:color="auto"/>
              <w:right w:val="single" w:sz="4" w:space="0" w:color="auto"/>
            </w:tcBorders>
          </w:tcPr>
          <w:p w14:paraId="6C97C187" w14:textId="2EE26950" w:rsidR="004319E4" w:rsidRDefault="004319E4">
            <w:pPr>
              <w:spacing w:after="0" w:line="240" w:lineRule="auto"/>
              <w:jc w:val="both"/>
              <w:rPr>
                <w:rFonts w:ascii="Times New Roman" w:eastAsia="DengXian" w:hAnsi="Times New Roman" w:cs="Times New Roman"/>
                <w:color w:val="000000" w:themeColor="text1"/>
                <w:sz w:val="18"/>
                <w:szCs w:val="18"/>
                <w:lang w:eastAsia="zh-CN"/>
              </w:rPr>
            </w:pPr>
          </w:p>
        </w:tc>
      </w:tr>
    </w:tbl>
    <w:p w14:paraId="1CF491C1" w14:textId="2F1C8DF9" w:rsidR="00373F90" w:rsidRDefault="00373F90" w:rsidP="00EA06CB">
      <w:pPr>
        <w:rPr>
          <w:rFonts w:eastAsia="DengXian"/>
          <w:lang w:eastAsia="zh-CN"/>
        </w:rPr>
      </w:pPr>
    </w:p>
    <w:p w14:paraId="6C5615B3" w14:textId="25EABE0A" w:rsidR="00220FC1" w:rsidRPr="00220FC1" w:rsidRDefault="00220FC1" w:rsidP="00220FC1">
      <w:pPr>
        <w:pStyle w:val="1"/>
        <w:numPr>
          <w:ilvl w:val="0"/>
          <w:numId w:val="2"/>
        </w:numPr>
        <w:jc w:val="both"/>
        <w:rPr>
          <w:rFonts w:eastAsia="新細明體" w:cs="Arial"/>
          <w:b/>
          <w:bCs/>
          <w:sz w:val="28"/>
          <w:lang w:val="en-US" w:eastAsia="zh-TW"/>
        </w:rPr>
      </w:pPr>
      <w:bookmarkStart w:id="14" w:name="OLE_LINK56"/>
      <w:r w:rsidRPr="00220FC1">
        <w:rPr>
          <w:rFonts w:eastAsia="新細明體" w:cs="Arial"/>
          <w:b/>
          <w:bCs/>
          <w:sz w:val="28"/>
          <w:lang w:val="en-US" w:eastAsia="zh-TW"/>
        </w:rPr>
        <w:t>Potential CR</w:t>
      </w:r>
    </w:p>
    <w:p w14:paraId="3D8B5C1A" w14:textId="6E8609A5" w:rsidR="00220FC1" w:rsidRPr="00045590" w:rsidRDefault="00045590" w:rsidP="00045590">
      <w:pPr>
        <w:pStyle w:val="1"/>
        <w:numPr>
          <w:ilvl w:val="1"/>
          <w:numId w:val="2"/>
        </w:numPr>
        <w:tabs>
          <w:tab w:val="clear" w:pos="0"/>
          <w:tab w:val="clear" w:pos="426"/>
        </w:tabs>
        <w:ind w:left="567" w:hanging="567"/>
        <w:jc w:val="both"/>
        <w:rPr>
          <w:rFonts w:eastAsia="新細明體" w:cs="Arial"/>
          <w:b/>
          <w:bCs/>
          <w:sz w:val="24"/>
          <w:szCs w:val="16"/>
          <w:lang w:val="en-US" w:eastAsia="zh-TW"/>
        </w:rPr>
      </w:pPr>
      <w:bookmarkStart w:id="15" w:name="OLE_LINK78"/>
      <w:bookmarkStart w:id="16" w:name="OLE_LINK67"/>
      <w:bookmarkStart w:id="17" w:name="OLE_LINK59"/>
      <w:bookmarkEnd w:id="14"/>
      <w:r w:rsidRPr="00045590">
        <w:rPr>
          <w:rFonts w:eastAsia="新細明體" w:cs="Arial"/>
          <w:b/>
          <w:bCs/>
          <w:sz w:val="22"/>
          <w:szCs w:val="24"/>
          <w:lang w:val="en-US" w:eastAsia="zh-TW"/>
        </w:rPr>
        <w:t>D</w:t>
      </w:r>
      <w:r w:rsidRPr="00045590">
        <w:rPr>
          <w:rFonts w:eastAsia="新細明體" w:cs="Arial"/>
          <w:b/>
          <w:bCs/>
          <w:sz w:val="22"/>
          <w:szCs w:val="24"/>
          <w:lang w:val="en-US"/>
        </w:rPr>
        <w:t>raft</w:t>
      </w:r>
      <w:r w:rsidRPr="00045590">
        <w:rPr>
          <w:rFonts w:cs="Arial"/>
          <w:b/>
          <w:bCs/>
          <w:sz w:val="24"/>
          <w:szCs w:val="16"/>
        </w:rPr>
        <w:t xml:space="preserve"> </w:t>
      </w:r>
      <w:bookmarkEnd w:id="15"/>
      <w:r w:rsidR="00220FC1" w:rsidRPr="00045590">
        <w:rPr>
          <w:rFonts w:cs="Arial"/>
          <w:b/>
          <w:bCs/>
          <w:sz w:val="24"/>
          <w:szCs w:val="16"/>
        </w:rPr>
        <w:t>CR</w:t>
      </w:r>
      <w:bookmarkEnd w:id="16"/>
      <w:r w:rsidR="00220FC1" w:rsidRPr="00045590">
        <w:rPr>
          <w:rFonts w:cs="Arial"/>
          <w:b/>
          <w:bCs/>
          <w:sz w:val="24"/>
          <w:szCs w:val="16"/>
        </w:rPr>
        <w:t xml:space="preserve"> based on Alt1:</w:t>
      </w:r>
      <w:bookmarkEnd w:id="17"/>
    </w:p>
    <w:tbl>
      <w:tblPr>
        <w:tblStyle w:val="ab"/>
        <w:tblW w:w="0" w:type="auto"/>
        <w:tblInd w:w="108" w:type="dxa"/>
        <w:tblLook w:val="04A0" w:firstRow="1" w:lastRow="0" w:firstColumn="1" w:lastColumn="0" w:noHBand="0" w:noVBand="1"/>
      </w:tblPr>
      <w:tblGrid>
        <w:gridCol w:w="9962"/>
      </w:tblGrid>
      <w:tr w:rsidR="00220FC1" w14:paraId="008A478E" w14:textId="77777777" w:rsidTr="00045590">
        <w:tc>
          <w:tcPr>
            <w:tcW w:w="9962" w:type="dxa"/>
            <w:tcBorders>
              <w:top w:val="single" w:sz="4" w:space="0" w:color="auto"/>
              <w:left w:val="single" w:sz="4" w:space="0" w:color="auto"/>
              <w:bottom w:val="single" w:sz="4" w:space="0" w:color="auto"/>
              <w:right w:val="single" w:sz="4" w:space="0" w:color="auto"/>
            </w:tcBorders>
            <w:hideMark/>
          </w:tcPr>
          <w:p w14:paraId="265936D3" w14:textId="77777777" w:rsidR="00220FC1" w:rsidRDefault="00220FC1">
            <w:pPr>
              <w:spacing w:before="240"/>
              <w:rPr>
                <w:rFonts w:ascii="Times New Roman" w:eastAsia="SimSun" w:hAnsi="Times New Roman"/>
                <w:b/>
                <w:bCs/>
                <w:lang w:val="en-GB" w:eastAsia="en-US"/>
              </w:rPr>
            </w:pPr>
            <w:r>
              <w:rPr>
                <w:rFonts w:ascii="Times New Roman" w:hAnsi="Times New Roman"/>
                <w:b/>
                <w:bCs/>
              </w:rPr>
              <w:t>5.1.5</w:t>
            </w:r>
            <w:r>
              <w:rPr>
                <w:rFonts w:ascii="Times New Roman" w:hAnsi="Times New Roman"/>
                <w:b/>
                <w:bCs/>
              </w:rPr>
              <w:tab/>
              <w:t>Antenna ports quasi co-location</w:t>
            </w:r>
          </w:p>
          <w:p w14:paraId="47990D46" w14:textId="77777777" w:rsidR="00220FC1" w:rsidRDefault="00220FC1">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559F215A" w14:textId="77777777" w:rsidR="00220FC1" w:rsidRDefault="00220FC1">
            <w:pPr>
              <w:spacing w:line="252" w:lineRule="auto"/>
              <w:rPr>
                <w:rFonts w:ascii="Times New Roman" w:eastAsia="Batang" w:hAnsi="Times New Roman"/>
                <w:sz w:val="18"/>
                <w:szCs w:val="18"/>
              </w:rPr>
            </w:pPr>
            <w:bookmarkStart w:id="18" w:name="OLE_LINK33"/>
            <w:bookmarkStart w:id="19" w:name="OLE_LINK57"/>
            <w:r>
              <w:rPr>
                <w:rFonts w:ascii="Times New Roman" w:hAnsi="Times New Roman"/>
                <w:sz w:val="18"/>
                <w:szCs w:val="18"/>
              </w:rPr>
              <w:t xml:space="preserve">Independent of the configuration of </w:t>
            </w:r>
            <w:proofErr w:type="spellStart"/>
            <w:r>
              <w:rPr>
                <w:rFonts w:ascii="Times New Roman" w:hAnsi="Times New Roman"/>
                <w:i/>
                <w:sz w:val="18"/>
                <w:szCs w:val="18"/>
              </w:rPr>
              <w:t>tci-PresentInDCI</w:t>
            </w:r>
            <w:proofErr w:type="spellEnd"/>
            <w:r>
              <w:rPr>
                <w:rFonts w:ascii="Times New Roman" w:hAnsi="Times New Roman"/>
                <w:sz w:val="18"/>
                <w:szCs w:val="18"/>
              </w:rPr>
              <w:t xml:space="preserve"> and </w:t>
            </w:r>
            <w:r>
              <w:rPr>
                <w:rFonts w:ascii="Times New Roman" w:hAnsi="Times New Roman"/>
                <w:i/>
                <w:sz w:val="18"/>
                <w:szCs w:val="18"/>
              </w:rPr>
              <w:t>tci-PresentDCI-1-2</w:t>
            </w:r>
            <w:r>
              <w:rPr>
                <w:rFonts w:ascii="Times New Roman" w:hAnsi="Times New Roman"/>
                <w:sz w:val="18"/>
                <w:szCs w:val="18"/>
              </w:rPr>
              <w:t xml:space="preserve"> </w:t>
            </w:r>
            <w:bookmarkStart w:id="20" w:name="OLE_LINK83"/>
            <w:r>
              <w:rPr>
                <w:rFonts w:ascii="Times New Roman" w:hAnsi="Times New Roman"/>
                <w:sz w:val="18"/>
                <w:szCs w:val="18"/>
              </w:rPr>
              <w:t>in RRC connected mode</w:t>
            </w:r>
            <w:bookmarkEnd w:id="20"/>
            <w:r>
              <w:rPr>
                <w:rFonts w:ascii="Times New Roman" w:hAnsi="Times New Roman"/>
                <w:sz w:val="18"/>
                <w:szCs w:val="18"/>
              </w:rPr>
              <w:t xml:space="preserve">, if the UE is provided </w:t>
            </w:r>
            <w:r>
              <w:rPr>
                <w:rFonts w:ascii="Times New Roman" w:hAnsi="Times New Roman"/>
                <w:i/>
                <w:iCs/>
                <w:color w:val="000000"/>
                <w:sz w:val="18"/>
                <w:szCs w:val="18"/>
              </w:rPr>
              <w:t>dl-OrJointTCI-StateList-r17</w:t>
            </w:r>
            <w:r>
              <w:rPr>
                <w:rFonts w:ascii="Times New Roman" w:hAnsi="Times New Roman"/>
                <w:sz w:val="18"/>
                <w:szCs w:val="18"/>
              </w:rPr>
              <w:t xml:space="preserve">, and if the offset between the reception of the DL DCI and the corresponding PDSCH is less than the threshold </w:t>
            </w:r>
            <w:proofErr w:type="spellStart"/>
            <w:r>
              <w:rPr>
                <w:rFonts w:ascii="Times New Roman" w:hAnsi="Times New Roman"/>
                <w:i/>
                <w:sz w:val="18"/>
                <w:szCs w:val="18"/>
              </w:rPr>
              <w:t>timeDurationForQCL</w:t>
            </w:r>
            <w:proofErr w:type="spellEnd"/>
            <w:r>
              <w:rPr>
                <w:rFonts w:ascii="Times New Roman" w:hAnsi="Times New Roman"/>
                <w:sz w:val="18"/>
                <w:szCs w:val="18"/>
              </w:rPr>
              <w:t xml:space="preserve"> and at least one configured TCI state for the serving cell of scheduled PDSCH contains </w:t>
            </w:r>
            <w:proofErr w:type="spellStart"/>
            <w:r>
              <w:rPr>
                <w:rFonts w:ascii="Times New Roman" w:hAnsi="Times New Roman"/>
                <w:i/>
                <w:color w:val="000000"/>
                <w:sz w:val="18"/>
                <w:szCs w:val="18"/>
              </w:rPr>
              <w:t>qcl</w:t>
            </w:r>
            <w:proofErr w:type="spellEnd"/>
            <w:r>
              <w:rPr>
                <w:rFonts w:ascii="Times New Roman" w:hAnsi="Times New Roman"/>
                <w:i/>
                <w:color w:val="000000"/>
                <w:sz w:val="18"/>
                <w:szCs w:val="18"/>
              </w:rPr>
              <w:t>-Type</w:t>
            </w:r>
            <w:r>
              <w:rPr>
                <w:rFonts w:ascii="Times New Roman" w:hAnsi="Times New Roman"/>
                <w:color w:val="000000"/>
                <w:sz w:val="18"/>
                <w:szCs w:val="18"/>
              </w:rPr>
              <w:t xml:space="preserve"> set to</w:t>
            </w:r>
            <w:r>
              <w:rPr>
                <w:rFonts w:ascii="Times New Roman" w:hAnsi="Times New Roman"/>
                <w:sz w:val="18"/>
                <w:szCs w:val="18"/>
              </w:rPr>
              <w:t xml:space="preserve"> '</w:t>
            </w:r>
            <w:proofErr w:type="spellStart"/>
            <w:r>
              <w:rPr>
                <w:rFonts w:ascii="Times New Roman" w:hAnsi="Times New Roman"/>
                <w:sz w:val="18"/>
                <w:szCs w:val="18"/>
              </w:rPr>
              <w:t>typeD</w:t>
            </w:r>
            <w:proofErr w:type="spellEnd"/>
            <w:r>
              <w:rPr>
                <w:rFonts w:ascii="Times New Roman" w:hAnsi="Times New Roman"/>
                <w:sz w:val="18"/>
                <w:szCs w:val="18"/>
              </w:rPr>
              <w:t xml:space="preserve">', regardless of configuration of </w:t>
            </w:r>
            <w:r>
              <w:rPr>
                <w:rFonts w:ascii="Times New Roman" w:hAnsi="Times New Roman"/>
                <w:i/>
                <w:iCs/>
                <w:sz w:val="18"/>
                <w:szCs w:val="18"/>
              </w:rPr>
              <w:t>followUnifiedTCI-State</w:t>
            </w:r>
            <w:r>
              <w:rPr>
                <w:rFonts w:ascii="Times New Roman" w:hAnsi="Times New Roman"/>
                <w:sz w:val="18"/>
                <w:szCs w:val="18"/>
              </w:rPr>
              <w:t>,</w:t>
            </w:r>
          </w:p>
          <w:p w14:paraId="54CF5B40" w14:textId="77777777" w:rsidR="00220FC1" w:rsidRDefault="00220FC1">
            <w:pPr>
              <w:tabs>
                <w:tab w:val="left" w:pos="314"/>
                <w:tab w:val="left" w:pos="720"/>
              </w:tabs>
              <w:snapToGrid w:val="0"/>
              <w:spacing w:before="100" w:beforeAutospacing="1" w:after="180"/>
              <w:ind w:left="568" w:hanging="284"/>
              <w:rPr>
                <w:rFonts w:ascii="Times New Roman" w:eastAsia="SimSu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the PCI of the serving cell, the indicated TCI state is applied to PDSCH reception.</w:t>
            </w:r>
          </w:p>
          <w:p w14:paraId="31EC931F" w14:textId="77777777" w:rsidR="00220FC1" w:rsidRDefault="00220FC1">
            <w:pPr>
              <w:tabs>
                <w:tab w:val="left" w:pos="314"/>
                <w:tab w:val="left" w:pos="720"/>
              </w:tabs>
              <w:snapToGrid w:val="0"/>
              <w:spacing w:before="100" w:beforeAutospacing="1" w:after="180"/>
              <w:ind w:left="568" w:hanging="284"/>
              <w:rPr>
                <w:rFonts w:ascii="Times New Roma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i/>
                <w:sz w:val="18"/>
                <w:szCs w:val="18"/>
              </w:rPr>
              <w:t>controlResourceSetId</w:t>
            </w:r>
            <w:proofErr w:type="spellEnd"/>
            <w:r>
              <w:rPr>
                <w:rFonts w:ascii="Times New Roman" w:eastAsia="SimSun" w:hAnsi="Times New Roman"/>
                <w:sz w:val="18"/>
                <w:szCs w:val="18"/>
              </w:rPr>
              <w:t xml:space="preserve"> in the latest slot in which one or more CORESETs within the active BWP of the serving cell are monitored by the UE. In the CA case, if the 'QCL-TypeD' of the PDSCH DM-RSs from respective CCs in a band are different in a slot, the QCL-TypeD assumption of the PDSCH DM-RS in the CC with lowest CC ID in the band is applied to all the PDSCH DM-RSs in the CCs in the band.</w:t>
            </w:r>
            <w:r>
              <w:rPr>
                <w:rFonts w:ascii="Times New Roman" w:eastAsia="SimSun" w:hAnsi="Times New Roman"/>
                <w:sz w:val="18"/>
                <w:szCs w:val="18"/>
                <w:lang w:eastAsia="zh-CN"/>
              </w:rPr>
              <w:t xml:space="preserve"> </w:t>
            </w:r>
            <w:r>
              <w:rPr>
                <w:rFonts w:ascii="Times New Roman" w:eastAsia="SimSun" w:hAnsi="Times New Roman"/>
                <w:sz w:val="18"/>
                <w:szCs w:val="18"/>
              </w:rPr>
              <w:t xml:space="preserve">In this case, if the </w:t>
            </w:r>
            <w:proofErr w:type="spellStart"/>
            <w:r>
              <w:rPr>
                <w:rFonts w:ascii="Times New Roman" w:eastAsia="SimSun" w:hAnsi="Times New Roman"/>
                <w:i/>
                <w:color w:val="000000"/>
                <w:sz w:val="18"/>
                <w:szCs w:val="18"/>
              </w:rPr>
              <w:t>qcl</w:t>
            </w:r>
            <w:proofErr w:type="spellEnd"/>
            <w:r>
              <w:rPr>
                <w:rFonts w:ascii="Times New Roman" w:eastAsia="SimSun" w:hAnsi="Times New Roman"/>
                <w:i/>
                <w:color w:val="000000"/>
                <w:sz w:val="18"/>
                <w:szCs w:val="18"/>
              </w:rPr>
              <w:t>-Type</w:t>
            </w:r>
            <w:r>
              <w:rPr>
                <w:rFonts w:ascii="Times New Roman" w:eastAsia="SimSun" w:hAnsi="Times New Roman"/>
                <w:color w:val="000000"/>
                <w:sz w:val="18"/>
                <w:szCs w:val="18"/>
              </w:rPr>
              <w:t xml:space="preserve"> is set to</w:t>
            </w:r>
            <w:r>
              <w:rPr>
                <w:rFonts w:ascii="Times New Roman" w:eastAsia="SimSun" w:hAnsi="Times New Roman"/>
                <w:sz w:val="18"/>
                <w:szCs w:val="18"/>
              </w:rPr>
              <w:t xml:space="preserve"> '</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8"/>
            <w:bookmarkEnd w:id="19"/>
          </w:p>
          <w:p w14:paraId="5BD4E32D" w14:textId="77777777" w:rsidR="00220FC1" w:rsidRDefault="00220FC1">
            <w:pPr>
              <w:pStyle w:val="B10"/>
            </w:pPr>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UE may assume that the TCI state or the QCL assumption for the PDSCH of the serving cell is identical to the TCI state or QCL assumption whichever is applied for the CORESET used for the reception of the DL DCI within the active BWP of the serving cell.</w:t>
            </w:r>
          </w:p>
          <w:p w14:paraId="111C2A2A" w14:textId="77777777" w:rsidR="00220FC1" w:rsidRDefault="00220FC1">
            <w:pPr>
              <w:tabs>
                <w:tab w:val="left" w:pos="219"/>
              </w:tabs>
              <w:spacing w:before="240"/>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tc>
      </w:tr>
    </w:tbl>
    <w:p w14:paraId="53E7D233" w14:textId="7FD4FBF2" w:rsidR="00220FC1" w:rsidRPr="00045590" w:rsidRDefault="00045590" w:rsidP="00045590">
      <w:pPr>
        <w:pStyle w:val="1"/>
        <w:numPr>
          <w:ilvl w:val="1"/>
          <w:numId w:val="2"/>
        </w:numPr>
        <w:tabs>
          <w:tab w:val="clear" w:pos="0"/>
          <w:tab w:val="clear" w:pos="426"/>
        </w:tabs>
        <w:ind w:left="567" w:hanging="567"/>
        <w:jc w:val="both"/>
        <w:rPr>
          <w:rFonts w:eastAsia="新細明體" w:cs="Arial"/>
          <w:b/>
          <w:bCs/>
          <w:sz w:val="22"/>
          <w:szCs w:val="24"/>
          <w:lang w:val="en-US" w:eastAsia="zh-TW"/>
        </w:rPr>
      </w:pPr>
      <w:bookmarkStart w:id="21" w:name="OLE_LINK1"/>
      <w:bookmarkStart w:id="22" w:name="OLE_LINK37"/>
      <w:r w:rsidRPr="00045590">
        <w:rPr>
          <w:rFonts w:eastAsia="新細明體" w:cs="Arial"/>
          <w:b/>
          <w:bCs/>
          <w:sz w:val="22"/>
          <w:szCs w:val="24"/>
          <w:lang w:val="en-US" w:eastAsia="zh-TW"/>
        </w:rPr>
        <w:t xml:space="preserve">Draft </w:t>
      </w:r>
      <w:r w:rsidR="00220FC1" w:rsidRPr="00045590">
        <w:rPr>
          <w:rFonts w:eastAsia="新細明體" w:cs="Arial"/>
          <w:b/>
          <w:bCs/>
          <w:sz w:val="22"/>
          <w:szCs w:val="24"/>
          <w:lang w:val="en-US" w:eastAsia="zh-TW"/>
        </w:rPr>
        <w:t>CR based on Alt2:</w:t>
      </w:r>
    </w:p>
    <w:tbl>
      <w:tblPr>
        <w:tblStyle w:val="ab"/>
        <w:tblW w:w="0" w:type="auto"/>
        <w:tblInd w:w="108" w:type="dxa"/>
        <w:tblLook w:val="04A0" w:firstRow="1" w:lastRow="0" w:firstColumn="1" w:lastColumn="0" w:noHBand="0" w:noVBand="1"/>
      </w:tblPr>
      <w:tblGrid>
        <w:gridCol w:w="9962"/>
      </w:tblGrid>
      <w:tr w:rsidR="00220FC1" w14:paraId="07AC175F" w14:textId="77777777" w:rsidTr="00045590">
        <w:tc>
          <w:tcPr>
            <w:tcW w:w="9962" w:type="dxa"/>
            <w:tcBorders>
              <w:top w:val="single" w:sz="4" w:space="0" w:color="auto"/>
              <w:left w:val="single" w:sz="4" w:space="0" w:color="auto"/>
              <w:bottom w:val="single" w:sz="4" w:space="0" w:color="auto"/>
              <w:right w:val="single" w:sz="4" w:space="0" w:color="auto"/>
            </w:tcBorders>
            <w:hideMark/>
          </w:tcPr>
          <w:bookmarkEnd w:id="21"/>
          <w:p w14:paraId="7F77D088" w14:textId="77777777" w:rsidR="00220FC1" w:rsidRDefault="00220FC1">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Antenna ports quasi co-location</w:t>
            </w:r>
          </w:p>
          <w:p w14:paraId="3287ED30" w14:textId="77777777" w:rsidR="00220FC1" w:rsidRDefault="00220FC1">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3A326FA" w14:textId="77777777" w:rsidR="00220FC1" w:rsidRDefault="00220FC1">
            <w:pPr>
              <w:spacing w:line="252" w:lineRule="auto"/>
              <w:rPr>
                <w:rFonts w:ascii="Times New Roman" w:eastAsia="Batang" w:hAnsi="Times New Roman"/>
                <w:sz w:val="18"/>
                <w:szCs w:val="18"/>
              </w:rPr>
            </w:pPr>
            <w:r>
              <w:rPr>
                <w:rFonts w:ascii="Times New Roman" w:hAnsi="Times New Roman"/>
                <w:sz w:val="18"/>
                <w:szCs w:val="18"/>
              </w:rPr>
              <w:t xml:space="preserve">Independent of the configuration of </w:t>
            </w:r>
            <w:proofErr w:type="spellStart"/>
            <w:r>
              <w:rPr>
                <w:rFonts w:ascii="Times New Roman" w:hAnsi="Times New Roman"/>
                <w:i/>
                <w:sz w:val="18"/>
                <w:szCs w:val="18"/>
              </w:rPr>
              <w:t>tci-PresentInDCI</w:t>
            </w:r>
            <w:proofErr w:type="spellEnd"/>
            <w:r>
              <w:rPr>
                <w:rFonts w:ascii="Times New Roman" w:hAnsi="Times New Roman"/>
                <w:sz w:val="18"/>
                <w:szCs w:val="18"/>
              </w:rPr>
              <w:t xml:space="preserve"> and </w:t>
            </w:r>
            <w:r>
              <w:rPr>
                <w:rFonts w:ascii="Times New Roman" w:hAnsi="Times New Roman"/>
                <w:i/>
                <w:sz w:val="18"/>
                <w:szCs w:val="18"/>
              </w:rPr>
              <w:t>tci-PresentDCI-1-2</w:t>
            </w:r>
            <w:r>
              <w:rPr>
                <w:rFonts w:ascii="Times New Roman" w:hAnsi="Times New Roman"/>
                <w:sz w:val="18"/>
                <w:szCs w:val="18"/>
              </w:rPr>
              <w:t xml:space="preserve"> in RRC connected mode, if the UE is provided </w:t>
            </w:r>
            <w:r>
              <w:rPr>
                <w:rFonts w:ascii="Times New Roman" w:hAnsi="Times New Roman"/>
                <w:i/>
                <w:iCs/>
                <w:color w:val="000000"/>
                <w:sz w:val="18"/>
                <w:szCs w:val="18"/>
              </w:rPr>
              <w:t>dl-OrJointTCI-StateList-r17</w:t>
            </w:r>
            <w:r>
              <w:rPr>
                <w:rFonts w:ascii="Times New Roman" w:hAnsi="Times New Roman"/>
                <w:sz w:val="18"/>
                <w:szCs w:val="18"/>
              </w:rPr>
              <w:t xml:space="preserve">, and if the offset between the reception of the DL DCI and the corresponding PDSCH is less than the threshold </w:t>
            </w:r>
            <w:proofErr w:type="spellStart"/>
            <w:r>
              <w:rPr>
                <w:rFonts w:ascii="Times New Roman" w:hAnsi="Times New Roman"/>
                <w:i/>
                <w:sz w:val="18"/>
                <w:szCs w:val="18"/>
              </w:rPr>
              <w:t>timeDurationForQCL</w:t>
            </w:r>
            <w:proofErr w:type="spellEnd"/>
            <w:r>
              <w:rPr>
                <w:rFonts w:ascii="Times New Roman" w:hAnsi="Times New Roman"/>
                <w:sz w:val="18"/>
                <w:szCs w:val="18"/>
              </w:rPr>
              <w:t xml:space="preserve"> and at least one configured TCI state for the serving cell of scheduled PDSCH contains </w:t>
            </w:r>
            <w:proofErr w:type="spellStart"/>
            <w:r>
              <w:rPr>
                <w:rFonts w:ascii="Times New Roman" w:hAnsi="Times New Roman"/>
                <w:i/>
                <w:color w:val="000000"/>
                <w:sz w:val="18"/>
                <w:szCs w:val="18"/>
              </w:rPr>
              <w:t>qcl</w:t>
            </w:r>
            <w:proofErr w:type="spellEnd"/>
            <w:r>
              <w:rPr>
                <w:rFonts w:ascii="Times New Roman" w:hAnsi="Times New Roman"/>
                <w:i/>
                <w:color w:val="000000"/>
                <w:sz w:val="18"/>
                <w:szCs w:val="18"/>
              </w:rPr>
              <w:t>-Type</w:t>
            </w:r>
            <w:r>
              <w:rPr>
                <w:rFonts w:ascii="Times New Roman" w:hAnsi="Times New Roman"/>
                <w:color w:val="000000"/>
                <w:sz w:val="18"/>
                <w:szCs w:val="18"/>
              </w:rPr>
              <w:t xml:space="preserve"> set to</w:t>
            </w:r>
            <w:r>
              <w:rPr>
                <w:rFonts w:ascii="Times New Roman" w:hAnsi="Times New Roman"/>
                <w:sz w:val="18"/>
                <w:szCs w:val="18"/>
              </w:rPr>
              <w:t xml:space="preserve"> '</w:t>
            </w:r>
            <w:proofErr w:type="spellStart"/>
            <w:r>
              <w:rPr>
                <w:rFonts w:ascii="Times New Roman" w:hAnsi="Times New Roman"/>
                <w:sz w:val="18"/>
                <w:szCs w:val="18"/>
              </w:rPr>
              <w:t>typeD</w:t>
            </w:r>
            <w:proofErr w:type="spellEnd"/>
            <w:r>
              <w:rPr>
                <w:rFonts w:ascii="Times New Roman" w:hAnsi="Times New Roman"/>
                <w:sz w:val="18"/>
                <w:szCs w:val="18"/>
              </w:rPr>
              <w:t xml:space="preserve">', regardless of configuration of </w:t>
            </w:r>
            <w:r>
              <w:rPr>
                <w:rFonts w:ascii="Times New Roman" w:hAnsi="Times New Roman"/>
                <w:i/>
                <w:iCs/>
                <w:sz w:val="18"/>
                <w:szCs w:val="18"/>
              </w:rPr>
              <w:t>followUnifiedTCI-State</w:t>
            </w:r>
            <w:r>
              <w:rPr>
                <w:rFonts w:ascii="Times New Roman" w:hAnsi="Times New Roman"/>
                <w:sz w:val="18"/>
                <w:szCs w:val="18"/>
              </w:rPr>
              <w:t>,</w:t>
            </w:r>
          </w:p>
          <w:p w14:paraId="451B04CF" w14:textId="77777777" w:rsidR="00220FC1" w:rsidRDefault="00220FC1">
            <w:pPr>
              <w:tabs>
                <w:tab w:val="left" w:pos="314"/>
                <w:tab w:val="left" w:pos="720"/>
              </w:tabs>
              <w:snapToGrid w:val="0"/>
              <w:spacing w:before="100" w:beforeAutospacing="1" w:after="180"/>
              <w:ind w:left="568" w:hanging="284"/>
              <w:rPr>
                <w:rFonts w:ascii="Times New Roman" w:eastAsia="SimSu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the PCI of the serving cell, the indicated TCI state is applied to PDSCH reception.</w:t>
            </w:r>
          </w:p>
          <w:p w14:paraId="389457AF" w14:textId="77777777" w:rsidR="00220FC1" w:rsidRDefault="00220FC1">
            <w:pPr>
              <w:tabs>
                <w:tab w:val="left" w:pos="314"/>
                <w:tab w:val="left" w:pos="720"/>
              </w:tabs>
              <w:snapToGrid w:val="0"/>
              <w:spacing w:before="100" w:beforeAutospacing="1" w:after="180"/>
              <w:ind w:left="568" w:hanging="284"/>
              <w:rPr>
                <w:rFonts w:ascii="Times New Roma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i/>
                <w:sz w:val="18"/>
                <w:szCs w:val="18"/>
              </w:rPr>
              <w:t>controlResourceSetId</w:t>
            </w:r>
            <w:proofErr w:type="spellEnd"/>
            <w:r>
              <w:rPr>
                <w:rFonts w:ascii="Times New Roman" w:eastAsia="SimSun" w:hAnsi="Times New Roman"/>
                <w:sz w:val="18"/>
                <w:szCs w:val="18"/>
              </w:rPr>
              <w:t xml:space="preserve"> in the </w:t>
            </w:r>
            <w:r>
              <w:rPr>
                <w:rFonts w:ascii="Times New Roman" w:eastAsia="SimSun" w:hAnsi="Times New Roman"/>
                <w:sz w:val="18"/>
                <w:szCs w:val="18"/>
              </w:rPr>
              <w:lastRenderedPageBreak/>
              <w:t>latest slot in which one or more CORESETs within the active BWP of the serving cell are monitored by the UE. In the CA case, if the 'QCL-TypeD' of the PDSCH DM-RSs from respective CCs in a band are different in a slot, the QCL-TypeD assumption of the PDSCH DM-RS in the CC with lowest CC ID in the band is applied to all the PDSCH DM-RSs in the CCs in the band.</w:t>
            </w:r>
            <w:r>
              <w:rPr>
                <w:rFonts w:ascii="Times New Roman" w:eastAsia="SimSun" w:hAnsi="Times New Roman"/>
                <w:sz w:val="18"/>
                <w:szCs w:val="18"/>
                <w:lang w:eastAsia="zh-CN"/>
              </w:rPr>
              <w:t xml:space="preserve"> </w:t>
            </w:r>
            <w:r>
              <w:rPr>
                <w:rFonts w:ascii="Times New Roman" w:eastAsia="SimSun" w:hAnsi="Times New Roman"/>
                <w:sz w:val="18"/>
                <w:szCs w:val="18"/>
              </w:rPr>
              <w:t xml:space="preserve">In this case, if the </w:t>
            </w:r>
            <w:proofErr w:type="spellStart"/>
            <w:r>
              <w:rPr>
                <w:rFonts w:ascii="Times New Roman" w:eastAsia="SimSun" w:hAnsi="Times New Roman"/>
                <w:i/>
                <w:color w:val="000000"/>
                <w:sz w:val="18"/>
                <w:szCs w:val="18"/>
              </w:rPr>
              <w:t>qcl</w:t>
            </w:r>
            <w:proofErr w:type="spellEnd"/>
            <w:r>
              <w:rPr>
                <w:rFonts w:ascii="Times New Roman" w:eastAsia="SimSun" w:hAnsi="Times New Roman"/>
                <w:i/>
                <w:color w:val="000000"/>
                <w:sz w:val="18"/>
                <w:szCs w:val="18"/>
              </w:rPr>
              <w:t>-Type</w:t>
            </w:r>
            <w:r>
              <w:rPr>
                <w:rFonts w:ascii="Times New Roman" w:eastAsia="SimSun" w:hAnsi="Times New Roman"/>
                <w:color w:val="000000"/>
                <w:sz w:val="18"/>
                <w:szCs w:val="18"/>
              </w:rPr>
              <w:t xml:space="preserve"> is set to</w:t>
            </w:r>
            <w:r>
              <w:rPr>
                <w:rFonts w:ascii="Times New Roman" w:eastAsia="SimSun" w:hAnsi="Times New Roman"/>
                <w:sz w:val="18"/>
                <w:szCs w:val="18"/>
              </w:rPr>
              <w:t xml:space="preserve"> '</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DF4B04A" w14:textId="77777777" w:rsidR="00220FC1" w:rsidRDefault="00220FC1">
            <w:pPr>
              <w:pStyle w:val="B10"/>
              <w:rPr>
                <w:sz w:val="16"/>
                <w:szCs w:val="22"/>
              </w:rPr>
            </w:pPr>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23"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新細明體" w:eastAsia="新細明體" w:hAnsi="新細明體" w:hint="eastAsia"/>
              </w:rPr>
              <w:t xml:space="preserve"> </w:t>
            </w:r>
            <w:r>
              <w:rPr>
                <w:rFonts w:eastAsia="新細明體"/>
              </w:rPr>
              <w:t>the</w:t>
            </w:r>
            <w:r>
              <w:t xml:space="preserve"> PDSCH of the serving cell.</w:t>
            </w:r>
            <w:bookmarkEnd w:id="23"/>
          </w:p>
          <w:p w14:paraId="1F1BC6F3" w14:textId="77777777" w:rsidR="00220FC1" w:rsidRDefault="00220FC1">
            <w:pPr>
              <w:tabs>
                <w:tab w:val="left" w:pos="219"/>
              </w:tabs>
              <w:spacing w:before="240"/>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tc>
      </w:tr>
    </w:tbl>
    <w:bookmarkEnd w:id="22"/>
    <w:p w14:paraId="700948BD" w14:textId="27F90AB5" w:rsidR="00220FC1" w:rsidRPr="00045590" w:rsidRDefault="00045590" w:rsidP="00045590">
      <w:pPr>
        <w:pStyle w:val="1"/>
        <w:numPr>
          <w:ilvl w:val="1"/>
          <w:numId w:val="2"/>
        </w:numPr>
        <w:tabs>
          <w:tab w:val="clear" w:pos="0"/>
          <w:tab w:val="clear" w:pos="426"/>
        </w:tabs>
        <w:ind w:left="567" w:hanging="567"/>
        <w:jc w:val="both"/>
        <w:rPr>
          <w:rFonts w:eastAsia="新細明體" w:cs="Arial"/>
          <w:b/>
          <w:bCs/>
          <w:sz w:val="22"/>
          <w:szCs w:val="24"/>
          <w:lang w:val="en-US" w:eastAsia="zh-TW"/>
        </w:rPr>
      </w:pPr>
      <w:r w:rsidRPr="00045590">
        <w:rPr>
          <w:rFonts w:eastAsia="新細明體" w:cs="Arial"/>
          <w:b/>
          <w:bCs/>
          <w:sz w:val="22"/>
          <w:szCs w:val="24"/>
          <w:lang w:val="en-US" w:eastAsia="zh-TW"/>
        </w:rPr>
        <w:lastRenderedPageBreak/>
        <w:t xml:space="preserve">Draft </w:t>
      </w:r>
      <w:r w:rsidR="00220FC1" w:rsidRPr="00045590">
        <w:rPr>
          <w:rFonts w:eastAsia="新細明體" w:cs="Arial"/>
          <w:b/>
          <w:bCs/>
          <w:sz w:val="22"/>
          <w:szCs w:val="24"/>
          <w:lang w:val="en-US" w:eastAsia="zh-TW"/>
        </w:rPr>
        <w:t>CR based on Alt3:</w:t>
      </w:r>
    </w:p>
    <w:tbl>
      <w:tblPr>
        <w:tblStyle w:val="ab"/>
        <w:tblW w:w="0" w:type="auto"/>
        <w:tblInd w:w="108" w:type="dxa"/>
        <w:tblLook w:val="04A0" w:firstRow="1" w:lastRow="0" w:firstColumn="1" w:lastColumn="0" w:noHBand="0" w:noVBand="1"/>
      </w:tblPr>
      <w:tblGrid>
        <w:gridCol w:w="9962"/>
      </w:tblGrid>
      <w:tr w:rsidR="00220FC1" w14:paraId="6BD4C56B" w14:textId="77777777" w:rsidTr="00220FC1">
        <w:tc>
          <w:tcPr>
            <w:tcW w:w="10206" w:type="dxa"/>
            <w:tcBorders>
              <w:top w:val="single" w:sz="4" w:space="0" w:color="auto"/>
              <w:left w:val="single" w:sz="4" w:space="0" w:color="auto"/>
              <w:bottom w:val="single" w:sz="4" w:space="0" w:color="auto"/>
              <w:right w:val="single" w:sz="4" w:space="0" w:color="auto"/>
            </w:tcBorders>
            <w:hideMark/>
          </w:tcPr>
          <w:p w14:paraId="2F386177" w14:textId="77777777" w:rsidR="00220FC1" w:rsidRDefault="00220FC1">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Antenna ports quasi co-location</w:t>
            </w:r>
          </w:p>
          <w:p w14:paraId="20FFCDCD" w14:textId="77777777" w:rsidR="00220FC1" w:rsidRDefault="00220FC1">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1086F476" w14:textId="77777777" w:rsidR="00220FC1" w:rsidRDefault="00220FC1">
            <w:pPr>
              <w:spacing w:line="252" w:lineRule="auto"/>
              <w:rPr>
                <w:rFonts w:ascii="Times New Roman" w:eastAsia="Batang" w:hAnsi="Times New Roman"/>
                <w:sz w:val="18"/>
                <w:szCs w:val="18"/>
              </w:rPr>
            </w:pPr>
            <w:r>
              <w:rPr>
                <w:rFonts w:ascii="Times New Roman" w:hAnsi="Times New Roman"/>
                <w:sz w:val="18"/>
                <w:szCs w:val="18"/>
              </w:rPr>
              <w:t xml:space="preserve">Independent of the configuration of </w:t>
            </w:r>
            <w:proofErr w:type="spellStart"/>
            <w:r>
              <w:rPr>
                <w:rFonts w:ascii="Times New Roman" w:hAnsi="Times New Roman"/>
                <w:i/>
                <w:sz w:val="18"/>
                <w:szCs w:val="18"/>
              </w:rPr>
              <w:t>tci-PresentInDCI</w:t>
            </w:r>
            <w:proofErr w:type="spellEnd"/>
            <w:r>
              <w:rPr>
                <w:rFonts w:ascii="Times New Roman" w:hAnsi="Times New Roman"/>
                <w:sz w:val="18"/>
                <w:szCs w:val="18"/>
              </w:rPr>
              <w:t xml:space="preserve"> and </w:t>
            </w:r>
            <w:r>
              <w:rPr>
                <w:rFonts w:ascii="Times New Roman" w:hAnsi="Times New Roman"/>
                <w:i/>
                <w:sz w:val="18"/>
                <w:szCs w:val="18"/>
              </w:rPr>
              <w:t>tci-PresentDCI-1-2</w:t>
            </w:r>
            <w:r>
              <w:rPr>
                <w:rFonts w:ascii="Times New Roman" w:hAnsi="Times New Roman"/>
                <w:sz w:val="18"/>
                <w:szCs w:val="18"/>
              </w:rPr>
              <w:t xml:space="preserve"> in RRC connected mode, </w:t>
            </w:r>
            <w:bookmarkStart w:id="24" w:name="OLE_LINK42"/>
            <w:r>
              <w:rPr>
                <w:rFonts w:ascii="Times New Roman" w:hAnsi="Times New Roman"/>
                <w:sz w:val="18"/>
                <w:szCs w:val="18"/>
              </w:rPr>
              <w:t xml:space="preserve">if the UE is provided </w:t>
            </w:r>
            <w:r>
              <w:rPr>
                <w:rFonts w:ascii="Times New Roman" w:hAnsi="Times New Roman"/>
                <w:i/>
                <w:iCs/>
                <w:color w:val="000000"/>
                <w:sz w:val="18"/>
                <w:szCs w:val="18"/>
              </w:rPr>
              <w:t>dl-OrJointTCI-StateList-r17</w:t>
            </w:r>
            <w:r>
              <w:rPr>
                <w:rFonts w:ascii="Times New Roman" w:hAnsi="Times New Roman"/>
                <w:sz w:val="18"/>
                <w:szCs w:val="18"/>
              </w:rPr>
              <w:t xml:space="preserve">, and if the offset between the reception of the DL DCI and the corresponding PDSCH is less than the threshold </w:t>
            </w:r>
            <w:proofErr w:type="spellStart"/>
            <w:r>
              <w:rPr>
                <w:rFonts w:ascii="Times New Roman" w:hAnsi="Times New Roman"/>
                <w:i/>
                <w:sz w:val="18"/>
                <w:szCs w:val="18"/>
              </w:rPr>
              <w:t>timeDurationForQCL</w:t>
            </w:r>
            <w:proofErr w:type="spellEnd"/>
            <w:r>
              <w:rPr>
                <w:rFonts w:ascii="Times New Roman" w:hAnsi="Times New Roman"/>
                <w:sz w:val="18"/>
                <w:szCs w:val="18"/>
              </w:rPr>
              <w:t xml:space="preserve"> </w:t>
            </w:r>
            <w:bookmarkEnd w:id="24"/>
            <w:r>
              <w:rPr>
                <w:rFonts w:ascii="Times New Roman" w:hAnsi="Times New Roman"/>
                <w:sz w:val="18"/>
                <w:szCs w:val="18"/>
              </w:rPr>
              <w:t xml:space="preserve">and at least one configured TCI state for the serving cell of scheduled PDSCH contains </w:t>
            </w:r>
            <w:proofErr w:type="spellStart"/>
            <w:r>
              <w:rPr>
                <w:rFonts w:ascii="Times New Roman" w:hAnsi="Times New Roman"/>
                <w:i/>
                <w:color w:val="000000"/>
                <w:sz w:val="18"/>
                <w:szCs w:val="18"/>
              </w:rPr>
              <w:t>qcl</w:t>
            </w:r>
            <w:proofErr w:type="spellEnd"/>
            <w:r>
              <w:rPr>
                <w:rFonts w:ascii="Times New Roman" w:hAnsi="Times New Roman"/>
                <w:i/>
                <w:color w:val="000000"/>
                <w:sz w:val="18"/>
                <w:szCs w:val="18"/>
              </w:rPr>
              <w:t>-Type</w:t>
            </w:r>
            <w:r>
              <w:rPr>
                <w:rFonts w:ascii="Times New Roman" w:hAnsi="Times New Roman"/>
                <w:color w:val="000000"/>
                <w:sz w:val="18"/>
                <w:szCs w:val="18"/>
              </w:rPr>
              <w:t xml:space="preserve"> set to</w:t>
            </w:r>
            <w:r>
              <w:rPr>
                <w:rFonts w:ascii="Times New Roman" w:hAnsi="Times New Roman"/>
                <w:sz w:val="18"/>
                <w:szCs w:val="18"/>
              </w:rPr>
              <w:t xml:space="preserve"> '</w:t>
            </w:r>
            <w:proofErr w:type="spellStart"/>
            <w:r>
              <w:rPr>
                <w:rFonts w:ascii="Times New Roman" w:hAnsi="Times New Roman"/>
                <w:sz w:val="18"/>
                <w:szCs w:val="18"/>
              </w:rPr>
              <w:t>typeD</w:t>
            </w:r>
            <w:proofErr w:type="spellEnd"/>
            <w:r>
              <w:rPr>
                <w:rFonts w:ascii="Times New Roman" w:hAnsi="Times New Roman"/>
                <w:sz w:val="18"/>
                <w:szCs w:val="18"/>
              </w:rPr>
              <w:t xml:space="preserve">', regardless of configuration of </w:t>
            </w:r>
            <w:r>
              <w:rPr>
                <w:rFonts w:ascii="Times New Roman" w:hAnsi="Times New Roman"/>
                <w:i/>
                <w:iCs/>
                <w:sz w:val="18"/>
                <w:szCs w:val="18"/>
              </w:rPr>
              <w:t>followUnifiedTCI-State</w:t>
            </w:r>
            <w:r>
              <w:rPr>
                <w:rFonts w:ascii="Times New Roman" w:hAnsi="Times New Roman"/>
                <w:sz w:val="18"/>
                <w:szCs w:val="18"/>
              </w:rPr>
              <w:t>,</w:t>
            </w:r>
          </w:p>
          <w:p w14:paraId="245D152E" w14:textId="77777777" w:rsidR="00220FC1" w:rsidRDefault="00220FC1">
            <w:pPr>
              <w:tabs>
                <w:tab w:val="left" w:pos="314"/>
                <w:tab w:val="left" w:pos="720"/>
              </w:tabs>
              <w:snapToGrid w:val="0"/>
              <w:spacing w:before="100" w:beforeAutospacing="1" w:after="180"/>
              <w:ind w:left="568" w:hanging="284"/>
              <w:rPr>
                <w:rFonts w:ascii="Times New Roman" w:eastAsia="SimSu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the PCI of the serving cell, the indicated TCI state is applied to PDSCH reception.</w:t>
            </w:r>
          </w:p>
          <w:p w14:paraId="22025609" w14:textId="77777777" w:rsidR="00220FC1" w:rsidRDefault="00220FC1">
            <w:pPr>
              <w:tabs>
                <w:tab w:val="left" w:pos="314"/>
                <w:tab w:val="left" w:pos="720"/>
              </w:tabs>
              <w:snapToGrid w:val="0"/>
              <w:spacing w:before="100" w:beforeAutospacing="1" w:after="180"/>
              <w:ind w:left="568" w:hanging="284"/>
              <w:rPr>
                <w:rFonts w:ascii="Times New Roman" w:hAnsi="Times New Roman"/>
                <w:sz w:val="18"/>
                <w:szCs w:val="18"/>
              </w:rPr>
            </w:pPr>
            <w:r>
              <w:rPr>
                <w:rFonts w:ascii="Times New Roman" w:eastAsia="SimSun" w:hAnsi="Times New Roman"/>
                <w:sz w:val="18"/>
                <w:szCs w:val="18"/>
              </w:rPr>
              <w:t>-</w:t>
            </w:r>
            <w:r>
              <w:rPr>
                <w:rFonts w:ascii="Times New Roman" w:eastAsia="SimSun" w:hAnsi="Times New Roman"/>
                <w:sz w:val="18"/>
                <w:szCs w:val="18"/>
              </w:rPr>
              <w:tab/>
              <w:t>if the indicated TCI state is associated with a PCI different from the serving cell, the UE may assume that</w:t>
            </w:r>
            <w:bookmarkStart w:id="25" w:name="OLE_LINK50"/>
            <w:r>
              <w:rPr>
                <w:rFonts w:ascii="Times New Roman" w:eastAsia="SimSun" w:hAnsi="Times New Roman"/>
                <w:sz w:val="18"/>
                <w:szCs w:val="18"/>
              </w:rPr>
              <w:t xml:space="preserve"> the DM-RS ports of PDSCH(s) </w:t>
            </w:r>
            <w:bookmarkStart w:id="26" w:name="OLE_LINK43"/>
            <w:r>
              <w:rPr>
                <w:rFonts w:ascii="Times New Roman" w:eastAsia="SimSun" w:hAnsi="Times New Roman"/>
                <w:sz w:val="18"/>
                <w:szCs w:val="18"/>
              </w:rPr>
              <w:t>of a serving cell</w:t>
            </w:r>
            <w:bookmarkEnd w:id="26"/>
            <w:r>
              <w:rPr>
                <w:rFonts w:ascii="Times New Roman" w:eastAsia="SimSun" w:hAnsi="Times New Roman"/>
                <w:sz w:val="18"/>
                <w:szCs w:val="18"/>
              </w:rPr>
              <w:t xml:space="preserve"> </w:t>
            </w:r>
            <w:bookmarkEnd w:id="25"/>
            <w:r>
              <w:rPr>
                <w:rFonts w:ascii="Times New Roman" w:eastAsia="SimSun" w:hAnsi="Times New Roman"/>
                <w:sz w:val="18"/>
                <w:szCs w:val="18"/>
              </w:rPr>
              <w:t xml:space="preserve">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i/>
                <w:sz w:val="18"/>
                <w:szCs w:val="18"/>
              </w:rPr>
              <w:t>controlResourceSetId</w:t>
            </w:r>
            <w:proofErr w:type="spellEnd"/>
            <w:r>
              <w:rPr>
                <w:rFonts w:ascii="Times New Roman" w:eastAsia="SimSun" w:hAnsi="Times New Roman"/>
                <w:sz w:val="18"/>
                <w:szCs w:val="18"/>
              </w:rPr>
              <w:t xml:space="preserve"> in the latest slot in which one or more CORESETs within the active BWP of the serving cell are monitored by the UE. In the CA case, if the 'QCL-TypeD' of the PDSCH DM-RSs from respective CCs in a band are different in a slot, the QCL-TypeD assumption of the PDSCH DM-RS in the CC with lowest CC ID in the band is applied to all the PDSCH DM-RSs in the CCs in the band.</w:t>
            </w:r>
            <w:r>
              <w:rPr>
                <w:rFonts w:ascii="Times New Roman" w:eastAsia="SimSun" w:hAnsi="Times New Roman"/>
                <w:sz w:val="18"/>
                <w:szCs w:val="18"/>
                <w:lang w:eastAsia="zh-CN"/>
              </w:rPr>
              <w:t xml:space="preserve"> </w:t>
            </w:r>
            <w:r>
              <w:rPr>
                <w:rFonts w:ascii="Times New Roman" w:eastAsia="SimSun" w:hAnsi="Times New Roman"/>
                <w:sz w:val="18"/>
                <w:szCs w:val="18"/>
              </w:rPr>
              <w:t xml:space="preserve">In this case, if the </w:t>
            </w:r>
            <w:proofErr w:type="spellStart"/>
            <w:r>
              <w:rPr>
                <w:rFonts w:ascii="Times New Roman" w:eastAsia="SimSun" w:hAnsi="Times New Roman"/>
                <w:i/>
                <w:color w:val="000000"/>
                <w:sz w:val="18"/>
                <w:szCs w:val="18"/>
              </w:rPr>
              <w:t>qcl</w:t>
            </w:r>
            <w:proofErr w:type="spellEnd"/>
            <w:r>
              <w:rPr>
                <w:rFonts w:ascii="Times New Roman" w:eastAsia="SimSun" w:hAnsi="Times New Roman"/>
                <w:i/>
                <w:color w:val="000000"/>
                <w:sz w:val="18"/>
                <w:szCs w:val="18"/>
              </w:rPr>
              <w:t>-Type</w:t>
            </w:r>
            <w:r>
              <w:rPr>
                <w:rFonts w:ascii="Times New Roman" w:eastAsia="SimSun" w:hAnsi="Times New Roman"/>
                <w:color w:val="000000"/>
                <w:sz w:val="18"/>
                <w:szCs w:val="18"/>
              </w:rPr>
              <w:t xml:space="preserve"> is set to</w:t>
            </w:r>
            <w:r>
              <w:rPr>
                <w:rFonts w:ascii="Times New Roman" w:eastAsia="SimSun" w:hAnsi="Times New Roman"/>
                <w:sz w:val="18"/>
                <w:szCs w:val="18"/>
              </w:rPr>
              <w:t xml:space="preserve"> '</w:t>
            </w:r>
            <w:proofErr w:type="spellStart"/>
            <w:r>
              <w:rPr>
                <w:rFonts w:ascii="Times New Roman" w:eastAsia="SimSun" w:hAnsi="Times New Roman"/>
                <w:sz w:val="18"/>
                <w:szCs w:val="18"/>
              </w:rPr>
              <w:t>typeD</w:t>
            </w:r>
            <w:proofErr w:type="spellEnd"/>
            <w:r>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3AF1397" w14:textId="77777777" w:rsidR="00045590" w:rsidRPr="00045590" w:rsidRDefault="00045590" w:rsidP="00045590">
            <w:pPr>
              <w:spacing w:line="252" w:lineRule="auto"/>
              <w:rPr>
                <w:rFonts w:ascii="Times New Roman" w:eastAsia="Times New Roman" w:hAnsi="Times New Roman" w:cs="Times New Roman"/>
                <w:iCs/>
                <w:color w:val="FF0000"/>
                <w:sz w:val="18"/>
                <w:szCs w:val="18"/>
              </w:rPr>
            </w:pPr>
            <w:r w:rsidRPr="00045590">
              <w:rPr>
                <w:rFonts w:ascii="Times New Roman" w:hAnsi="Times New Roman" w:cs="Times New Roman"/>
                <w:color w:val="FF0000"/>
                <w:sz w:val="18"/>
                <w:szCs w:val="18"/>
              </w:rPr>
              <w:t xml:space="preserve">For a UE that is provided </w:t>
            </w:r>
            <w:r w:rsidRPr="00045590">
              <w:rPr>
                <w:rFonts w:ascii="Times New Roman" w:hAnsi="Times New Roman" w:cs="Times New Roman"/>
                <w:i/>
                <w:iCs/>
                <w:color w:val="FF0000"/>
                <w:sz w:val="18"/>
                <w:szCs w:val="18"/>
              </w:rPr>
              <w:t>dl-OrJointTCI-StateList-r17</w:t>
            </w:r>
            <w:r w:rsidRPr="00045590">
              <w:rPr>
                <w:rFonts w:ascii="Times New Roman" w:hAnsi="Times New Roman" w:cs="Times New Roman"/>
                <w:color w:val="FF0000"/>
                <w:sz w:val="18"/>
                <w:szCs w:val="18"/>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045590">
              <w:rPr>
                <w:rFonts w:ascii="Times New Roman" w:hAnsi="Times New Roman" w:cs="Times New Roman"/>
                <w:i/>
                <w:iCs/>
                <w:color w:val="FF0000"/>
                <w:sz w:val="18"/>
                <w:szCs w:val="18"/>
              </w:rPr>
              <w:t>timeDurationForQCL</w:t>
            </w:r>
            <w:proofErr w:type="spellEnd"/>
            <w:r w:rsidRPr="00045590">
              <w:rPr>
                <w:rFonts w:ascii="Times New Roman" w:hAnsi="Times New Roman" w:cs="Times New Roman"/>
                <w:color w:val="FF0000"/>
                <w:sz w:val="18"/>
                <w:szCs w:val="18"/>
              </w:rPr>
              <w:t>,</w:t>
            </w:r>
          </w:p>
          <w:p w14:paraId="0E8F5DA7" w14:textId="77777777" w:rsidR="00045590" w:rsidRPr="00045590" w:rsidRDefault="00045590" w:rsidP="00045590">
            <w:pPr>
              <w:tabs>
                <w:tab w:val="left" w:pos="314"/>
                <w:tab w:val="left" w:pos="720"/>
              </w:tabs>
              <w:snapToGrid w:val="0"/>
              <w:spacing w:before="100" w:beforeAutospacing="1" w:after="180"/>
              <w:ind w:left="568" w:hanging="284"/>
              <w:rPr>
                <w:rFonts w:ascii="Times New Roman" w:eastAsia="SimSun" w:hAnsi="Times New Roman" w:cs="Times New Roman"/>
                <w:color w:val="FF0000"/>
                <w:sz w:val="18"/>
                <w:szCs w:val="18"/>
              </w:rPr>
            </w:pPr>
            <w:r w:rsidRPr="00045590">
              <w:rPr>
                <w:rFonts w:ascii="Times New Roman" w:eastAsia="SimSun" w:hAnsi="Times New Roman" w:cs="Times New Roman"/>
                <w:color w:val="FF0000"/>
                <w:sz w:val="18"/>
                <w:szCs w:val="18"/>
              </w:rPr>
              <w:t>-</w:t>
            </w:r>
            <w:r w:rsidRPr="00045590">
              <w:rPr>
                <w:rFonts w:ascii="Times New Roman" w:eastAsia="SimSun" w:hAnsi="Times New Roman" w:cs="Times New Roman"/>
                <w:color w:val="FF0000"/>
                <w:sz w:val="18"/>
                <w:szCs w:val="18"/>
              </w:rPr>
              <w:tab/>
              <w:t xml:space="preserve">if the TCI field is present in the DL DCI scheduling the PDSCH of the serving cell, the UE may assume that the DM-RS ports of the PDSCH of a serving cell are quasi co-located with the RS(s) in the TCI state with respect to the QCL type parameter(s) given by the indicated TCI state. For a single slot PDSCH, the indicated TCI state should be based on the activated TCI states in the slot with the scheduled PDSCH. For a multi-slot PDSCH or the UE is configured with higher layer parameter </w:t>
            </w:r>
            <w:proofErr w:type="spellStart"/>
            <w:r w:rsidRPr="00045590">
              <w:rPr>
                <w:rFonts w:ascii="Times New Roman" w:eastAsia="SimSun" w:hAnsi="Times New Roman" w:cs="Times New Roman"/>
                <w:i/>
                <w:color w:val="FF0000"/>
                <w:sz w:val="18"/>
                <w:szCs w:val="18"/>
              </w:rPr>
              <w:t>pdsch-TimeDomainAllocationListForMultiPDSCH</w:t>
            </w:r>
            <w:proofErr w:type="spellEnd"/>
            <w:r w:rsidRPr="00045590">
              <w:rPr>
                <w:rFonts w:ascii="Times New Roman" w:eastAsia="SimSun" w:hAnsi="Times New Roman" w:cs="Times New Roman"/>
                <w:color w:val="FF0000"/>
                <w:sz w:val="18"/>
                <w:szCs w:val="18"/>
              </w:rPr>
              <w:t xml:space="preserve">, the indicated TCI state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045590">
              <w:rPr>
                <w:rFonts w:ascii="Times New Roman" w:eastAsia="SimSun" w:hAnsi="Times New Roman" w:cs="Times New Roman"/>
                <w:i/>
                <w:color w:val="FF0000"/>
                <w:sz w:val="18"/>
                <w:szCs w:val="18"/>
              </w:rPr>
              <w:t>enableDefaultBeamForCCS</w:t>
            </w:r>
            <w:proofErr w:type="spellEnd"/>
            <w:r w:rsidRPr="00045590">
              <w:rPr>
                <w:rFonts w:ascii="Times New Roman" w:eastAsia="SimSun" w:hAnsi="Times New Roman" w:cs="Times New Roman"/>
                <w:color w:val="FF0000"/>
                <w:sz w:val="18"/>
                <w:szCs w:val="18"/>
              </w:rPr>
              <w:t xml:space="preserve">, the UE expects </w:t>
            </w:r>
            <w:proofErr w:type="spellStart"/>
            <w:r w:rsidRPr="00045590">
              <w:rPr>
                <w:rFonts w:ascii="Times New Roman" w:eastAsia="SimSun" w:hAnsi="Times New Roman" w:cs="Times New Roman"/>
                <w:i/>
                <w:color w:val="FF0000"/>
                <w:sz w:val="18"/>
                <w:szCs w:val="18"/>
              </w:rPr>
              <w:t>tci-PresentInDCI</w:t>
            </w:r>
            <w:proofErr w:type="spellEnd"/>
            <w:r w:rsidRPr="00045590">
              <w:rPr>
                <w:rFonts w:ascii="Times New Roman" w:eastAsia="SimSun" w:hAnsi="Times New Roman" w:cs="Times New Roman"/>
                <w:color w:val="FF0000"/>
                <w:sz w:val="18"/>
                <w:szCs w:val="18"/>
              </w:rPr>
              <w:t xml:space="preserve"> is set as 'enabled' or </w:t>
            </w:r>
            <w:r w:rsidRPr="00045590">
              <w:rPr>
                <w:rFonts w:ascii="Times New Roman" w:eastAsia="SimSun" w:hAnsi="Times New Roman" w:cs="Times New Roman"/>
                <w:i/>
                <w:color w:val="FF0000"/>
                <w:sz w:val="18"/>
                <w:szCs w:val="18"/>
              </w:rPr>
              <w:t>tci-PresentDCI-1-2</w:t>
            </w:r>
            <w:r w:rsidRPr="00045590">
              <w:rPr>
                <w:rFonts w:ascii="Times New Roman" w:eastAsia="SimSun" w:hAnsi="Times New Roman" w:cs="Times New Roman"/>
                <w:color w:val="FF0000"/>
                <w:sz w:val="18"/>
                <w:szCs w:val="18"/>
              </w:rPr>
              <w:t xml:space="preserve"> is configured for the CORESET, and if one or more of the TCI states configured for the serving cell scheduled by the search space set contains </w:t>
            </w:r>
            <w:proofErr w:type="spellStart"/>
            <w:r w:rsidRPr="00045590">
              <w:rPr>
                <w:rFonts w:ascii="Times New Roman" w:eastAsia="SimSun" w:hAnsi="Times New Roman" w:cs="Times New Roman"/>
                <w:i/>
                <w:color w:val="FF0000"/>
                <w:sz w:val="18"/>
                <w:szCs w:val="18"/>
              </w:rPr>
              <w:t>qcl</w:t>
            </w:r>
            <w:proofErr w:type="spellEnd"/>
            <w:r w:rsidRPr="00045590">
              <w:rPr>
                <w:rFonts w:ascii="Times New Roman" w:eastAsia="SimSun" w:hAnsi="Times New Roman" w:cs="Times New Roman"/>
                <w:i/>
                <w:color w:val="FF0000"/>
                <w:sz w:val="18"/>
                <w:szCs w:val="18"/>
              </w:rPr>
              <w:t>-Type</w:t>
            </w:r>
            <w:r w:rsidRPr="00045590">
              <w:rPr>
                <w:rFonts w:ascii="Times New Roman" w:eastAsia="SimSun" w:hAnsi="Times New Roman" w:cs="Times New Roman"/>
                <w:color w:val="FF0000"/>
                <w:sz w:val="18"/>
                <w:szCs w:val="18"/>
              </w:rPr>
              <w:t xml:space="preserve"> set to '</w:t>
            </w:r>
            <w:proofErr w:type="spellStart"/>
            <w:r w:rsidRPr="00045590">
              <w:rPr>
                <w:rFonts w:ascii="Times New Roman" w:eastAsia="SimSun" w:hAnsi="Times New Roman" w:cs="Times New Roman"/>
                <w:color w:val="FF0000"/>
                <w:sz w:val="18"/>
                <w:szCs w:val="18"/>
              </w:rPr>
              <w:t>typeD</w:t>
            </w:r>
            <w:proofErr w:type="spellEnd"/>
            <w:r w:rsidRPr="00045590">
              <w:rPr>
                <w:rFonts w:ascii="Times New Roman" w:eastAsia="SimSun" w:hAnsi="Times New Roman" w:cs="Times New Roman"/>
                <w:color w:val="FF0000"/>
                <w:sz w:val="18"/>
                <w:szCs w:val="18"/>
              </w:rPr>
              <w:t xml:space="preserve">', the UE expects the time offset between the reception of the detected PDCCH in the search space set and a corresponding PDSCH is larger than or equal to the threshold </w:t>
            </w:r>
            <w:proofErr w:type="spellStart"/>
            <w:r w:rsidRPr="00045590">
              <w:rPr>
                <w:rFonts w:ascii="Times New Roman" w:eastAsia="SimSun" w:hAnsi="Times New Roman" w:cs="Times New Roman"/>
                <w:i/>
                <w:color w:val="FF0000"/>
                <w:sz w:val="18"/>
                <w:szCs w:val="18"/>
              </w:rPr>
              <w:t>timeDurationForQCL</w:t>
            </w:r>
            <w:proofErr w:type="spellEnd"/>
            <w:r w:rsidRPr="00045590">
              <w:rPr>
                <w:rFonts w:ascii="Times New Roman" w:eastAsia="SimSun" w:hAnsi="Times New Roman" w:cs="Times New Roman"/>
                <w:color w:val="FF0000"/>
                <w:sz w:val="18"/>
                <w:szCs w:val="18"/>
              </w:rPr>
              <w:t>.</w:t>
            </w:r>
          </w:p>
          <w:p w14:paraId="2D088252" w14:textId="77777777" w:rsidR="00045590" w:rsidRPr="00045590" w:rsidRDefault="00045590" w:rsidP="00045590">
            <w:pPr>
              <w:tabs>
                <w:tab w:val="left" w:pos="314"/>
                <w:tab w:val="left" w:pos="720"/>
              </w:tabs>
              <w:snapToGrid w:val="0"/>
              <w:spacing w:before="100" w:beforeAutospacing="1" w:after="180"/>
              <w:ind w:left="568" w:hanging="284"/>
              <w:rPr>
                <w:rFonts w:ascii="Times New Roman" w:eastAsia="SimSun" w:hAnsi="Times New Roman" w:cs="Times New Roman"/>
                <w:color w:val="FF0000"/>
                <w:sz w:val="18"/>
                <w:szCs w:val="18"/>
              </w:rPr>
            </w:pPr>
            <w:r w:rsidRPr="00045590">
              <w:rPr>
                <w:rFonts w:ascii="Times New Roman" w:eastAsia="SimSun" w:hAnsi="Times New Roman" w:cs="Times New Roman"/>
                <w:color w:val="FF0000"/>
                <w:sz w:val="18"/>
                <w:szCs w:val="18"/>
              </w:rPr>
              <w:lastRenderedPageBreak/>
              <w:t>-</w:t>
            </w:r>
            <w:r w:rsidRPr="00045590">
              <w:rPr>
                <w:rFonts w:ascii="Times New Roman" w:eastAsia="SimSun" w:hAnsi="Times New Roman" w:cs="Times New Roman"/>
                <w:color w:val="FF0000"/>
                <w:sz w:val="18"/>
                <w:szCs w:val="18"/>
              </w:rPr>
              <w:tab/>
              <w:t xml:space="preserve">if the TCI field </w:t>
            </w:r>
            <w:r w:rsidRPr="00045590">
              <w:rPr>
                <w:rFonts w:ascii="Times New Roman" w:hAnsi="Times New Roman" w:cs="Times New Roman"/>
                <w:color w:val="FF0000"/>
                <w:sz w:val="18"/>
                <w:szCs w:val="18"/>
              </w:rPr>
              <w:t xml:space="preserve">is not </w:t>
            </w:r>
            <w:r w:rsidRPr="00045590">
              <w:rPr>
                <w:rFonts w:ascii="Times New Roman" w:eastAsia="SimSun" w:hAnsi="Times New Roman" w:cs="Times New Roman"/>
                <w:color w:val="FF0000"/>
                <w:sz w:val="18"/>
                <w:szCs w:val="18"/>
              </w:rPr>
              <w:t xml:space="preserve">present in the DL DCI scheduling the PDSCH of the serving cell, </w:t>
            </w:r>
            <w:r w:rsidRPr="00045590">
              <w:rPr>
                <w:rFonts w:ascii="Times New Roman" w:hAnsi="Times New Roman" w:cs="Times New Roman"/>
                <w:color w:val="FF0000"/>
                <w:sz w:val="18"/>
                <w:szCs w:val="18"/>
              </w:rPr>
              <w:t>the UE assumes that the TCI state or the QCL assumption for the PDSCH</w:t>
            </w:r>
            <w:r w:rsidRPr="00045590">
              <w:rPr>
                <w:rFonts w:ascii="Times New Roman" w:eastAsia="SimSun" w:hAnsi="Times New Roman" w:cs="Times New Roman"/>
                <w:color w:val="FF0000"/>
                <w:sz w:val="18"/>
                <w:szCs w:val="18"/>
              </w:rPr>
              <w:t xml:space="preserve"> of the serving cell</w:t>
            </w:r>
            <w:r w:rsidRPr="00045590">
              <w:rPr>
                <w:rFonts w:ascii="Times New Roman" w:hAnsi="Times New Roman" w:cs="Times New Roman"/>
                <w:color w:val="FF0000"/>
                <w:sz w:val="18"/>
                <w:szCs w:val="18"/>
              </w:rPr>
              <w:t xml:space="preserve"> is identical to the TCI state or QCL assumption whichever is applied for the CORESET used for the PDCCH transmission within the active BWP of the serving cell.</w:t>
            </w:r>
          </w:p>
          <w:p w14:paraId="7F0B33F2" w14:textId="77777777" w:rsidR="00220FC1" w:rsidRDefault="00220FC1">
            <w:pPr>
              <w:tabs>
                <w:tab w:val="left" w:pos="219"/>
              </w:tabs>
              <w:spacing w:before="240"/>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tc>
      </w:tr>
    </w:tbl>
    <w:p w14:paraId="73455F7F" w14:textId="3F04E533" w:rsidR="00C72426" w:rsidRPr="00C72426" w:rsidRDefault="00623286" w:rsidP="00C72426">
      <w:pPr>
        <w:pStyle w:val="1"/>
        <w:numPr>
          <w:ilvl w:val="0"/>
          <w:numId w:val="2"/>
        </w:numPr>
        <w:jc w:val="both"/>
        <w:rPr>
          <w:rFonts w:eastAsia="新細明體" w:cs="Arial"/>
          <w:b/>
          <w:bCs/>
          <w:sz w:val="28"/>
          <w:lang w:val="en-US" w:eastAsia="zh-TW"/>
        </w:rPr>
      </w:pPr>
      <w:bookmarkStart w:id="27" w:name="OLE_LINK74"/>
      <w:r w:rsidRPr="00CE7DF9">
        <w:rPr>
          <w:rFonts w:eastAsia="新細明體" w:cs="Arial"/>
          <w:b/>
          <w:bCs/>
          <w:sz w:val="28"/>
          <w:lang w:val="en-US" w:eastAsia="zh-TW"/>
        </w:rPr>
        <w:lastRenderedPageBreak/>
        <w:t>Conclusion</w:t>
      </w:r>
    </w:p>
    <w:bookmarkEnd w:id="27"/>
    <w:p w14:paraId="245FC5ED" w14:textId="77777777" w:rsidR="00C72426" w:rsidRPr="00C72426" w:rsidRDefault="00C72426" w:rsidP="00C72426">
      <w:pPr>
        <w:spacing w:after="0"/>
        <w:rPr>
          <w:rFonts w:ascii="Times New Roman" w:eastAsia="Batang" w:hAnsi="Times New Roman" w:cs="Times New Roman"/>
          <w:b/>
          <w:sz w:val="20"/>
          <w:szCs w:val="24"/>
        </w:rPr>
      </w:pPr>
      <w:r w:rsidRPr="00C72426">
        <w:rPr>
          <w:rFonts w:ascii="Times New Roman" w:hAnsi="Times New Roman" w:cs="Times New Roman"/>
          <w:b/>
          <w:highlight w:val="green"/>
        </w:rPr>
        <w:t>Agreement</w:t>
      </w:r>
    </w:p>
    <w:p w14:paraId="0938DB4F" w14:textId="77777777" w:rsidR="00C72426" w:rsidRPr="00C72426" w:rsidRDefault="00C72426" w:rsidP="00C72426">
      <w:pPr>
        <w:spacing w:after="0"/>
        <w:rPr>
          <w:rFonts w:ascii="Times New Roman" w:hAnsi="Times New Roman" w:cs="Times New Roman"/>
          <w:bCs/>
        </w:rPr>
      </w:pPr>
      <w:r w:rsidRPr="00C72426">
        <w:rPr>
          <w:rFonts w:ascii="Times New Roman" w:hAnsi="Times New Roman" w:cs="Times New Roman"/>
          <w:bCs/>
        </w:rPr>
        <w:t xml:space="preserve">For the case where scheduling offset &gt;= </w:t>
      </w:r>
      <w:proofErr w:type="spellStart"/>
      <w:r w:rsidRPr="00C72426">
        <w:rPr>
          <w:rFonts w:ascii="Times New Roman" w:hAnsi="Times New Roman" w:cs="Times New Roman"/>
          <w:bCs/>
          <w:i/>
          <w:iCs/>
        </w:rPr>
        <w:t>timeDurationforQCL</w:t>
      </w:r>
      <w:proofErr w:type="spellEnd"/>
      <w:r w:rsidRPr="00C72426">
        <w:rPr>
          <w:rFonts w:ascii="Times New Roman" w:hAnsi="Times New Roman" w:cs="Times New Roman"/>
          <w:bCs/>
        </w:rPr>
        <w:t>, clarify the behavior for PDSCH reception scheduled by CORESET NOT following the unified TCI state in Rel-17 spec (TS 38.214 Clause 5.1.5) by adopting Alt2</w:t>
      </w:r>
    </w:p>
    <w:p w14:paraId="654220BE" w14:textId="77777777" w:rsidR="00C72426" w:rsidRPr="00C72426" w:rsidRDefault="00C72426" w:rsidP="00C72426">
      <w:pPr>
        <w:pStyle w:val="af6"/>
        <w:numPr>
          <w:ilvl w:val="0"/>
          <w:numId w:val="25"/>
        </w:numPr>
        <w:suppressAutoHyphens w:val="0"/>
        <w:spacing w:after="0" w:line="240" w:lineRule="auto"/>
        <w:contextualSpacing w:val="0"/>
        <w:rPr>
          <w:rFonts w:ascii="Times New Roman" w:hAnsi="Times New Roman" w:cs="Times New Roman"/>
          <w:bCs/>
        </w:rPr>
      </w:pPr>
      <w:r w:rsidRPr="00C72426">
        <w:rPr>
          <w:rFonts w:ascii="Times New Roman" w:hAnsi="Times New Roman" w:cs="Times New Roman"/>
          <w:bCs/>
        </w:rPr>
        <w:t xml:space="preserve">Alt2: Regardless of the TCI field present/absent in the DL </w:t>
      </w:r>
      <w:proofErr w:type="gramStart"/>
      <w:r w:rsidRPr="00C72426">
        <w:rPr>
          <w:rFonts w:ascii="Times New Roman" w:hAnsi="Times New Roman" w:cs="Times New Roman"/>
          <w:bCs/>
        </w:rPr>
        <w:t>DCI,</w:t>
      </w:r>
      <w:proofErr w:type="gramEnd"/>
      <w:r w:rsidRPr="00C72426">
        <w:rPr>
          <w:rFonts w:ascii="Times New Roman" w:hAnsi="Times New Roman" w:cs="Times New Roman"/>
          <w:bCs/>
        </w:rPr>
        <w:t xml:space="preserve"> </w:t>
      </w:r>
      <w:bookmarkStart w:id="28" w:name="OLE_LINK93"/>
      <w:r w:rsidRPr="00C72426">
        <w:rPr>
          <w:rFonts w:ascii="Times New Roman" w:hAnsi="Times New Roman" w:cs="Times New Roman"/>
          <w:bCs/>
        </w:rPr>
        <w:t>the UE applies the unified (indicated) TCI state to the corresponding PDSCH reception.</w:t>
      </w:r>
      <w:bookmarkEnd w:id="28"/>
    </w:p>
    <w:p w14:paraId="05E2E952" w14:textId="77777777" w:rsidR="00E80827" w:rsidRPr="00021B66" w:rsidRDefault="00E80827" w:rsidP="00021B66">
      <w:pPr>
        <w:pStyle w:val="1"/>
        <w:numPr>
          <w:ilvl w:val="0"/>
          <w:numId w:val="2"/>
        </w:numPr>
        <w:jc w:val="both"/>
        <w:rPr>
          <w:rFonts w:eastAsia="新細明體" w:cs="Arial"/>
          <w:b/>
          <w:bCs/>
          <w:sz w:val="28"/>
          <w:lang w:val="en-US" w:eastAsia="zh-TW"/>
        </w:rPr>
      </w:pPr>
      <w:bookmarkStart w:id="29" w:name="OLE_LINK77"/>
      <w:r w:rsidRPr="00021B66">
        <w:rPr>
          <w:rFonts w:eastAsia="新細明體" w:cs="Arial"/>
          <w:b/>
          <w:bCs/>
          <w:sz w:val="28"/>
          <w:lang w:val="en-US" w:eastAsia="zh-TW"/>
        </w:rPr>
        <w:t>References</w:t>
      </w:r>
    </w:p>
    <w:tbl>
      <w:tblPr>
        <w:tblStyle w:val="TableGrid1"/>
        <w:tblW w:w="0" w:type="auto"/>
        <w:tblInd w:w="0" w:type="dxa"/>
        <w:tblLook w:val="04A0" w:firstRow="1" w:lastRow="0" w:firstColumn="1" w:lastColumn="0" w:noHBand="0" w:noVBand="1"/>
      </w:tblPr>
      <w:tblGrid>
        <w:gridCol w:w="306"/>
        <w:gridCol w:w="1300"/>
        <w:gridCol w:w="5619"/>
        <w:gridCol w:w="2698"/>
      </w:tblGrid>
      <w:tr w:rsidR="00021B66" w14:paraId="2B51C90E"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bookmarkEnd w:id="29"/>
          <w:p w14:paraId="0FCFC208" w14:textId="77777777" w:rsidR="00021B66" w:rsidRDefault="00021B66">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535EBC" w14:textId="77777777" w:rsidR="00021B66" w:rsidRDefault="00021B66">
            <w:pPr>
              <w:tabs>
                <w:tab w:val="left" w:pos="314"/>
                <w:tab w:val="left" w:pos="720"/>
              </w:tabs>
              <w:snapToGrid w:val="0"/>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Tdoc</w:t>
            </w:r>
            <w:proofErr w:type="spellEnd"/>
          </w:p>
        </w:tc>
        <w:tc>
          <w:tcPr>
            <w:tcW w:w="56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66241F" w14:textId="77777777" w:rsidR="00021B66" w:rsidRDefault="00021B66">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Title</w:t>
            </w:r>
          </w:p>
        </w:tc>
        <w:tc>
          <w:tcPr>
            <w:tcW w:w="269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847A3A" w14:textId="77777777" w:rsidR="00021B66" w:rsidRDefault="00021B66">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Source</w:t>
            </w:r>
          </w:p>
        </w:tc>
      </w:tr>
      <w:tr w:rsidR="00F3414A" w14:paraId="613DEC83"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538698A3" w14:textId="361CAA62" w:rsidR="00F3414A" w:rsidRDefault="00F3414A" w:rsidP="00021B66">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tcPr>
          <w:p w14:paraId="6D9A7550" w14:textId="2E04F6E2" w:rsidR="00F3414A" w:rsidRPr="00021B66" w:rsidRDefault="00F3414A" w:rsidP="00021B66">
            <w:pPr>
              <w:tabs>
                <w:tab w:val="left" w:pos="314"/>
                <w:tab w:val="left" w:pos="720"/>
              </w:tabs>
              <w:snapToGrid w:val="0"/>
              <w:spacing w:after="0" w:line="240" w:lineRule="auto"/>
              <w:rPr>
                <w:rFonts w:ascii="Times New Roman" w:hAnsi="Times New Roman" w:cs="Times New Roman"/>
                <w:sz w:val="18"/>
                <w:szCs w:val="18"/>
              </w:rPr>
            </w:pPr>
            <w:bookmarkStart w:id="30" w:name="OLE_LINK63"/>
            <w:r w:rsidRPr="00F3414A">
              <w:rPr>
                <w:rFonts w:ascii="Times New Roman" w:hAnsi="Times New Roman" w:cs="Times New Roman"/>
                <w:sz w:val="18"/>
                <w:szCs w:val="18"/>
              </w:rPr>
              <w:t>R1-2409264</w:t>
            </w:r>
            <w:bookmarkEnd w:id="30"/>
          </w:p>
        </w:tc>
        <w:tc>
          <w:tcPr>
            <w:tcW w:w="5619" w:type="dxa"/>
            <w:tcBorders>
              <w:top w:val="single" w:sz="4" w:space="0" w:color="auto"/>
              <w:left w:val="single" w:sz="4" w:space="0" w:color="auto"/>
              <w:bottom w:val="single" w:sz="4" w:space="0" w:color="auto"/>
              <w:right w:val="single" w:sz="4" w:space="0" w:color="auto"/>
            </w:tcBorders>
          </w:tcPr>
          <w:p w14:paraId="59935E92" w14:textId="547D5756" w:rsidR="00F3414A" w:rsidRPr="00021B66" w:rsidRDefault="00F3414A" w:rsidP="00021B66">
            <w:pPr>
              <w:tabs>
                <w:tab w:val="left" w:pos="314"/>
                <w:tab w:val="left" w:pos="720"/>
              </w:tabs>
              <w:snapToGrid w:val="0"/>
              <w:spacing w:after="0" w:line="240" w:lineRule="auto"/>
              <w:rPr>
                <w:rFonts w:ascii="Times New Roman" w:hAnsi="Times New Roman" w:cs="Times New Roman"/>
                <w:sz w:val="18"/>
                <w:szCs w:val="18"/>
              </w:rPr>
            </w:pPr>
            <w:r w:rsidRPr="00F3414A">
              <w:rPr>
                <w:rFonts w:ascii="Times New Roman" w:hAnsi="Times New Roman" w:cs="Times New Roman"/>
                <w:sz w:val="18"/>
                <w:szCs w:val="18"/>
              </w:rPr>
              <w:t>Summary on PDSCH reception scheduled by CORESET not following the unified TCI state (Final)</w:t>
            </w:r>
          </w:p>
        </w:tc>
        <w:tc>
          <w:tcPr>
            <w:tcW w:w="2698" w:type="dxa"/>
            <w:tcBorders>
              <w:top w:val="single" w:sz="4" w:space="0" w:color="auto"/>
              <w:left w:val="single" w:sz="4" w:space="0" w:color="auto"/>
              <w:bottom w:val="single" w:sz="4" w:space="0" w:color="auto"/>
              <w:right w:val="single" w:sz="4" w:space="0" w:color="auto"/>
            </w:tcBorders>
          </w:tcPr>
          <w:p w14:paraId="059FDF15" w14:textId="59271963" w:rsidR="00F3414A" w:rsidRPr="00021B66" w:rsidRDefault="00F3414A" w:rsidP="00021B66">
            <w:pPr>
              <w:tabs>
                <w:tab w:val="left" w:pos="314"/>
                <w:tab w:val="left" w:pos="720"/>
              </w:tabs>
              <w:snapToGrid w:val="0"/>
              <w:spacing w:after="0" w:line="240" w:lineRule="auto"/>
              <w:rPr>
                <w:rFonts w:ascii="Times New Roman" w:hAnsi="Times New Roman" w:cs="Times New Roman"/>
                <w:sz w:val="18"/>
                <w:szCs w:val="18"/>
              </w:rPr>
            </w:pPr>
            <w:r w:rsidRPr="00F3414A">
              <w:rPr>
                <w:rFonts w:ascii="Times New Roman" w:hAnsi="Times New Roman" w:cs="Times New Roman"/>
                <w:sz w:val="18"/>
                <w:szCs w:val="18"/>
              </w:rPr>
              <w:t>Moderator (MediaTek Inc.)</w:t>
            </w:r>
          </w:p>
        </w:tc>
      </w:tr>
      <w:tr w:rsidR="00021B66" w14:paraId="73E35DF7"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7B9AEA96" w14:textId="0524CEFD" w:rsidR="00021B66" w:rsidRDefault="00F3414A" w:rsidP="00021B66">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tcPr>
          <w:p w14:paraId="012667CB" w14:textId="1D0AB7FC"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R1-2409368</w:t>
            </w:r>
          </w:p>
        </w:tc>
        <w:tc>
          <w:tcPr>
            <w:tcW w:w="5619" w:type="dxa"/>
            <w:tcBorders>
              <w:top w:val="single" w:sz="4" w:space="0" w:color="auto"/>
              <w:left w:val="single" w:sz="4" w:space="0" w:color="auto"/>
              <w:bottom w:val="single" w:sz="4" w:space="0" w:color="auto"/>
              <w:right w:val="single" w:sz="4" w:space="0" w:color="auto"/>
            </w:tcBorders>
          </w:tcPr>
          <w:p w14:paraId="39688E6B" w14:textId="3F40F266"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Discussion on PDSCH reception scheduled by CORESET not following the unified TCI state</w:t>
            </w:r>
          </w:p>
        </w:tc>
        <w:tc>
          <w:tcPr>
            <w:tcW w:w="2698" w:type="dxa"/>
            <w:tcBorders>
              <w:top w:val="single" w:sz="4" w:space="0" w:color="auto"/>
              <w:left w:val="single" w:sz="4" w:space="0" w:color="auto"/>
              <w:bottom w:val="single" w:sz="4" w:space="0" w:color="auto"/>
              <w:right w:val="single" w:sz="4" w:space="0" w:color="auto"/>
            </w:tcBorders>
          </w:tcPr>
          <w:p w14:paraId="7B2C7722" w14:textId="39A00135"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MediaTek Inc.</w:t>
            </w:r>
          </w:p>
        </w:tc>
      </w:tr>
      <w:tr w:rsidR="00021B66" w14:paraId="3F0B544B"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7498CE6E" w14:textId="65DA04E1" w:rsidR="00021B66" w:rsidRDefault="00F3414A" w:rsidP="00021B66">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tcPr>
          <w:p w14:paraId="25343BFD" w14:textId="4A5B130A"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R1-2409369</w:t>
            </w:r>
          </w:p>
        </w:tc>
        <w:tc>
          <w:tcPr>
            <w:tcW w:w="5619" w:type="dxa"/>
            <w:tcBorders>
              <w:top w:val="single" w:sz="4" w:space="0" w:color="auto"/>
              <w:left w:val="single" w:sz="4" w:space="0" w:color="auto"/>
              <w:bottom w:val="single" w:sz="4" w:space="0" w:color="auto"/>
              <w:right w:val="single" w:sz="4" w:space="0" w:color="auto"/>
            </w:tcBorders>
          </w:tcPr>
          <w:p w14:paraId="5FEE0D49" w14:textId="22F636BC"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Draft CR on PDSCH reception scheduled by CORESET not following the unified TCI state</w:t>
            </w:r>
          </w:p>
        </w:tc>
        <w:tc>
          <w:tcPr>
            <w:tcW w:w="2698" w:type="dxa"/>
            <w:tcBorders>
              <w:top w:val="single" w:sz="4" w:space="0" w:color="auto"/>
              <w:left w:val="single" w:sz="4" w:space="0" w:color="auto"/>
              <w:bottom w:val="single" w:sz="4" w:space="0" w:color="auto"/>
              <w:right w:val="single" w:sz="4" w:space="0" w:color="auto"/>
            </w:tcBorders>
          </w:tcPr>
          <w:p w14:paraId="4A808216" w14:textId="5A9E8471"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bookmarkStart w:id="31" w:name="OLE_LINK81"/>
            <w:r w:rsidRPr="00021B66">
              <w:rPr>
                <w:rFonts w:ascii="Times New Roman" w:hAnsi="Times New Roman" w:cs="Times New Roman"/>
                <w:sz w:val="18"/>
                <w:szCs w:val="18"/>
              </w:rPr>
              <w:t>MediaTek. Inc, NTT DOCOMO. INC, Ericsson, Huawei, Hisilicon</w:t>
            </w:r>
            <w:bookmarkEnd w:id="31"/>
          </w:p>
        </w:tc>
      </w:tr>
      <w:tr w:rsidR="00021B66" w14:paraId="3F85D9AE"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30AD93F8" w14:textId="5066B166" w:rsidR="00021B66" w:rsidRDefault="00F3414A" w:rsidP="00021B66">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tcPr>
          <w:p w14:paraId="0E1258F4" w14:textId="0E4BBB18"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R1-2409573</w:t>
            </w:r>
          </w:p>
        </w:tc>
        <w:tc>
          <w:tcPr>
            <w:tcW w:w="5619" w:type="dxa"/>
            <w:tcBorders>
              <w:top w:val="single" w:sz="4" w:space="0" w:color="auto"/>
              <w:left w:val="single" w:sz="4" w:space="0" w:color="auto"/>
              <w:bottom w:val="single" w:sz="4" w:space="0" w:color="auto"/>
              <w:right w:val="single" w:sz="4" w:space="0" w:color="auto"/>
            </w:tcBorders>
          </w:tcPr>
          <w:p w14:paraId="70EB4388" w14:textId="0A554B9B"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Discussion on TCI state determination for PDSCH reception scheduled by CORESET not following the indicated unified TCI state</w:t>
            </w:r>
          </w:p>
        </w:tc>
        <w:tc>
          <w:tcPr>
            <w:tcW w:w="2698" w:type="dxa"/>
            <w:tcBorders>
              <w:top w:val="single" w:sz="4" w:space="0" w:color="auto"/>
              <w:left w:val="single" w:sz="4" w:space="0" w:color="auto"/>
              <w:bottom w:val="single" w:sz="4" w:space="0" w:color="auto"/>
              <w:right w:val="single" w:sz="4" w:space="0" w:color="auto"/>
            </w:tcBorders>
          </w:tcPr>
          <w:p w14:paraId="0C8AAFC5" w14:textId="05424284"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Samsung</w:t>
            </w:r>
          </w:p>
        </w:tc>
      </w:tr>
      <w:tr w:rsidR="00021B66" w14:paraId="613F8029"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0CFCBC22" w14:textId="22F7E7E6" w:rsidR="00021B66" w:rsidRDefault="00F3414A" w:rsidP="00021B66">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5</w:t>
            </w:r>
          </w:p>
        </w:tc>
        <w:tc>
          <w:tcPr>
            <w:tcW w:w="1300" w:type="dxa"/>
            <w:tcBorders>
              <w:top w:val="single" w:sz="4" w:space="0" w:color="auto"/>
              <w:left w:val="single" w:sz="4" w:space="0" w:color="auto"/>
              <w:bottom w:val="single" w:sz="4" w:space="0" w:color="auto"/>
              <w:right w:val="single" w:sz="4" w:space="0" w:color="auto"/>
            </w:tcBorders>
          </w:tcPr>
          <w:p w14:paraId="56CA289C" w14:textId="59FE8730"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R1-2409574</w:t>
            </w:r>
          </w:p>
        </w:tc>
        <w:tc>
          <w:tcPr>
            <w:tcW w:w="5619" w:type="dxa"/>
            <w:tcBorders>
              <w:top w:val="single" w:sz="4" w:space="0" w:color="auto"/>
              <w:left w:val="single" w:sz="4" w:space="0" w:color="auto"/>
              <w:bottom w:val="single" w:sz="4" w:space="0" w:color="auto"/>
              <w:right w:val="single" w:sz="4" w:space="0" w:color="auto"/>
            </w:tcBorders>
          </w:tcPr>
          <w:p w14:paraId="2484D4B8" w14:textId="14950FFC"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Draft CR on TCI state determination for PDSCH reception scheduled by CORESET not following the indicated unified TCI state</w:t>
            </w:r>
          </w:p>
        </w:tc>
        <w:tc>
          <w:tcPr>
            <w:tcW w:w="2698" w:type="dxa"/>
            <w:tcBorders>
              <w:top w:val="single" w:sz="4" w:space="0" w:color="auto"/>
              <w:left w:val="single" w:sz="4" w:space="0" w:color="auto"/>
              <w:bottom w:val="single" w:sz="4" w:space="0" w:color="auto"/>
              <w:right w:val="single" w:sz="4" w:space="0" w:color="auto"/>
            </w:tcBorders>
          </w:tcPr>
          <w:p w14:paraId="16E16DD7" w14:textId="3592FE54"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Samsung</w:t>
            </w:r>
          </w:p>
        </w:tc>
      </w:tr>
      <w:tr w:rsidR="00021B66" w14:paraId="4D3E9356"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5C24816E" w14:textId="50FB28F9" w:rsidR="00021B66" w:rsidRDefault="00F3414A" w:rsidP="00021B66">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tcPr>
          <w:p w14:paraId="7F863F4F" w14:textId="6333B6CD"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R1-2409968</w:t>
            </w:r>
          </w:p>
        </w:tc>
        <w:tc>
          <w:tcPr>
            <w:tcW w:w="5619" w:type="dxa"/>
            <w:tcBorders>
              <w:top w:val="single" w:sz="4" w:space="0" w:color="auto"/>
              <w:left w:val="single" w:sz="4" w:space="0" w:color="auto"/>
              <w:bottom w:val="single" w:sz="4" w:space="0" w:color="auto"/>
              <w:right w:val="single" w:sz="4" w:space="0" w:color="auto"/>
            </w:tcBorders>
          </w:tcPr>
          <w:p w14:paraId="5C37BE8C" w14:textId="51F8D1F4"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Discussion on PDSCH reception scheduled by CORESET not following the unified TCI state</w:t>
            </w:r>
          </w:p>
        </w:tc>
        <w:tc>
          <w:tcPr>
            <w:tcW w:w="2698" w:type="dxa"/>
            <w:tcBorders>
              <w:top w:val="single" w:sz="4" w:space="0" w:color="auto"/>
              <w:left w:val="single" w:sz="4" w:space="0" w:color="auto"/>
              <w:bottom w:val="single" w:sz="4" w:space="0" w:color="auto"/>
              <w:right w:val="single" w:sz="4" w:space="0" w:color="auto"/>
            </w:tcBorders>
          </w:tcPr>
          <w:p w14:paraId="6195DCA5" w14:textId="519B64AB"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vivo</w:t>
            </w:r>
          </w:p>
        </w:tc>
      </w:tr>
      <w:tr w:rsidR="00021B66" w14:paraId="14CE2B87" w14:textId="77777777" w:rsidTr="00021B66">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74A72B92" w14:textId="46A9F1E7" w:rsidR="00021B66" w:rsidRDefault="00F3414A" w:rsidP="00021B66">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7</w:t>
            </w:r>
          </w:p>
        </w:tc>
        <w:tc>
          <w:tcPr>
            <w:tcW w:w="1300" w:type="dxa"/>
            <w:tcBorders>
              <w:top w:val="single" w:sz="4" w:space="0" w:color="auto"/>
              <w:left w:val="single" w:sz="4" w:space="0" w:color="auto"/>
              <w:bottom w:val="single" w:sz="4" w:space="0" w:color="auto"/>
              <w:right w:val="single" w:sz="4" w:space="0" w:color="auto"/>
            </w:tcBorders>
          </w:tcPr>
          <w:p w14:paraId="4C3F7E5E" w14:textId="5171C498"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R1-2410120</w:t>
            </w:r>
          </w:p>
        </w:tc>
        <w:tc>
          <w:tcPr>
            <w:tcW w:w="5619" w:type="dxa"/>
            <w:tcBorders>
              <w:top w:val="single" w:sz="4" w:space="0" w:color="auto"/>
              <w:left w:val="single" w:sz="4" w:space="0" w:color="auto"/>
              <w:bottom w:val="single" w:sz="4" w:space="0" w:color="auto"/>
              <w:right w:val="single" w:sz="4" w:space="0" w:color="auto"/>
            </w:tcBorders>
          </w:tcPr>
          <w:p w14:paraId="3ADFBF94" w14:textId="148FD835"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Discussion on QCL assumption for PDSCH scheduled by PDCCH in CORESET not following unified TCI</w:t>
            </w:r>
          </w:p>
        </w:tc>
        <w:tc>
          <w:tcPr>
            <w:tcW w:w="2698" w:type="dxa"/>
            <w:tcBorders>
              <w:top w:val="single" w:sz="4" w:space="0" w:color="auto"/>
              <w:left w:val="single" w:sz="4" w:space="0" w:color="auto"/>
              <w:bottom w:val="single" w:sz="4" w:space="0" w:color="auto"/>
              <w:right w:val="single" w:sz="4" w:space="0" w:color="auto"/>
            </w:tcBorders>
          </w:tcPr>
          <w:p w14:paraId="34C56C07" w14:textId="6D662CB0" w:rsidR="00021B66" w:rsidRDefault="00021B66" w:rsidP="00021B66">
            <w:pPr>
              <w:tabs>
                <w:tab w:val="left" w:pos="314"/>
                <w:tab w:val="left" w:pos="720"/>
              </w:tabs>
              <w:snapToGrid w:val="0"/>
              <w:spacing w:after="0" w:line="240" w:lineRule="auto"/>
              <w:rPr>
                <w:rFonts w:ascii="Times New Roman" w:hAnsi="Times New Roman" w:cs="Times New Roman"/>
                <w:sz w:val="18"/>
                <w:szCs w:val="18"/>
              </w:rPr>
            </w:pPr>
            <w:r w:rsidRPr="00021B66">
              <w:rPr>
                <w:rFonts w:ascii="Times New Roman" w:hAnsi="Times New Roman" w:cs="Times New Roman"/>
                <w:sz w:val="18"/>
                <w:szCs w:val="18"/>
              </w:rPr>
              <w:t xml:space="preserve">ZTE Corporation, </w:t>
            </w:r>
            <w:proofErr w:type="spellStart"/>
            <w:r w:rsidRPr="00021B66">
              <w:rPr>
                <w:rFonts w:ascii="Times New Roman" w:hAnsi="Times New Roman" w:cs="Times New Roman"/>
                <w:sz w:val="18"/>
                <w:szCs w:val="18"/>
              </w:rPr>
              <w:t>Sanechips</w:t>
            </w:r>
            <w:proofErr w:type="spellEnd"/>
          </w:p>
        </w:tc>
      </w:tr>
    </w:tbl>
    <w:p w14:paraId="334D2F7A" w14:textId="77777777" w:rsidR="00CA1BF4" w:rsidRPr="00CA1BF4" w:rsidRDefault="00CA1BF4" w:rsidP="003C4DA2">
      <w:pPr>
        <w:tabs>
          <w:tab w:val="left" w:pos="314"/>
          <w:tab w:val="left" w:pos="720"/>
        </w:tabs>
        <w:snapToGrid w:val="0"/>
        <w:spacing w:after="0" w:line="240" w:lineRule="auto"/>
        <w:rPr>
          <w:rFonts w:ascii="Times New Roman" w:hAnsi="Times New Roman" w:cs="Times New Roman"/>
          <w:sz w:val="18"/>
          <w:szCs w:val="18"/>
        </w:rPr>
      </w:pPr>
    </w:p>
    <w:sectPr w:rsidR="00CA1BF4" w:rsidRPr="00CA1BF4" w:rsidSect="001C438B">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28218" w14:textId="77777777" w:rsidR="00093864" w:rsidRDefault="00093864">
      <w:pPr>
        <w:spacing w:line="240" w:lineRule="auto"/>
      </w:pPr>
      <w:r>
        <w:separator/>
      </w:r>
    </w:p>
  </w:endnote>
  <w:endnote w:type="continuationSeparator" w:id="0">
    <w:p w14:paraId="3FC1AD32" w14:textId="77777777" w:rsidR="00093864" w:rsidRDefault="000938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5199" w14:textId="77777777" w:rsidR="00093864" w:rsidRDefault="00093864">
      <w:pPr>
        <w:spacing w:after="0"/>
      </w:pPr>
      <w:r>
        <w:separator/>
      </w:r>
    </w:p>
  </w:footnote>
  <w:footnote w:type="continuationSeparator" w:id="0">
    <w:p w14:paraId="1A1A8EDE" w14:textId="77777777" w:rsidR="00093864" w:rsidRDefault="000938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245CC"/>
    <w:multiLevelType w:val="hybridMultilevel"/>
    <w:tmpl w:val="5F68985C"/>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3" w15:restartNumberingAfterBreak="0">
    <w:nsid w:val="07ED5134"/>
    <w:multiLevelType w:val="hybridMultilevel"/>
    <w:tmpl w:val="0E4AA9A2"/>
    <w:lvl w:ilvl="0" w:tplc="FFFFFFFF">
      <w:start w:val="1"/>
      <w:numFmt w:val="bullet"/>
      <w:lvlText w:val=""/>
      <w:lvlJc w:val="left"/>
      <w:pPr>
        <w:ind w:left="1199" w:hanging="480"/>
      </w:pPr>
      <w:rPr>
        <w:rFonts w:ascii="Wingdings" w:hAnsi="Wingdings" w:hint="default"/>
      </w:rPr>
    </w:lvl>
    <w:lvl w:ilvl="1" w:tplc="B5A8667A">
      <w:numFmt w:val="bullet"/>
      <w:lvlText w:val="-"/>
      <w:lvlJc w:val="left"/>
      <w:pPr>
        <w:ind w:left="1679" w:hanging="480"/>
      </w:pPr>
      <w:rPr>
        <w:rFonts w:ascii="Times" w:eastAsia="Batang" w:hAnsi="Times" w:cs="Times" w:hint="default"/>
      </w:rPr>
    </w:lvl>
    <w:lvl w:ilvl="2" w:tplc="FFFFFFFF">
      <w:start w:val="1"/>
      <w:numFmt w:val="bullet"/>
      <w:lvlText w:val=""/>
      <w:lvlJc w:val="left"/>
      <w:pPr>
        <w:ind w:left="2159" w:hanging="480"/>
      </w:pPr>
      <w:rPr>
        <w:rFonts w:ascii="Wingdings" w:hAnsi="Wingdings" w:hint="default"/>
      </w:rPr>
    </w:lvl>
    <w:lvl w:ilvl="3" w:tplc="FFFFFFFF">
      <w:start w:val="1"/>
      <w:numFmt w:val="bullet"/>
      <w:lvlText w:val=""/>
      <w:lvlJc w:val="left"/>
      <w:pPr>
        <w:ind w:left="2639" w:hanging="480"/>
      </w:pPr>
      <w:rPr>
        <w:rFonts w:ascii="Wingdings" w:hAnsi="Wingdings" w:hint="default"/>
      </w:rPr>
    </w:lvl>
    <w:lvl w:ilvl="4" w:tplc="FFFFFFFF">
      <w:start w:val="1"/>
      <w:numFmt w:val="bullet"/>
      <w:lvlText w:val=""/>
      <w:lvlJc w:val="left"/>
      <w:pPr>
        <w:ind w:left="3119" w:hanging="480"/>
      </w:pPr>
      <w:rPr>
        <w:rFonts w:ascii="Wingdings" w:hAnsi="Wingdings" w:hint="default"/>
      </w:rPr>
    </w:lvl>
    <w:lvl w:ilvl="5" w:tplc="FFFFFFFF">
      <w:start w:val="1"/>
      <w:numFmt w:val="bullet"/>
      <w:lvlText w:val=""/>
      <w:lvlJc w:val="left"/>
      <w:pPr>
        <w:ind w:left="3599" w:hanging="480"/>
      </w:pPr>
      <w:rPr>
        <w:rFonts w:ascii="Wingdings" w:hAnsi="Wingdings" w:hint="default"/>
      </w:rPr>
    </w:lvl>
    <w:lvl w:ilvl="6" w:tplc="FFFFFFFF">
      <w:start w:val="1"/>
      <w:numFmt w:val="bullet"/>
      <w:lvlText w:val=""/>
      <w:lvlJc w:val="left"/>
      <w:pPr>
        <w:ind w:left="4079" w:hanging="480"/>
      </w:pPr>
      <w:rPr>
        <w:rFonts w:ascii="Wingdings" w:hAnsi="Wingdings" w:hint="default"/>
      </w:rPr>
    </w:lvl>
    <w:lvl w:ilvl="7" w:tplc="FFFFFFFF">
      <w:start w:val="1"/>
      <w:numFmt w:val="bullet"/>
      <w:lvlText w:val=""/>
      <w:lvlJc w:val="left"/>
      <w:pPr>
        <w:ind w:left="4559" w:hanging="480"/>
      </w:pPr>
      <w:rPr>
        <w:rFonts w:ascii="Wingdings" w:hAnsi="Wingdings" w:hint="default"/>
      </w:rPr>
    </w:lvl>
    <w:lvl w:ilvl="8" w:tplc="FFFFFFFF">
      <w:start w:val="1"/>
      <w:numFmt w:val="bullet"/>
      <w:lvlText w:val=""/>
      <w:lvlJc w:val="left"/>
      <w:pPr>
        <w:ind w:left="5039" w:hanging="480"/>
      </w:pPr>
      <w:rPr>
        <w:rFonts w:ascii="Wingdings" w:hAnsi="Wingdings" w:hint="default"/>
      </w:rPr>
    </w:lvl>
  </w:abstractNum>
  <w:abstractNum w:abstractNumId="4" w15:restartNumberingAfterBreak="0">
    <w:nsid w:val="1CBB7A29"/>
    <w:multiLevelType w:val="hybridMultilevel"/>
    <w:tmpl w:val="123CDCF2"/>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5"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16B6F65"/>
    <w:multiLevelType w:val="hybridMultilevel"/>
    <w:tmpl w:val="86329D8A"/>
    <w:lvl w:ilvl="0" w:tplc="690E9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6A186BD4"/>
    <w:multiLevelType w:val="hybridMultilevel"/>
    <w:tmpl w:val="51DCDB84"/>
    <w:lvl w:ilvl="0" w:tplc="A7CEF88A">
      <w:start w:val="6"/>
      <w:numFmt w:val="bullet"/>
      <w:lvlText w:val="-"/>
      <w:lvlJc w:val="left"/>
      <w:pPr>
        <w:ind w:left="1199" w:hanging="480"/>
      </w:pPr>
      <w:rPr>
        <w:rFonts w:ascii="Times New Roman" w:eastAsia="SimSun" w:hAnsi="Times New Roman" w:cs="Times New Roman" w:hint="default"/>
      </w:rPr>
    </w:lvl>
    <w:lvl w:ilvl="1" w:tplc="FFFFFFFF">
      <w:numFmt w:val="bullet"/>
      <w:lvlText w:val="-"/>
      <w:lvlJc w:val="left"/>
      <w:pPr>
        <w:ind w:left="1679" w:hanging="480"/>
      </w:pPr>
      <w:rPr>
        <w:rFonts w:ascii="Times" w:eastAsia="Batang" w:hAnsi="Times" w:cs="Times" w:hint="default"/>
      </w:rPr>
    </w:lvl>
    <w:lvl w:ilvl="2" w:tplc="FFFFFFFF">
      <w:start w:val="1"/>
      <w:numFmt w:val="bullet"/>
      <w:lvlText w:val=""/>
      <w:lvlJc w:val="left"/>
      <w:pPr>
        <w:ind w:left="2159" w:hanging="480"/>
      </w:pPr>
      <w:rPr>
        <w:rFonts w:ascii="Wingdings" w:hAnsi="Wingdings" w:hint="default"/>
      </w:rPr>
    </w:lvl>
    <w:lvl w:ilvl="3" w:tplc="FFFFFFFF">
      <w:start w:val="1"/>
      <w:numFmt w:val="bullet"/>
      <w:lvlText w:val=""/>
      <w:lvlJc w:val="left"/>
      <w:pPr>
        <w:ind w:left="2639" w:hanging="480"/>
      </w:pPr>
      <w:rPr>
        <w:rFonts w:ascii="Wingdings" w:hAnsi="Wingdings" w:hint="default"/>
      </w:rPr>
    </w:lvl>
    <w:lvl w:ilvl="4" w:tplc="FFFFFFFF">
      <w:start w:val="1"/>
      <w:numFmt w:val="bullet"/>
      <w:lvlText w:val=""/>
      <w:lvlJc w:val="left"/>
      <w:pPr>
        <w:ind w:left="3119" w:hanging="480"/>
      </w:pPr>
      <w:rPr>
        <w:rFonts w:ascii="Wingdings" w:hAnsi="Wingdings" w:hint="default"/>
      </w:rPr>
    </w:lvl>
    <w:lvl w:ilvl="5" w:tplc="FFFFFFFF">
      <w:start w:val="1"/>
      <w:numFmt w:val="bullet"/>
      <w:lvlText w:val=""/>
      <w:lvlJc w:val="left"/>
      <w:pPr>
        <w:ind w:left="3599" w:hanging="480"/>
      </w:pPr>
      <w:rPr>
        <w:rFonts w:ascii="Wingdings" w:hAnsi="Wingdings" w:hint="default"/>
      </w:rPr>
    </w:lvl>
    <w:lvl w:ilvl="6" w:tplc="FFFFFFFF">
      <w:start w:val="1"/>
      <w:numFmt w:val="bullet"/>
      <w:lvlText w:val=""/>
      <w:lvlJc w:val="left"/>
      <w:pPr>
        <w:ind w:left="4079" w:hanging="480"/>
      </w:pPr>
      <w:rPr>
        <w:rFonts w:ascii="Wingdings" w:hAnsi="Wingdings" w:hint="default"/>
      </w:rPr>
    </w:lvl>
    <w:lvl w:ilvl="7" w:tplc="FFFFFFFF">
      <w:start w:val="1"/>
      <w:numFmt w:val="bullet"/>
      <w:lvlText w:val=""/>
      <w:lvlJc w:val="left"/>
      <w:pPr>
        <w:ind w:left="4559" w:hanging="480"/>
      </w:pPr>
      <w:rPr>
        <w:rFonts w:ascii="Wingdings" w:hAnsi="Wingdings" w:hint="default"/>
      </w:rPr>
    </w:lvl>
    <w:lvl w:ilvl="8" w:tplc="FFFFFFFF">
      <w:start w:val="1"/>
      <w:numFmt w:val="bullet"/>
      <w:lvlText w:val=""/>
      <w:lvlJc w:val="left"/>
      <w:pPr>
        <w:ind w:left="5039" w:hanging="480"/>
      </w:pPr>
      <w:rPr>
        <w:rFonts w:ascii="Wingdings" w:hAnsi="Wingdings" w:hint="default"/>
      </w:rPr>
    </w:lvl>
  </w:abstractNum>
  <w:abstractNum w:abstractNumId="12" w15:restartNumberingAfterBreak="0">
    <w:nsid w:val="73416406"/>
    <w:multiLevelType w:val="hybridMultilevel"/>
    <w:tmpl w:val="F13292D8"/>
    <w:lvl w:ilvl="0" w:tplc="0FA0DC48">
      <w:start w:val="1"/>
      <w:numFmt w:val="bullet"/>
      <w:lvlText w:val=""/>
      <w:lvlJc w:val="left"/>
      <w:pPr>
        <w:ind w:left="480" w:hanging="480"/>
      </w:pPr>
      <w:rPr>
        <w:rFonts w:ascii="Wingdings" w:hAnsi="Wingdings" w:hint="default"/>
      </w:rPr>
    </w:lvl>
    <w:lvl w:ilvl="1" w:tplc="0FA0DC48">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671955073">
    <w:abstractNumId w:val="9"/>
  </w:num>
  <w:num w:numId="2" w16cid:durableId="1577205322">
    <w:abstractNumId w:val="10"/>
  </w:num>
  <w:num w:numId="3" w16cid:durableId="1530803699">
    <w:abstractNumId w:val="12"/>
  </w:num>
  <w:num w:numId="4" w16cid:durableId="596720214">
    <w:abstractNumId w:val="8"/>
  </w:num>
  <w:num w:numId="5" w16cid:durableId="1290012408">
    <w:abstractNumId w:val="6"/>
  </w:num>
  <w:num w:numId="6" w16cid:durableId="86733024">
    <w:abstractNumId w:val="0"/>
  </w:num>
  <w:num w:numId="7" w16cid:durableId="2081824120">
    <w:abstractNumId w:val="7"/>
  </w:num>
  <w:num w:numId="8" w16cid:durableId="2119712041">
    <w:abstractNumId w:val="8"/>
  </w:num>
  <w:num w:numId="9" w16cid:durableId="145901942">
    <w:abstractNumId w:val="0"/>
  </w:num>
  <w:num w:numId="10" w16cid:durableId="1640454428">
    <w:abstractNumId w:val="6"/>
  </w:num>
  <w:num w:numId="11" w16cid:durableId="228544675">
    <w:abstractNumId w:val="4"/>
  </w:num>
  <w:num w:numId="12" w16cid:durableId="2094431711">
    <w:abstractNumId w:val="4"/>
  </w:num>
  <w:num w:numId="13" w16cid:durableId="164321568">
    <w:abstractNumId w:val="9"/>
  </w:num>
  <w:num w:numId="14" w16cid:durableId="829567032">
    <w:abstractNumId w:val="5"/>
  </w:num>
  <w:num w:numId="15" w16cid:durableId="1235967138">
    <w:abstractNumId w:val="3"/>
  </w:num>
  <w:num w:numId="16" w16cid:durableId="1452937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8640093">
    <w:abstractNumId w:val="9"/>
  </w:num>
  <w:num w:numId="18" w16cid:durableId="1764833450">
    <w:abstractNumId w:val="9"/>
  </w:num>
  <w:num w:numId="19" w16cid:durableId="796876473">
    <w:abstractNumId w:val="9"/>
  </w:num>
  <w:num w:numId="20" w16cid:durableId="643580310">
    <w:abstractNumId w:val="9"/>
  </w:num>
  <w:num w:numId="21" w16cid:durableId="642084928">
    <w:abstractNumId w:val="2"/>
  </w:num>
  <w:num w:numId="22" w16cid:durableId="1600872455">
    <w:abstractNumId w:val="2"/>
  </w:num>
  <w:num w:numId="23" w16cid:durableId="280696110">
    <w:abstractNumId w:val="3"/>
  </w:num>
  <w:num w:numId="24" w16cid:durableId="792410161">
    <w:abstractNumId w:val="11"/>
  </w:num>
  <w:num w:numId="25" w16cid:durableId="19400193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zh-CN" w:vendorID="64" w:dllVersion="0" w:nlCheck="1" w:checkStyle="1"/>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F9"/>
    <w:rsid w:val="0000278F"/>
    <w:rsid w:val="00003197"/>
    <w:rsid w:val="0000404E"/>
    <w:rsid w:val="00004757"/>
    <w:rsid w:val="000064E7"/>
    <w:rsid w:val="000064F9"/>
    <w:rsid w:val="000074EB"/>
    <w:rsid w:val="0001085B"/>
    <w:rsid w:val="00011906"/>
    <w:rsid w:val="00012E49"/>
    <w:rsid w:val="00017835"/>
    <w:rsid w:val="0002024F"/>
    <w:rsid w:val="00021B66"/>
    <w:rsid w:val="00022B5C"/>
    <w:rsid w:val="00024673"/>
    <w:rsid w:val="0002703D"/>
    <w:rsid w:val="00027178"/>
    <w:rsid w:val="000310A4"/>
    <w:rsid w:val="000310E4"/>
    <w:rsid w:val="00032698"/>
    <w:rsid w:val="00033A58"/>
    <w:rsid w:val="0003475E"/>
    <w:rsid w:val="00035D35"/>
    <w:rsid w:val="00037C7D"/>
    <w:rsid w:val="000402FF"/>
    <w:rsid w:val="000408A9"/>
    <w:rsid w:val="00041D20"/>
    <w:rsid w:val="000420C2"/>
    <w:rsid w:val="0004231E"/>
    <w:rsid w:val="00045590"/>
    <w:rsid w:val="00053E26"/>
    <w:rsid w:val="00054366"/>
    <w:rsid w:val="0005509A"/>
    <w:rsid w:val="00055527"/>
    <w:rsid w:val="0005623F"/>
    <w:rsid w:val="00057CED"/>
    <w:rsid w:val="00063313"/>
    <w:rsid w:val="0006374A"/>
    <w:rsid w:val="00066B4B"/>
    <w:rsid w:val="000670F0"/>
    <w:rsid w:val="000678BF"/>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3864"/>
    <w:rsid w:val="000940B7"/>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10C1"/>
    <w:rsid w:val="000C2919"/>
    <w:rsid w:val="000C34B9"/>
    <w:rsid w:val="000C3604"/>
    <w:rsid w:val="000C5119"/>
    <w:rsid w:val="000C5131"/>
    <w:rsid w:val="000C59F2"/>
    <w:rsid w:val="000C638D"/>
    <w:rsid w:val="000D0652"/>
    <w:rsid w:val="000D0AD6"/>
    <w:rsid w:val="000D1541"/>
    <w:rsid w:val="000D3211"/>
    <w:rsid w:val="000D4AE3"/>
    <w:rsid w:val="000D5DF2"/>
    <w:rsid w:val="000D6020"/>
    <w:rsid w:val="000E087F"/>
    <w:rsid w:val="000E791F"/>
    <w:rsid w:val="000F0424"/>
    <w:rsid w:val="000F054C"/>
    <w:rsid w:val="000F1946"/>
    <w:rsid w:val="000F26BE"/>
    <w:rsid w:val="000F487A"/>
    <w:rsid w:val="000F53EE"/>
    <w:rsid w:val="000F54AA"/>
    <w:rsid w:val="000F6BCE"/>
    <w:rsid w:val="000F7AEF"/>
    <w:rsid w:val="00101CF2"/>
    <w:rsid w:val="001022F1"/>
    <w:rsid w:val="00102BB2"/>
    <w:rsid w:val="00105F7E"/>
    <w:rsid w:val="001072E8"/>
    <w:rsid w:val="00110DFC"/>
    <w:rsid w:val="00113139"/>
    <w:rsid w:val="00114105"/>
    <w:rsid w:val="001149B5"/>
    <w:rsid w:val="00116AF3"/>
    <w:rsid w:val="001175F1"/>
    <w:rsid w:val="00121244"/>
    <w:rsid w:val="0012270E"/>
    <w:rsid w:val="00122CAB"/>
    <w:rsid w:val="00122E13"/>
    <w:rsid w:val="00123F73"/>
    <w:rsid w:val="0012527F"/>
    <w:rsid w:val="00126B02"/>
    <w:rsid w:val="00126D07"/>
    <w:rsid w:val="0013282A"/>
    <w:rsid w:val="00134565"/>
    <w:rsid w:val="00136351"/>
    <w:rsid w:val="00137307"/>
    <w:rsid w:val="001413F0"/>
    <w:rsid w:val="0014258B"/>
    <w:rsid w:val="0014376B"/>
    <w:rsid w:val="00144F33"/>
    <w:rsid w:val="00144F92"/>
    <w:rsid w:val="001525C0"/>
    <w:rsid w:val="00152B1E"/>
    <w:rsid w:val="00152B67"/>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775"/>
    <w:rsid w:val="00186EBE"/>
    <w:rsid w:val="00190008"/>
    <w:rsid w:val="00191B46"/>
    <w:rsid w:val="001921B2"/>
    <w:rsid w:val="00192D2A"/>
    <w:rsid w:val="00193E88"/>
    <w:rsid w:val="0019407E"/>
    <w:rsid w:val="00195447"/>
    <w:rsid w:val="001963E6"/>
    <w:rsid w:val="00197278"/>
    <w:rsid w:val="001A2694"/>
    <w:rsid w:val="001A32B1"/>
    <w:rsid w:val="001A397F"/>
    <w:rsid w:val="001A39E2"/>
    <w:rsid w:val="001B14E4"/>
    <w:rsid w:val="001B28D3"/>
    <w:rsid w:val="001B3BB7"/>
    <w:rsid w:val="001B3C6D"/>
    <w:rsid w:val="001B55C3"/>
    <w:rsid w:val="001B6216"/>
    <w:rsid w:val="001B694D"/>
    <w:rsid w:val="001B7EAD"/>
    <w:rsid w:val="001C153A"/>
    <w:rsid w:val="001C265C"/>
    <w:rsid w:val="001C438B"/>
    <w:rsid w:val="001C6065"/>
    <w:rsid w:val="001C72BF"/>
    <w:rsid w:val="001D5102"/>
    <w:rsid w:val="001D5118"/>
    <w:rsid w:val="001D7846"/>
    <w:rsid w:val="001E15E0"/>
    <w:rsid w:val="001E16A2"/>
    <w:rsid w:val="001E1C49"/>
    <w:rsid w:val="001E2580"/>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6C4"/>
    <w:rsid w:val="00220B98"/>
    <w:rsid w:val="00220E4D"/>
    <w:rsid w:val="00220FC1"/>
    <w:rsid w:val="0022459C"/>
    <w:rsid w:val="00224A16"/>
    <w:rsid w:val="00224A75"/>
    <w:rsid w:val="00225F7F"/>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3D58"/>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2DFC"/>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A703E"/>
    <w:rsid w:val="002B162B"/>
    <w:rsid w:val="002B1A48"/>
    <w:rsid w:val="002B2817"/>
    <w:rsid w:val="002B405C"/>
    <w:rsid w:val="002B54B8"/>
    <w:rsid w:val="002B79E4"/>
    <w:rsid w:val="002C03CD"/>
    <w:rsid w:val="002C09C8"/>
    <w:rsid w:val="002C0C70"/>
    <w:rsid w:val="002C1C44"/>
    <w:rsid w:val="002C30FC"/>
    <w:rsid w:val="002C3668"/>
    <w:rsid w:val="002C4E56"/>
    <w:rsid w:val="002C751B"/>
    <w:rsid w:val="002C7792"/>
    <w:rsid w:val="002D179C"/>
    <w:rsid w:val="002D3427"/>
    <w:rsid w:val="002D3BC7"/>
    <w:rsid w:val="002D4521"/>
    <w:rsid w:val="002D4526"/>
    <w:rsid w:val="002D69B7"/>
    <w:rsid w:val="002E0FA3"/>
    <w:rsid w:val="002E127B"/>
    <w:rsid w:val="002E19B5"/>
    <w:rsid w:val="002E387C"/>
    <w:rsid w:val="002E3BD4"/>
    <w:rsid w:val="002F0B7C"/>
    <w:rsid w:val="002F2978"/>
    <w:rsid w:val="002F55C9"/>
    <w:rsid w:val="002F578E"/>
    <w:rsid w:val="002F5A8E"/>
    <w:rsid w:val="002F5F35"/>
    <w:rsid w:val="002F6319"/>
    <w:rsid w:val="002F65B5"/>
    <w:rsid w:val="003033EB"/>
    <w:rsid w:val="0030377A"/>
    <w:rsid w:val="003056A2"/>
    <w:rsid w:val="003060AC"/>
    <w:rsid w:val="003073FC"/>
    <w:rsid w:val="00311F25"/>
    <w:rsid w:val="00316A01"/>
    <w:rsid w:val="00317495"/>
    <w:rsid w:val="003205E5"/>
    <w:rsid w:val="00326522"/>
    <w:rsid w:val="00327C85"/>
    <w:rsid w:val="00332B01"/>
    <w:rsid w:val="00334BF2"/>
    <w:rsid w:val="00337139"/>
    <w:rsid w:val="0033730B"/>
    <w:rsid w:val="003378D5"/>
    <w:rsid w:val="00337C6B"/>
    <w:rsid w:val="00341632"/>
    <w:rsid w:val="00343392"/>
    <w:rsid w:val="00345280"/>
    <w:rsid w:val="003458DD"/>
    <w:rsid w:val="00346A75"/>
    <w:rsid w:val="003471F0"/>
    <w:rsid w:val="00350833"/>
    <w:rsid w:val="00351FBD"/>
    <w:rsid w:val="00355072"/>
    <w:rsid w:val="0035643C"/>
    <w:rsid w:val="003620DC"/>
    <w:rsid w:val="00362ACC"/>
    <w:rsid w:val="00362F49"/>
    <w:rsid w:val="00366916"/>
    <w:rsid w:val="00367B9B"/>
    <w:rsid w:val="00371499"/>
    <w:rsid w:val="00373ABA"/>
    <w:rsid w:val="00373F90"/>
    <w:rsid w:val="00374546"/>
    <w:rsid w:val="0037498C"/>
    <w:rsid w:val="00375CD7"/>
    <w:rsid w:val="00377BA0"/>
    <w:rsid w:val="00377EFA"/>
    <w:rsid w:val="003803A2"/>
    <w:rsid w:val="00382709"/>
    <w:rsid w:val="003840A5"/>
    <w:rsid w:val="00385304"/>
    <w:rsid w:val="00385AC8"/>
    <w:rsid w:val="00390435"/>
    <w:rsid w:val="0039260B"/>
    <w:rsid w:val="00394C03"/>
    <w:rsid w:val="00395EAA"/>
    <w:rsid w:val="00396229"/>
    <w:rsid w:val="00396BA3"/>
    <w:rsid w:val="003978C9"/>
    <w:rsid w:val="003A04B0"/>
    <w:rsid w:val="003A092B"/>
    <w:rsid w:val="003A2F1E"/>
    <w:rsid w:val="003B1C61"/>
    <w:rsid w:val="003B2480"/>
    <w:rsid w:val="003B3DCA"/>
    <w:rsid w:val="003B4EB2"/>
    <w:rsid w:val="003C054D"/>
    <w:rsid w:val="003C3498"/>
    <w:rsid w:val="003C4DA2"/>
    <w:rsid w:val="003C61BF"/>
    <w:rsid w:val="003D02CC"/>
    <w:rsid w:val="003D1C96"/>
    <w:rsid w:val="003D6F76"/>
    <w:rsid w:val="003D7F42"/>
    <w:rsid w:val="003E2518"/>
    <w:rsid w:val="003E68A9"/>
    <w:rsid w:val="003F032C"/>
    <w:rsid w:val="003F1CBB"/>
    <w:rsid w:val="003F2378"/>
    <w:rsid w:val="003F387C"/>
    <w:rsid w:val="003F3D55"/>
    <w:rsid w:val="003F43ED"/>
    <w:rsid w:val="003F5BE9"/>
    <w:rsid w:val="003F64A1"/>
    <w:rsid w:val="003F6BA2"/>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19E4"/>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287F"/>
    <w:rsid w:val="004654A2"/>
    <w:rsid w:val="00465BC2"/>
    <w:rsid w:val="004668FD"/>
    <w:rsid w:val="00467E5D"/>
    <w:rsid w:val="00467FE8"/>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DE6"/>
    <w:rsid w:val="004A01A2"/>
    <w:rsid w:val="004A07A2"/>
    <w:rsid w:val="004A3C6C"/>
    <w:rsid w:val="004A57CA"/>
    <w:rsid w:val="004A5EA0"/>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04A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5B7"/>
    <w:rsid w:val="004F3991"/>
    <w:rsid w:val="004F4E3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4AC4"/>
    <w:rsid w:val="00534BBE"/>
    <w:rsid w:val="00535888"/>
    <w:rsid w:val="00535B6A"/>
    <w:rsid w:val="00536C1C"/>
    <w:rsid w:val="005377EC"/>
    <w:rsid w:val="005416EC"/>
    <w:rsid w:val="00541F18"/>
    <w:rsid w:val="005424FD"/>
    <w:rsid w:val="00542CAE"/>
    <w:rsid w:val="005461A1"/>
    <w:rsid w:val="00546F90"/>
    <w:rsid w:val="0054720B"/>
    <w:rsid w:val="00547A40"/>
    <w:rsid w:val="00551EDB"/>
    <w:rsid w:val="00553E7C"/>
    <w:rsid w:val="005570E0"/>
    <w:rsid w:val="00560801"/>
    <w:rsid w:val="00561C42"/>
    <w:rsid w:val="00562C18"/>
    <w:rsid w:val="00562EB6"/>
    <w:rsid w:val="0056314B"/>
    <w:rsid w:val="0056375E"/>
    <w:rsid w:val="0056460A"/>
    <w:rsid w:val="00567763"/>
    <w:rsid w:val="005677BD"/>
    <w:rsid w:val="00570F17"/>
    <w:rsid w:val="005770D0"/>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47AD"/>
    <w:rsid w:val="006049BC"/>
    <w:rsid w:val="006057E1"/>
    <w:rsid w:val="0060590E"/>
    <w:rsid w:val="00607F3C"/>
    <w:rsid w:val="0061044F"/>
    <w:rsid w:val="00610C60"/>
    <w:rsid w:val="006112A8"/>
    <w:rsid w:val="006123A6"/>
    <w:rsid w:val="006124FA"/>
    <w:rsid w:val="00613A3F"/>
    <w:rsid w:val="0061462F"/>
    <w:rsid w:val="00614B3C"/>
    <w:rsid w:val="00614FBC"/>
    <w:rsid w:val="00615606"/>
    <w:rsid w:val="0061628D"/>
    <w:rsid w:val="00616894"/>
    <w:rsid w:val="00617236"/>
    <w:rsid w:val="0061775A"/>
    <w:rsid w:val="00621B3A"/>
    <w:rsid w:val="00622156"/>
    <w:rsid w:val="00623286"/>
    <w:rsid w:val="00626CF2"/>
    <w:rsid w:val="0063107F"/>
    <w:rsid w:val="00631DE8"/>
    <w:rsid w:val="00632DF9"/>
    <w:rsid w:val="006337C0"/>
    <w:rsid w:val="006362A6"/>
    <w:rsid w:val="006364CE"/>
    <w:rsid w:val="00637644"/>
    <w:rsid w:val="0064028A"/>
    <w:rsid w:val="00640914"/>
    <w:rsid w:val="00641BC8"/>
    <w:rsid w:val="00641CE6"/>
    <w:rsid w:val="00641E46"/>
    <w:rsid w:val="00645E07"/>
    <w:rsid w:val="0064689A"/>
    <w:rsid w:val="0064730C"/>
    <w:rsid w:val="00650EBE"/>
    <w:rsid w:val="006529BC"/>
    <w:rsid w:val="00653E7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812F6"/>
    <w:rsid w:val="00691587"/>
    <w:rsid w:val="00694682"/>
    <w:rsid w:val="0069549B"/>
    <w:rsid w:val="00695A9B"/>
    <w:rsid w:val="006968A6"/>
    <w:rsid w:val="00697860"/>
    <w:rsid w:val="006A1545"/>
    <w:rsid w:val="006A2A76"/>
    <w:rsid w:val="006A2B1F"/>
    <w:rsid w:val="006A3538"/>
    <w:rsid w:val="006A51B5"/>
    <w:rsid w:val="006A5738"/>
    <w:rsid w:val="006B0052"/>
    <w:rsid w:val="006B189B"/>
    <w:rsid w:val="006B2CE6"/>
    <w:rsid w:val="006B3E36"/>
    <w:rsid w:val="006B4479"/>
    <w:rsid w:val="006B4C03"/>
    <w:rsid w:val="006B7F28"/>
    <w:rsid w:val="006B7F97"/>
    <w:rsid w:val="006C177F"/>
    <w:rsid w:val="006C4712"/>
    <w:rsid w:val="006C50A1"/>
    <w:rsid w:val="006C6171"/>
    <w:rsid w:val="006C764A"/>
    <w:rsid w:val="006D02B9"/>
    <w:rsid w:val="006D16C6"/>
    <w:rsid w:val="006D2571"/>
    <w:rsid w:val="006D4CA1"/>
    <w:rsid w:val="006D4DB4"/>
    <w:rsid w:val="006D6DB8"/>
    <w:rsid w:val="006D77F6"/>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531E"/>
    <w:rsid w:val="007157D7"/>
    <w:rsid w:val="00717643"/>
    <w:rsid w:val="0072130D"/>
    <w:rsid w:val="007214B5"/>
    <w:rsid w:val="007225C9"/>
    <w:rsid w:val="00723013"/>
    <w:rsid w:val="00723980"/>
    <w:rsid w:val="00723C55"/>
    <w:rsid w:val="00723DC7"/>
    <w:rsid w:val="00724FB1"/>
    <w:rsid w:val="007253A3"/>
    <w:rsid w:val="007254F3"/>
    <w:rsid w:val="00725D8D"/>
    <w:rsid w:val="00726C57"/>
    <w:rsid w:val="0072747E"/>
    <w:rsid w:val="0072799D"/>
    <w:rsid w:val="00727CB4"/>
    <w:rsid w:val="00731706"/>
    <w:rsid w:val="007356B2"/>
    <w:rsid w:val="00735916"/>
    <w:rsid w:val="0073665B"/>
    <w:rsid w:val="00736A95"/>
    <w:rsid w:val="00740992"/>
    <w:rsid w:val="00742497"/>
    <w:rsid w:val="00742EDE"/>
    <w:rsid w:val="00742F1E"/>
    <w:rsid w:val="00744540"/>
    <w:rsid w:val="007456D4"/>
    <w:rsid w:val="00745A26"/>
    <w:rsid w:val="00745F12"/>
    <w:rsid w:val="0074749F"/>
    <w:rsid w:val="0074779E"/>
    <w:rsid w:val="00751BAB"/>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3219"/>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5877"/>
    <w:rsid w:val="007A7548"/>
    <w:rsid w:val="007B0025"/>
    <w:rsid w:val="007B1882"/>
    <w:rsid w:val="007B18AF"/>
    <w:rsid w:val="007B2160"/>
    <w:rsid w:val="007B281B"/>
    <w:rsid w:val="007B71E2"/>
    <w:rsid w:val="007B7BAF"/>
    <w:rsid w:val="007B7D33"/>
    <w:rsid w:val="007C0174"/>
    <w:rsid w:val="007C0DFD"/>
    <w:rsid w:val="007C1A29"/>
    <w:rsid w:val="007C4AED"/>
    <w:rsid w:val="007C58A5"/>
    <w:rsid w:val="007C60C2"/>
    <w:rsid w:val="007C6F6E"/>
    <w:rsid w:val="007D17C3"/>
    <w:rsid w:val="007D3936"/>
    <w:rsid w:val="007D3D15"/>
    <w:rsid w:val="007D4253"/>
    <w:rsid w:val="007D6ADF"/>
    <w:rsid w:val="007D7642"/>
    <w:rsid w:val="007D7CAD"/>
    <w:rsid w:val="007E005D"/>
    <w:rsid w:val="007E0FB7"/>
    <w:rsid w:val="007E289E"/>
    <w:rsid w:val="007E295B"/>
    <w:rsid w:val="007E3860"/>
    <w:rsid w:val="007F04CD"/>
    <w:rsid w:val="007F05B5"/>
    <w:rsid w:val="007F0B0C"/>
    <w:rsid w:val="007F0E6A"/>
    <w:rsid w:val="007F5477"/>
    <w:rsid w:val="007F6FA0"/>
    <w:rsid w:val="007F762D"/>
    <w:rsid w:val="007F774F"/>
    <w:rsid w:val="007F7AF4"/>
    <w:rsid w:val="0080266E"/>
    <w:rsid w:val="00802713"/>
    <w:rsid w:val="00802F75"/>
    <w:rsid w:val="00803B3E"/>
    <w:rsid w:val="00804994"/>
    <w:rsid w:val="008058DD"/>
    <w:rsid w:val="00806B53"/>
    <w:rsid w:val="00812137"/>
    <w:rsid w:val="00813282"/>
    <w:rsid w:val="00814788"/>
    <w:rsid w:val="00814C3D"/>
    <w:rsid w:val="008216B4"/>
    <w:rsid w:val="008234A1"/>
    <w:rsid w:val="008237C7"/>
    <w:rsid w:val="0082477B"/>
    <w:rsid w:val="00827518"/>
    <w:rsid w:val="00830B07"/>
    <w:rsid w:val="00832001"/>
    <w:rsid w:val="008333F0"/>
    <w:rsid w:val="00833B98"/>
    <w:rsid w:val="008346B9"/>
    <w:rsid w:val="00834A04"/>
    <w:rsid w:val="008361AE"/>
    <w:rsid w:val="00836DF4"/>
    <w:rsid w:val="00837D1E"/>
    <w:rsid w:val="00840ADE"/>
    <w:rsid w:val="00843460"/>
    <w:rsid w:val="00844643"/>
    <w:rsid w:val="008468E0"/>
    <w:rsid w:val="00847EB3"/>
    <w:rsid w:val="00852B47"/>
    <w:rsid w:val="00853E43"/>
    <w:rsid w:val="00853F13"/>
    <w:rsid w:val="008540D1"/>
    <w:rsid w:val="008549D0"/>
    <w:rsid w:val="00856469"/>
    <w:rsid w:val="00856828"/>
    <w:rsid w:val="00862524"/>
    <w:rsid w:val="00863877"/>
    <w:rsid w:val="00864140"/>
    <w:rsid w:val="008655EA"/>
    <w:rsid w:val="00866B6F"/>
    <w:rsid w:val="00866CA1"/>
    <w:rsid w:val="00867158"/>
    <w:rsid w:val="00872CB8"/>
    <w:rsid w:val="00874264"/>
    <w:rsid w:val="00881296"/>
    <w:rsid w:val="0088185A"/>
    <w:rsid w:val="00885275"/>
    <w:rsid w:val="00886891"/>
    <w:rsid w:val="00886D38"/>
    <w:rsid w:val="00887BBA"/>
    <w:rsid w:val="00891907"/>
    <w:rsid w:val="00893BFC"/>
    <w:rsid w:val="0089492C"/>
    <w:rsid w:val="00895C17"/>
    <w:rsid w:val="008961D7"/>
    <w:rsid w:val="008A2200"/>
    <w:rsid w:val="008A3A4F"/>
    <w:rsid w:val="008A46ED"/>
    <w:rsid w:val="008A5596"/>
    <w:rsid w:val="008A6186"/>
    <w:rsid w:val="008A7026"/>
    <w:rsid w:val="008A7EAB"/>
    <w:rsid w:val="008B268D"/>
    <w:rsid w:val="008B50C7"/>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6785"/>
    <w:rsid w:val="008D77A3"/>
    <w:rsid w:val="008E285D"/>
    <w:rsid w:val="008E28D7"/>
    <w:rsid w:val="008E64C1"/>
    <w:rsid w:val="008F04FB"/>
    <w:rsid w:val="008F2C13"/>
    <w:rsid w:val="008F2C80"/>
    <w:rsid w:val="008F30F5"/>
    <w:rsid w:val="008F4EB3"/>
    <w:rsid w:val="00900482"/>
    <w:rsid w:val="009009F3"/>
    <w:rsid w:val="009015C8"/>
    <w:rsid w:val="009023F3"/>
    <w:rsid w:val="009031A0"/>
    <w:rsid w:val="009042DF"/>
    <w:rsid w:val="00906121"/>
    <w:rsid w:val="00906BBB"/>
    <w:rsid w:val="00907079"/>
    <w:rsid w:val="00911F4B"/>
    <w:rsid w:val="0091365D"/>
    <w:rsid w:val="009141B9"/>
    <w:rsid w:val="00917995"/>
    <w:rsid w:val="00920CAD"/>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37A88"/>
    <w:rsid w:val="00942BEA"/>
    <w:rsid w:val="00946211"/>
    <w:rsid w:val="00947C60"/>
    <w:rsid w:val="009509A1"/>
    <w:rsid w:val="009519DC"/>
    <w:rsid w:val="009543EC"/>
    <w:rsid w:val="00960411"/>
    <w:rsid w:val="00960F33"/>
    <w:rsid w:val="00961041"/>
    <w:rsid w:val="00961647"/>
    <w:rsid w:val="00962475"/>
    <w:rsid w:val="009624CE"/>
    <w:rsid w:val="00964E2B"/>
    <w:rsid w:val="00966051"/>
    <w:rsid w:val="009663BC"/>
    <w:rsid w:val="009664E2"/>
    <w:rsid w:val="009703F2"/>
    <w:rsid w:val="009704D3"/>
    <w:rsid w:val="00971A07"/>
    <w:rsid w:val="00973674"/>
    <w:rsid w:val="00976374"/>
    <w:rsid w:val="009769AD"/>
    <w:rsid w:val="00976BF3"/>
    <w:rsid w:val="00981781"/>
    <w:rsid w:val="009830EF"/>
    <w:rsid w:val="00983542"/>
    <w:rsid w:val="00984084"/>
    <w:rsid w:val="009877D3"/>
    <w:rsid w:val="00990555"/>
    <w:rsid w:val="00990B47"/>
    <w:rsid w:val="00991667"/>
    <w:rsid w:val="00991697"/>
    <w:rsid w:val="009928EE"/>
    <w:rsid w:val="00992993"/>
    <w:rsid w:val="009959D2"/>
    <w:rsid w:val="009A05EF"/>
    <w:rsid w:val="009A073E"/>
    <w:rsid w:val="009A0DB4"/>
    <w:rsid w:val="009A2A3A"/>
    <w:rsid w:val="009A59E7"/>
    <w:rsid w:val="009A6A8F"/>
    <w:rsid w:val="009A6D50"/>
    <w:rsid w:val="009A707D"/>
    <w:rsid w:val="009A75AE"/>
    <w:rsid w:val="009B0E41"/>
    <w:rsid w:val="009B1192"/>
    <w:rsid w:val="009B242A"/>
    <w:rsid w:val="009B3C7B"/>
    <w:rsid w:val="009B55DB"/>
    <w:rsid w:val="009B61A1"/>
    <w:rsid w:val="009B6432"/>
    <w:rsid w:val="009B76F0"/>
    <w:rsid w:val="009C0429"/>
    <w:rsid w:val="009C3A8E"/>
    <w:rsid w:val="009C707A"/>
    <w:rsid w:val="009D070B"/>
    <w:rsid w:val="009D0AD0"/>
    <w:rsid w:val="009D20FA"/>
    <w:rsid w:val="009D232A"/>
    <w:rsid w:val="009D43A7"/>
    <w:rsid w:val="009D5410"/>
    <w:rsid w:val="009D792A"/>
    <w:rsid w:val="009D7D59"/>
    <w:rsid w:val="009E0EA7"/>
    <w:rsid w:val="009E1B0B"/>
    <w:rsid w:val="009E4282"/>
    <w:rsid w:val="009E5A16"/>
    <w:rsid w:val="009F02B9"/>
    <w:rsid w:val="009F0656"/>
    <w:rsid w:val="009F748A"/>
    <w:rsid w:val="00A0039E"/>
    <w:rsid w:val="00A017F0"/>
    <w:rsid w:val="00A01B6F"/>
    <w:rsid w:val="00A03901"/>
    <w:rsid w:val="00A1304E"/>
    <w:rsid w:val="00A13A26"/>
    <w:rsid w:val="00A14AE3"/>
    <w:rsid w:val="00A16ABE"/>
    <w:rsid w:val="00A16EE0"/>
    <w:rsid w:val="00A17B57"/>
    <w:rsid w:val="00A21D0D"/>
    <w:rsid w:val="00A24460"/>
    <w:rsid w:val="00A26C57"/>
    <w:rsid w:val="00A27BC6"/>
    <w:rsid w:val="00A31166"/>
    <w:rsid w:val="00A33C67"/>
    <w:rsid w:val="00A356A4"/>
    <w:rsid w:val="00A35D20"/>
    <w:rsid w:val="00A41225"/>
    <w:rsid w:val="00A4147A"/>
    <w:rsid w:val="00A41A46"/>
    <w:rsid w:val="00A42215"/>
    <w:rsid w:val="00A451F2"/>
    <w:rsid w:val="00A45684"/>
    <w:rsid w:val="00A468ED"/>
    <w:rsid w:val="00A46F91"/>
    <w:rsid w:val="00A519CC"/>
    <w:rsid w:val="00A52B13"/>
    <w:rsid w:val="00A52B84"/>
    <w:rsid w:val="00A55A1C"/>
    <w:rsid w:val="00A56340"/>
    <w:rsid w:val="00A57E48"/>
    <w:rsid w:val="00A57E62"/>
    <w:rsid w:val="00A60B97"/>
    <w:rsid w:val="00A6116B"/>
    <w:rsid w:val="00A62F73"/>
    <w:rsid w:val="00A6355B"/>
    <w:rsid w:val="00A67383"/>
    <w:rsid w:val="00A679C4"/>
    <w:rsid w:val="00A70247"/>
    <w:rsid w:val="00A71428"/>
    <w:rsid w:val="00A71E3F"/>
    <w:rsid w:val="00A72070"/>
    <w:rsid w:val="00A7415D"/>
    <w:rsid w:val="00A7418F"/>
    <w:rsid w:val="00A752B3"/>
    <w:rsid w:val="00A77EBD"/>
    <w:rsid w:val="00A84A22"/>
    <w:rsid w:val="00A84BDD"/>
    <w:rsid w:val="00A90E89"/>
    <w:rsid w:val="00A9105D"/>
    <w:rsid w:val="00A911F7"/>
    <w:rsid w:val="00A9251E"/>
    <w:rsid w:val="00A9374C"/>
    <w:rsid w:val="00A94B8A"/>
    <w:rsid w:val="00A94E91"/>
    <w:rsid w:val="00A95ECC"/>
    <w:rsid w:val="00A97EB7"/>
    <w:rsid w:val="00AA1F8E"/>
    <w:rsid w:val="00AA2978"/>
    <w:rsid w:val="00AA2BFB"/>
    <w:rsid w:val="00AA6015"/>
    <w:rsid w:val="00AA7FF3"/>
    <w:rsid w:val="00AB33D8"/>
    <w:rsid w:val="00AB416B"/>
    <w:rsid w:val="00AB449D"/>
    <w:rsid w:val="00AB4B72"/>
    <w:rsid w:val="00AB4FB5"/>
    <w:rsid w:val="00AB5C17"/>
    <w:rsid w:val="00AB61FF"/>
    <w:rsid w:val="00AB6EEF"/>
    <w:rsid w:val="00AB74D9"/>
    <w:rsid w:val="00AB7789"/>
    <w:rsid w:val="00AB7D92"/>
    <w:rsid w:val="00AC0597"/>
    <w:rsid w:val="00AC1929"/>
    <w:rsid w:val="00AC1ACA"/>
    <w:rsid w:val="00AC3D54"/>
    <w:rsid w:val="00AC475A"/>
    <w:rsid w:val="00AC6581"/>
    <w:rsid w:val="00AC66E7"/>
    <w:rsid w:val="00AC7155"/>
    <w:rsid w:val="00AC7791"/>
    <w:rsid w:val="00AC779E"/>
    <w:rsid w:val="00AC7AB2"/>
    <w:rsid w:val="00AC7D6A"/>
    <w:rsid w:val="00AD490A"/>
    <w:rsid w:val="00AD66E8"/>
    <w:rsid w:val="00AE00CF"/>
    <w:rsid w:val="00AE0817"/>
    <w:rsid w:val="00AE1833"/>
    <w:rsid w:val="00AE1B3D"/>
    <w:rsid w:val="00AE2222"/>
    <w:rsid w:val="00AE411D"/>
    <w:rsid w:val="00AE4BB1"/>
    <w:rsid w:val="00AE6EBD"/>
    <w:rsid w:val="00AF0F8A"/>
    <w:rsid w:val="00AF4C19"/>
    <w:rsid w:val="00AF50ED"/>
    <w:rsid w:val="00AF61E6"/>
    <w:rsid w:val="00B00642"/>
    <w:rsid w:val="00B015A7"/>
    <w:rsid w:val="00B021AD"/>
    <w:rsid w:val="00B0237D"/>
    <w:rsid w:val="00B0265A"/>
    <w:rsid w:val="00B0355B"/>
    <w:rsid w:val="00B04C92"/>
    <w:rsid w:val="00B06D78"/>
    <w:rsid w:val="00B07B3C"/>
    <w:rsid w:val="00B11A1E"/>
    <w:rsid w:val="00B129D0"/>
    <w:rsid w:val="00B1395F"/>
    <w:rsid w:val="00B148C9"/>
    <w:rsid w:val="00B2110A"/>
    <w:rsid w:val="00B219FD"/>
    <w:rsid w:val="00B22708"/>
    <w:rsid w:val="00B234EF"/>
    <w:rsid w:val="00B2445D"/>
    <w:rsid w:val="00B276C1"/>
    <w:rsid w:val="00B27788"/>
    <w:rsid w:val="00B3072E"/>
    <w:rsid w:val="00B32866"/>
    <w:rsid w:val="00B337DF"/>
    <w:rsid w:val="00B33CA9"/>
    <w:rsid w:val="00B35D11"/>
    <w:rsid w:val="00B366C9"/>
    <w:rsid w:val="00B37E9D"/>
    <w:rsid w:val="00B42B25"/>
    <w:rsid w:val="00B43D5D"/>
    <w:rsid w:val="00B4482B"/>
    <w:rsid w:val="00B44DDC"/>
    <w:rsid w:val="00B45376"/>
    <w:rsid w:val="00B45ADB"/>
    <w:rsid w:val="00B470BC"/>
    <w:rsid w:val="00B518C0"/>
    <w:rsid w:val="00B532F6"/>
    <w:rsid w:val="00B53BC5"/>
    <w:rsid w:val="00B54F48"/>
    <w:rsid w:val="00B563FF"/>
    <w:rsid w:val="00B5664F"/>
    <w:rsid w:val="00B6420E"/>
    <w:rsid w:val="00B64724"/>
    <w:rsid w:val="00B649BF"/>
    <w:rsid w:val="00B664F5"/>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073D"/>
    <w:rsid w:val="00B918FC"/>
    <w:rsid w:val="00B9436A"/>
    <w:rsid w:val="00B95A7C"/>
    <w:rsid w:val="00BA02A5"/>
    <w:rsid w:val="00BA14BD"/>
    <w:rsid w:val="00BA1DE1"/>
    <w:rsid w:val="00BA2799"/>
    <w:rsid w:val="00BA3FEC"/>
    <w:rsid w:val="00BA4BF0"/>
    <w:rsid w:val="00BA4D72"/>
    <w:rsid w:val="00BA63D3"/>
    <w:rsid w:val="00BA6563"/>
    <w:rsid w:val="00BB034C"/>
    <w:rsid w:val="00BB05FF"/>
    <w:rsid w:val="00BB19A2"/>
    <w:rsid w:val="00BB1A5A"/>
    <w:rsid w:val="00BB1C28"/>
    <w:rsid w:val="00BB2263"/>
    <w:rsid w:val="00BB2BBE"/>
    <w:rsid w:val="00BB466E"/>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24A"/>
    <w:rsid w:val="00BE3B44"/>
    <w:rsid w:val="00BE3C13"/>
    <w:rsid w:val="00BE5C91"/>
    <w:rsid w:val="00BE5F27"/>
    <w:rsid w:val="00BE601E"/>
    <w:rsid w:val="00BE614A"/>
    <w:rsid w:val="00BE65C1"/>
    <w:rsid w:val="00BE6EE4"/>
    <w:rsid w:val="00BF113F"/>
    <w:rsid w:val="00BF1BBF"/>
    <w:rsid w:val="00BF28A0"/>
    <w:rsid w:val="00BF3321"/>
    <w:rsid w:val="00BF3ABB"/>
    <w:rsid w:val="00BF62E9"/>
    <w:rsid w:val="00BF6926"/>
    <w:rsid w:val="00C001F3"/>
    <w:rsid w:val="00C01D10"/>
    <w:rsid w:val="00C04B47"/>
    <w:rsid w:val="00C078DE"/>
    <w:rsid w:val="00C11810"/>
    <w:rsid w:val="00C11D65"/>
    <w:rsid w:val="00C13C04"/>
    <w:rsid w:val="00C1510C"/>
    <w:rsid w:val="00C15AA5"/>
    <w:rsid w:val="00C24525"/>
    <w:rsid w:val="00C25DAA"/>
    <w:rsid w:val="00C261FF"/>
    <w:rsid w:val="00C26B00"/>
    <w:rsid w:val="00C31F04"/>
    <w:rsid w:val="00C32664"/>
    <w:rsid w:val="00C35A71"/>
    <w:rsid w:val="00C36BAB"/>
    <w:rsid w:val="00C41935"/>
    <w:rsid w:val="00C44359"/>
    <w:rsid w:val="00C458F2"/>
    <w:rsid w:val="00C46574"/>
    <w:rsid w:val="00C47480"/>
    <w:rsid w:val="00C50367"/>
    <w:rsid w:val="00C50E1D"/>
    <w:rsid w:val="00C50F62"/>
    <w:rsid w:val="00C51C1E"/>
    <w:rsid w:val="00C51FC6"/>
    <w:rsid w:val="00C538DF"/>
    <w:rsid w:val="00C54564"/>
    <w:rsid w:val="00C56E6D"/>
    <w:rsid w:val="00C60B40"/>
    <w:rsid w:val="00C619FD"/>
    <w:rsid w:val="00C62839"/>
    <w:rsid w:val="00C6311A"/>
    <w:rsid w:val="00C63E7C"/>
    <w:rsid w:val="00C646F0"/>
    <w:rsid w:val="00C657F1"/>
    <w:rsid w:val="00C66A16"/>
    <w:rsid w:val="00C67803"/>
    <w:rsid w:val="00C71611"/>
    <w:rsid w:val="00C72426"/>
    <w:rsid w:val="00C72663"/>
    <w:rsid w:val="00C73D3C"/>
    <w:rsid w:val="00C81309"/>
    <w:rsid w:val="00C81A7D"/>
    <w:rsid w:val="00C81B75"/>
    <w:rsid w:val="00C82828"/>
    <w:rsid w:val="00C83B5E"/>
    <w:rsid w:val="00C84D54"/>
    <w:rsid w:val="00C84EEC"/>
    <w:rsid w:val="00C87309"/>
    <w:rsid w:val="00C90248"/>
    <w:rsid w:val="00C907FD"/>
    <w:rsid w:val="00C93EB3"/>
    <w:rsid w:val="00C94F90"/>
    <w:rsid w:val="00C96DBE"/>
    <w:rsid w:val="00CA119B"/>
    <w:rsid w:val="00CA1BF4"/>
    <w:rsid w:val="00CA30B9"/>
    <w:rsid w:val="00CA4540"/>
    <w:rsid w:val="00CB1511"/>
    <w:rsid w:val="00CB1566"/>
    <w:rsid w:val="00CB17D3"/>
    <w:rsid w:val="00CB1D68"/>
    <w:rsid w:val="00CB1E30"/>
    <w:rsid w:val="00CB1FBB"/>
    <w:rsid w:val="00CB39D9"/>
    <w:rsid w:val="00CB3C36"/>
    <w:rsid w:val="00CB40C3"/>
    <w:rsid w:val="00CB7FFB"/>
    <w:rsid w:val="00CC1222"/>
    <w:rsid w:val="00CC2D25"/>
    <w:rsid w:val="00CC529B"/>
    <w:rsid w:val="00CC65FF"/>
    <w:rsid w:val="00CC68BA"/>
    <w:rsid w:val="00CC6E8D"/>
    <w:rsid w:val="00CD1E9E"/>
    <w:rsid w:val="00CD3382"/>
    <w:rsid w:val="00CD3FBB"/>
    <w:rsid w:val="00CD5013"/>
    <w:rsid w:val="00CD7688"/>
    <w:rsid w:val="00CD768F"/>
    <w:rsid w:val="00CD7DF7"/>
    <w:rsid w:val="00CE0361"/>
    <w:rsid w:val="00CE14F8"/>
    <w:rsid w:val="00CE159F"/>
    <w:rsid w:val="00CE1AE7"/>
    <w:rsid w:val="00CE30B6"/>
    <w:rsid w:val="00CE31CB"/>
    <w:rsid w:val="00CE4735"/>
    <w:rsid w:val="00CE49DE"/>
    <w:rsid w:val="00CE5230"/>
    <w:rsid w:val="00CE6F28"/>
    <w:rsid w:val="00CE76DF"/>
    <w:rsid w:val="00CE7DF9"/>
    <w:rsid w:val="00CF0B32"/>
    <w:rsid w:val="00CF250F"/>
    <w:rsid w:val="00CF386D"/>
    <w:rsid w:val="00CF55E1"/>
    <w:rsid w:val="00CF5AD2"/>
    <w:rsid w:val="00CF6A2C"/>
    <w:rsid w:val="00CF74D2"/>
    <w:rsid w:val="00D007FF"/>
    <w:rsid w:val="00D032A1"/>
    <w:rsid w:val="00D037B6"/>
    <w:rsid w:val="00D057CE"/>
    <w:rsid w:val="00D061FD"/>
    <w:rsid w:val="00D06B58"/>
    <w:rsid w:val="00D10EFD"/>
    <w:rsid w:val="00D11588"/>
    <w:rsid w:val="00D11B28"/>
    <w:rsid w:val="00D12548"/>
    <w:rsid w:val="00D1256D"/>
    <w:rsid w:val="00D12988"/>
    <w:rsid w:val="00D20EA1"/>
    <w:rsid w:val="00D2125A"/>
    <w:rsid w:val="00D21B00"/>
    <w:rsid w:val="00D22D1D"/>
    <w:rsid w:val="00D24B5E"/>
    <w:rsid w:val="00D24E6E"/>
    <w:rsid w:val="00D3121C"/>
    <w:rsid w:val="00D352A6"/>
    <w:rsid w:val="00D37445"/>
    <w:rsid w:val="00D416ED"/>
    <w:rsid w:val="00D427A6"/>
    <w:rsid w:val="00D44DC2"/>
    <w:rsid w:val="00D4721E"/>
    <w:rsid w:val="00D47B68"/>
    <w:rsid w:val="00D5007E"/>
    <w:rsid w:val="00D50667"/>
    <w:rsid w:val="00D508F0"/>
    <w:rsid w:val="00D5167B"/>
    <w:rsid w:val="00D5243F"/>
    <w:rsid w:val="00D52492"/>
    <w:rsid w:val="00D53231"/>
    <w:rsid w:val="00D565B2"/>
    <w:rsid w:val="00D638AA"/>
    <w:rsid w:val="00D63FEC"/>
    <w:rsid w:val="00D64253"/>
    <w:rsid w:val="00D64323"/>
    <w:rsid w:val="00D64A88"/>
    <w:rsid w:val="00D64DAC"/>
    <w:rsid w:val="00D659F0"/>
    <w:rsid w:val="00D672EC"/>
    <w:rsid w:val="00D70600"/>
    <w:rsid w:val="00D70621"/>
    <w:rsid w:val="00D70F82"/>
    <w:rsid w:val="00D7274B"/>
    <w:rsid w:val="00D72B61"/>
    <w:rsid w:val="00D74E17"/>
    <w:rsid w:val="00D74E34"/>
    <w:rsid w:val="00D768B3"/>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A7AF6"/>
    <w:rsid w:val="00DB04FF"/>
    <w:rsid w:val="00DB0DCD"/>
    <w:rsid w:val="00DB2018"/>
    <w:rsid w:val="00DB2DAF"/>
    <w:rsid w:val="00DB2F9E"/>
    <w:rsid w:val="00DB3695"/>
    <w:rsid w:val="00DB431D"/>
    <w:rsid w:val="00DB4D01"/>
    <w:rsid w:val="00DB545A"/>
    <w:rsid w:val="00DB6671"/>
    <w:rsid w:val="00DB7674"/>
    <w:rsid w:val="00DC4739"/>
    <w:rsid w:val="00DC72C7"/>
    <w:rsid w:val="00DC72F9"/>
    <w:rsid w:val="00DD0886"/>
    <w:rsid w:val="00DD0C41"/>
    <w:rsid w:val="00DD0DE2"/>
    <w:rsid w:val="00DD2413"/>
    <w:rsid w:val="00DD3024"/>
    <w:rsid w:val="00DD4927"/>
    <w:rsid w:val="00DD5AE9"/>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33BF"/>
    <w:rsid w:val="00E15953"/>
    <w:rsid w:val="00E16202"/>
    <w:rsid w:val="00E16D44"/>
    <w:rsid w:val="00E20090"/>
    <w:rsid w:val="00E22EFC"/>
    <w:rsid w:val="00E23321"/>
    <w:rsid w:val="00E23DAF"/>
    <w:rsid w:val="00E24AD9"/>
    <w:rsid w:val="00E27D38"/>
    <w:rsid w:val="00E27EE6"/>
    <w:rsid w:val="00E315E5"/>
    <w:rsid w:val="00E31C42"/>
    <w:rsid w:val="00E32D8F"/>
    <w:rsid w:val="00E32E6A"/>
    <w:rsid w:val="00E36434"/>
    <w:rsid w:val="00E40B53"/>
    <w:rsid w:val="00E44517"/>
    <w:rsid w:val="00E4469D"/>
    <w:rsid w:val="00E44C4F"/>
    <w:rsid w:val="00E4588F"/>
    <w:rsid w:val="00E4606F"/>
    <w:rsid w:val="00E47F79"/>
    <w:rsid w:val="00E5019D"/>
    <w:rsid w:val="00E50704"/>
    <w:rsid w:val="00E50C9E"/>
    <w:rsid w:val="00E53608"/>
    <w:rsid w:val="00E538A2"/>
    <w:rsid w:val="00E540E2"/>
    <w:rsid w:val="00E56DBE"/>
    <w:rsid w:val="00E6280D"/>
    <w:rsid w:val="00E647E1"/>
    <w:rsid w:val="00E65808"/>
    <w:rsid w:val="00E71E25"/>
    <w:rsid w:val="00E73555"/>
    <w:rsid w:val="00E74310"/>
    <w:rsid w:val="00E7510A"/>
    <w:rsid w:val="00E75B78"/>
    <w:rsid w:val="00E77519"/>
    <w:rsid w:val="00E7764D"/>
    <w:rsid w:val="00E777E5"/>
    <w:rsid w:val="00E80241"/>
    <w:rsid w:val="00E80827"/>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2B3"/>
    <w:rsid w:val="00EB3DDD"/>
    <w:rsid w:val="00EB4430"/>
    <w:rsid w:val="00EB4570"/>
    <w:rsid w:val="00EB5336"/>
    <w:rsid w:val="00EC0CFD"/>
    <w:rsid w:val="00EC1AB9"/>
    <w:rsid w:val="00EC1B89"/>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E731B"/>
    <w:rsid w:val="00EF1AD3"/>
    <w:rsid w:val="00EF3E25"/>
    <w:rsid w:val="00EF410F"/>
    <w:rsid w:val="00EF4DC5"/>
    <w:rsid w:val="00EF5649"/>
    <w:rsid w:val="00EF59D2"/>
    <w:rsid w:val="00EF6178"/>
    <w:rsid w:val="00F02050"/>
    <w:rsid w:val="00F0227F"/>
    <w:rsid w:val="00F0364F"/>
    <w:rsid w:val="00F03830"/>
    <w:rsid w:val="00F03CB7"/>
    <w:rsid w:val="00F0657E"/>
    <w:rsid w:val="00F07242"/>
    <w:rsid w:val="00F1143C"/>
    <w:rsid w:val="00F12E06"/>
    <w:rsid w:val="00F1398B"/>
    <w:rsid w:val="00F152FB"/>
    <w:rsid w:val="00F1651E"/>
    <w:rsid w:val="00F1688B"/>
    <w:rsid w:val="00F16F15"/>
    <w:rsid w:val="00F17A8B"/>
    <w:rsid w:val="00F20B67"/>
    <w:rsid w:val="00F221B7"/>
    <w:rsid w:val="00F22807"/>
    <w:rsid w:val="00F22A6A"/>
    <w:rsid w:val="00F2388C"/>
    <w:rsid w:val="00F23BF2"/>
    <w:rsid w:val="00F24047"/>
    <w:rsid w:val="00F26FE1"/>
    <w:rsid w:val="00F3277C"/>
    <w:rsid w:val="00F3369D"/>
    <w:rsid w:val="00F3414A"/>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3622"/>
    <w:rsid w:val="00F56C44"/>
    <w:rsid w:val="00F61892"/>
    <w:rsid w:val="00F63A3C"/>
    <w:rsid w:val="00F647E0"/>
    <w:rsid w:val="00F67186"/>
    <w:rsid w:val="00F719E2"/>
    <w:rsid w:val="00F754A4"/>
    <w:rsid w:val="00F76A62"/>
    <w:rsid w:val="00F832DB"/>
    <w:rsid w:val="00F83673"/>
    <w:rsid w:val="00F85CBC"/>
    <w:rsid w:val="00F8625B"/>
    <w:rsid w:val="00F94171"/>
    <w:rsid w:val="00F962BC"/>
    <w:rsid w:val="00F964D0"/>
    <w:rsid w:val="00F97B3F"/>
    <w:rsid w:val="00FA04A6"/>
    <w:rsid w:val="00FA38E1"/>
    <w:rsid w:val="00FA3ED0"/>
    <w:rsid w:val="00FA4960"/>
    <w:rsid w:val="00FA70F7"/>
    <w:rsid w:val="00FB01E8"/>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7F55"/>
    <w:rsid w:val="00FF0249"/>
    <w:rsid w:val="00FF06BC"/>
    <w:rsid w:val="00FF084A"/>
    <w:rsid w:val="00FF1741"/>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103FA77D-8F48-491B-95BC-8B9B8963B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4C3D"/>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11,列出,列出段落,列表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목록 단락 字元,列出段落 字元,リスト段落 字元,列表段落 字元,列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styleId="afa">
    <w:name w:val="Revision"/>
    <w:hidden/>
    <w:uiPriority w:val="99"/>
    <w:semiHidden/>
    <w:rsid w:val="008540D1"/>
    <w:rPr>
      <w:rFonts w:eastAsia="新細明體" w:cs="Calibri"/>
      <w:sz w:val="22"/>
      <w:szCs w:val="22"/>
    </w:rPr>
  </w:style>
  <w:style w:type="character" w:customStyle="1" w:styleId="B1Zchn">
    <w:name w:val="B1 Zchn"/>
    <w:link w:val="B10"/>
    <w:autoRedefine/>
    <w:qFormat/>
    <w:locked/>
    <w:rsid w:val="00814C3D"/>
    <w:rPr>
      <w:rFonts w:ascii="Times New Roman" w:hAnsi="Times New Roman" w:cs="Times New Roman"/>
      <w:color w:val="FF0000"/>
      <w:sz w:val="18"/>
      <w:szCs w:val="18"/>
    </w:rPr>
  </w:style>
  <w:style w:type="paragraph" w:customStyle="1" w:styleId="B10">
    <w:name w:val="B1"/>
    <w:basedOn w:val="a"/>
    <w:link w:val="B1Zchn"/>
    <w:autoRedefine/>
    <w:qFormat/>
    <w:rsid w:val="00814C3D"/>
    <w:pPr>
      <w:tabs>
        <w:tab w:val="left" w:pos="314"/>
        <w:tab w:val="left" w:pos="720"/>
      </w:tabs>
      <w:suppressAutoHyphens w:val="0"/>
      <w:snapToGrid w:val="0"/>
      <w:spacing w:after="0" w:line="240" w:lineRule="auto"/>
      <w:jc w:val="both"/>
    </w:pPr>
    <w:rPr>
      <w:rFonts w:ascii="Times New Roman" w:eastAsia="SimSun" w:hAnsi="Times New Roman" w:cs="Times New Roman"/>
      <w:color w:val="FF0000"/>
      <w:sz w:val="18"/>
      <w:szCs w:val="18"/>
    </w:rPr>
  </w:style>
  <w:style w:type="character" w:customStyle="1" w:styleId="B2Char">
    <w:name w:val="B2 Char"/>
    <w:link w:val="B2"/>
    <w:autoRedefine/>
    <w:qFormat/>
    <w:locked/>
    <w:rsid w:val="00EC0CFD"/>
    <w:rPr>
      <w:rFonts w:ascii="Times New Roman" w:hAnsi="Times New Roman" w:cs="Times New Roman"/>
      <w:lang w:val="zh-CN" w:eastAsia="en-US"/>
    </w:rPr>
  </w:style>
  <w:style w:type="paragraph" w:customStyle="1" w:styleId="B2">
    <w:name w:val="B2"/>
    <w:basedOn w:val="a"/>
    <w:link w:val="B2Char"/>
    <w:autoRedefine/>
    <w:qFormat/>
    <w:rsid w:val="00EC0CFD"/>
    <w:pPr>
      <w:tabs>
        <w:tab w:val="left" w:pos="738"/>
      </w:tabs>
      <w:suppressAutoHyphens w:val="0"/>
      <w:snapToGrid w:val="0"/>
      <w:spacing w:after="180" w:line="240" w:lineRule="auto"/>
      <w:ind w:left="851" w:hanging="284"/>
    </w:pPr>
    <w:rPr>
      <w:rFonts w:ascii="Times New Roman" w:eastAsia="SimSun" w:hAnsi="Times New Roman" w:cs="Times New Roman"/>
      <w:sz w:val="20"/>
      <w:szCs w:val="20"/>
      <w:lang w:val="zh-CN" w:eastAsia="en-US"/>
    </w:rPr>
  </w:style>
  <w:style w:type="table" w:customStyle="1" w:styleId="TableGrid1">
    <w:name w:val="TableGrid1"/>
    <w:basedOn w:val="a1"/>
    <w:next w:val="ab"/>
    <w:autoRedefine/>
    <w:uiPriority w:val="39"/>
    <w:qFormat/>
    <w:rsid w:val="00E80827"/>
    <w:rPr>
      <w:rFonts w:ascii="Calibri" w:hAnsi="Calibri" w:cs="Cordia New"/>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b"/>
    <w:qFormat/>
    <w:rsid w:val="00937A88"/>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rsid w:val="00D4721E"/>
    <w:rPr>
      <w:color w:val="605E5C"/>
      <w:shd w:val="clear" w:color="auto" w:fill="E1DFDD"/>
    </w:rPr>
  </w:style>
  <w:style w:type="paragraph" w:customStyle="1" w:styleId="CRCoverPage">
    <w:name w:val="CR Cover Page"/>
    <w:qFormat/>
    <w:rsid w:val="00CC1222"/>
    <w:pPr>
      <w:spacing w:after="120"/>
    </w:pPr>
    <w:rPr>
      <w:rFonts w:ascii="Arial" w:eastAsiaTheme="minorEastAsia" w:hAnsi="Arial" w:cs="Times New Roman"/>
      <w:lang w:val="en-GB" w:eastAsia="en-US"/>
    </w:rPr>
  </w:style>
  <w:style w:type="table" w:customStyle="1" w:styleId="24">
    <w:name w:val="表格格線2"/>
    <w:basedOn w:val="a1"/>
    <w:next w:val="ab"/>
    <w:rsid w:val="00CA1BF4"/>
    <w:pPr>
      <w:spacing w:after="120"/>
    </w:pPr>
    <w:rPr>
      <w:rFonts w:ascii="Times New Roman" w:eastAsia="Batang"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6B4C03"/>
    <w:pPr>
      <w:suppressAutoHyphens w:val="0"/>
      <w:spacing w:after="0" w:line="240" w:lineRule="auto"/>
    </w:pPr>
    <w:rPr>
      <w:rFonts w:ascii="Times New Roman" w:eastAsia="Malgun Gothic" w:hAnsi="Times New Roman" w:cs="Times New Roman"/>
      <w:sz w:val="24"/>
      <w:szCs w:val="24"/>
      <w:lang w:eastAsia="ko-KR"/>
    </w:rPr>
  </w:style>
  <w:style w:type="character" w:customStyle="1" w:styleId="B1Char">
    <w:name w:val="B1 Char"/>
    <w:qFormat/>
    <w:locked/>
    <w:rsid w:val="00220FC1"/>
    <w:rPr>
      <w:rFonts w:ascii="SimSun" w:hAnsi="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498">
      <w:bodyDiv w:val="1"/>
      <w:marLeft w:val="0"/>
      <w:marRight w:val="0"/>
      <w:marTop w:val="0"/>
      <w:marBottom w:val="0"/>
      <w:divBdr>
        <w:top w:val="none" w:sz="0" w:space="0" w:color="auto"/>
        <w:left w:val="none" w:sz="0" w:space="0" w:color="auto"/>
        <w:bottom w:val="none" w:sz="0" w:space="0" w:color="auto"/>
        <w:right w:val="none" w:sz="0" w:space="0" w:color="auto"/>
      </w:divBdr>
    </w:div>
    <w:div w:id="81925232">
      <w:bodyDiv w:val="1"/>
      <w:marLeft w:val="0"/>
      <w:marRight w:val="0"/>
      <w:marTop w:val="0"/>
      <w:marBottom w:val="0"/>
      <w:divBdr>
        <w:top w:val="none" w:sz="0" w:space="0" w:color="auto"/>
        <w:left w:val="none" w:sz="0" w:space="0" w:color="auto"/>
        <w:bottom w:val="none" w:sz="0" w:space="0" w:color="auto"/>
        <w:right w:val="none" w:sz="0" w:space="0" w:color="auto"/>
      </w:divBdr>
    </w:div>
    <w:div w:id="106974947">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175003236">
      <w:bodyDiv w:val="1"/>
      <w:marLeft w:val="0"/>
      <w:marRight w:val="0"/>
      <w:marTop w:val="0"/>
      <w:marBottom w:val="0"/>
      <w:divBdr>
        <w:top w:val="none" w:sz="0" w:space="0" w:color="auto"/>
        <w:left w:val="none" w:sz="0" w:space="0" w:color="auto"/>
        <w:bottom w:val="none" w:sz="0" w:space="0" w:color="auto"/>
        <w:right w:val="none" w:sz="0" w:space="0" w:color="auto"/>
      </w:divBdr>
    </w:div>
    <w:div w:id="183440573">
      <w:bodyDiv w:val="1"/>
      <w:marLeft w:val="0"/>
      <w:marRight w:val="0"/>
      <w:marTop w:val="0"/>
      <w:marBottom w:val="0"/>
      <w:divBdr>
        <w:top w:val="none" w:sz="0" w:space="0" w:color="auto"/>
        <w:left w:val="none" w:sz="0" w:space="0" w:color="auto"/>
        <w:bottom w:val="none" w:sz="0" w:space="0" w:color="auto"/>
        <w:right w:val="none" w:sz="0" w:space="0" w:color="auto"/>
      </w:divBdr>
    </w:div>
    <w:div w:id="196285155">
      <w:bodyDiv w:val="1"/>
      <w:marLeft w:val="0"/>
      <w:marRight w:val="0"/>
      <w:marTop w:val="0"/>
      <w:marBottom w:val="0"/>
      <w:divBdr>
        <w:top w:val="none" w:sz="0" w:space="0" w:color="auto"/>
        <w:left w:val="none" w:sz="0" w:space="0" w:color="auto"/>
        <w:bottom w:val="none" w:sz="0" w:space="0" w:color="auto"/>
        <w:right w:val="none" w:sz="0" w:space="0" w:color="auto"/>
      </w:divBdr>
    </w:div>
    <w:div w:id="204560389">
      <w:bodyDiv w:val="1"/>
      <w:marLeft w:val="0"/>
      <w:marRight w:val="0"/>
      <w:marTop w:val="0"/>
      <w:marBottom w:val="0"/>
      <w:divBdr>
        <w:top w:val="none" w:sz="0" w:space="0" w:color="auto"/>
        <w:left w:val="none" w:sz="0" w:space="0" w:color="auto"/>
        <w:bottom w:val="none" w:sz="0" w:space="0" w:color="auto"/>
        <w:right w:val="none" w:sz="0" w:space="0" w:color="auto"/>
      </w:divBdr>
    </w:div>
    <w:div w:id="232470180">
      <w:bodyDiv w:val="1"/>
      <w:marLeft w:val="0"/>
      <w:marRight w:val="0"/>
      <w:marTop w:val="0"/>
      <w:marBottom w:val="0"/>
      <w:divBdr>
        <w:top w:val="none" w:sz="0" w:space="0" w:color="auto"/>
        <w:left w:val="none" w:sz="0" w:space="0" w:color="auto"/>
        <w:bottom w:val="none" w:sz="0" w:space="0" w:color="auto"/>
        <w:right w:val="none" w:sz="0" w:space="0" w:color="auto"/>
      </w:divBdr>
    </w:div>
    <w:div w:id="235827709">
      <w:bodyDiv w:val="1"/>
      <w:marLeft w:val="0"/>
      <w:marRight w:val="0"/>
      <w:marTop w:val="0"/>
      <w:marBottom w:val="0"/>
      <w:divBdr>
        <w:top w:val="none" w:sz="0" w:space="0" w:color="auto"/>
        <w:left w:val="none" w:sz="0" w:space="0" w:color="auto"/>
        <w:bottom w:val="none" w:sz="0" w:space="0" w:color="auto"/>
        <w:right w:val="none" w:sz="0" w:space="0" w:color="auto"/>
      </w:divBdr>
    </w:div>
    <w:div w:id="237641764">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3632685">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59918819">
      <w:bodyDiv w:val="1"/>
      <w:marLeft w:val="0"/>
      <w:marRight w:val="0"/>
      <w:marTop w:val="0"/>
      <w:marBottom w:val="0"/>
      <w:divBdr>
        <w:top w:val="none" w:sz="0" w:space="0" w:color="auto"/>
        <w:left w:val="none" w:sz="0" w:space="0" w:color="auto"/>
        <w:bottom w:val="none" w:sz="0" w:space="0" w:color="auto"/>
        <w:right w:val="none" w:sz="0" w:space="0" w:color="auto"/>
      </w:divBdr>
    </w:div>
    <w:div w:id="267784430">
      <w:bodyDiv w:val="1"/>
      <w:marLeft w:val="0"/>
      <w:marRight w:val="0"/>
      <w:marTop w:val="0"/>
      <w:marBottom w:val="0"/>
      <w:divBdr>
        <w:top w:val="none" w:sz="0" w:space="0" w:color="auto"/>
        <w:left w:val="none" w:sz="0" w:space="0" w:color="auto"/>
        <w:bottom w:val="none" w:sz="0" w:space="0" w:color="auto"/>
        <w:right w:val="none" w:sz="0" w:space="0" w:color="auto"/>
      </w:divBdr>
    </w:div>
    <w:div w:id="268901631">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09406629">
      <w:bodyDiv w:val="1"/>
      <w:marLeft w:val="0"/>
      <w:marRight w:val="0"/>
      <w:marTop w:val="0"/>
      <w:marBottom w:val="0"/>
      <w:divBdr>
        <w:top w:val="none" w:sz="0" w:space="0" w:color="auto"/>
        <w:left w:val="none" w:sz="0" w:space="0" w:color="auto"/>
        <w:bottom w:val="none" w:sz="0" w:space="0" w:color="auto"/>
        <w:right w:val="none" w:sz="0" w:space="0" w:color="auto"/>
      </w:divBdr>
    </w:div>
    <w:div w:id="317343103">
      <w:bodyDiv w:val="1"/>
      <w:marLeft w:val="0"/>
      <w:marRight w:val="0"/>
      <w:marTop w:val="0"/>
      <w:marBottom w:val="0"/>
      <w:divBdr>
        <w:top w:val="none" w:sz="0" w:space="0" w:color="auto"/>
        <w:left w:val="none" w:sz="0" w:space="0" w:color="auto"/>
        <w:bottom w:val="none" w:sz="0" w:space="0" w:color="auto"/>
        <w:right w:val="none" w:sz="0" w:space="0" w:color="auto"/>
      </w:divBdr>
    </w:div>
    <w:div w:id="318116373">
      <w:bodyDiv w:val="1"/>
      <w:marLeft w:val="0"/>
      <w:marRight w:val="0"/>
      <w:marTop w:val="0"/>
      <w:marBottom w:val="0"/>
      <w:divBdr>
        <w:top w:val="none" w:sz="0" w:space="0" w:color="auto"/>
        <w:left w:val="none" w:sz="0" w:space="0" w:color="auto"/>
        <w:bottom w:val="none" w:sz="0" w:space="0" w:color="auto"/>
        <w:right w:val="none" w:sz="0" w:space="0" w:color="auto"/>
      </w:divBdr>
    </w:div>
    <w:div w:id="353309370">
      <w:bodyDiv w:val="1"/>
      <w:marLeft w:val="0"/>
      <w:marRight w:val="0"/>
      <w:marTop w:val="0"/>
      <w:marBottom w:val="0"/>
      <w:divBdr>
        <w:top w:val="none" w:sz="0" w:space="0" w:color="auto"/>
        <w:left w:val="none" w:sz="0" w:space="0" w:color="auto"/>
        <w:bottom w:val="none" w:sz="0" w:space="0" w:color="auto"/>
        <w:right w:val="none" w:sz="0" w:space="0" w:color="auto"/>
      </w:divBdr>
    </w:div>
    <w:div w:id="384187785">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13860355">
      <w:bodyDiv w:val="1"/>
      <w:marLeft w:val="0"/>
      <w:marRight w:val="0"/>
      <w:marTop w:val="0"/>
      <w:marBottom w:val="0"/>
      <w:divBdr>
        <w:top w:val="none" w:sz="0" w:space="0" w:color="auto"/>
        <w:left w:val="none" w:sz="0" w:space="0" w:color="auto"/>
        <w:bottom w:val="none" w:sz="0" w:space="0" w:color="auto"/>
        <w:right w:val="none" w:sz="0" w:space="0" w:color="auto"/>
      </w:divBdr>
    </w:div>
    <w:div w:id="418257804">
      <w:bodyDiv w:val="1"/>
      <w:marLeft w:val="0"/>
      <w:marRight w:val="0"/>
      <w:marTop w:val="0"/>
      <w:marBottom w:val="0"/>
      <w:divBdr>
        <w:top w:val="none" w:sz="0" w:space="0" w:color="auto"/>
        <w:left w:val="none" w:sz="0" w:space="0" w:color="auto"/>
        <w:bottom w:val="none" w:sz="0" w:space="0" w:color="auto"/>
        <w:right w:val="none" w:sz="0" w:space="0" w:color="auto"/>
      </w:divBdr>
    </w:div>
    <w:div w:id="428695433">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74876375">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545725103">
      <w:bodyDiv w:val="1"/>
      <w:marLeft w:val="0"/>
      <w:marRight w:val="0"/>
      <w:marTop w:val="0"/>
      <w:marBottom w:val="0"/>
      <w:divBdr>
        <w:top w:val="none" w:sz="0" w:space="0" w:color="auto"/>
        <w:left w:val="none" w:sz="0" w:space="0" w:color="auto"/>
        <w:bottom w:val="none" w:sz="0" w:space="0" w:color="auto"/>
        <w:right w:val="none" w:sz="0" w:space="0" w:color="auto"/>
      </w:divBdr>
    </w:div>
    <w:div w:id="630135121">
      <w:bodyDiv w:val="1"/>
      <w:marLeft w:val="0"/>
      <w:marRight w:val="0"/>
      <w:marTop w:val="0"/>
      <w:marBottom w:val="0"/>
      <w:divBdr>
        <w:top w:val="none" w:sz="0" w:space="0" w:color="auto"/>
        <w:left w:val="none" w:sz="0" w:space="0" w:color="auto"/>
        <w:bottom w:val="none" w:sz="0" w:space="0" w:color="auto"/>
        <w:right w:val="none" w:sz="0" w:space="0" w:color="auto"/>
      </w:divBdr>
    </w:div>
    <w:div w:id="630284606">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678197498">
      <w:bodyDiv w:val="1"/>
      <w:marLeft w:val="0"/>
      <w:marRight w:val="0"/>
      <w:marTop w:val="0"/>
      <w:marBottom w:val="0"/>
      <w:divBdr>
        <w:top w:val="none" w:sz="0" w:space="0" w:color="auto"/>
        <w:left w:val="none" w:sz="0" w:space="0" w:color="auto"/>
        <w:bottom w:val="none" w:sz="0" w:space="0" w:color="auto"/>
        <w:right w:val="none" w:sz="0" w:space="0" w:color="auto"/>
      </w:divBdr>
    </w:div>
    <w:div w:id="740641641">
      <w:bodyDiv w:val="1"/>
      <w:marLeft w:val="0"/>
      <w:marRight w:val="0"/>
      <w:marTop w:val="0"/>
      <w:marBottom w:val="0"/>
      <w:divBdr>
        <w:top w:val="none" w:sz="0" w:space="0" w:color="auto"/>
        <w:left w:val="none" w:sz="0" w:space="0" w:color="auto"/>
        <w:bottom w:val="none" w:sz="0" w:space="0" w:color="auto"/>
        <w:right w:val="none" w:sz="0" w:space="0" w:color="auto"/>
      </w:divBdr>
    </w:div>
    <w:div w:id="756093276">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779301147">
      <w:bodyDiv w:val="1"/>
      <w:marLeft w:val="0"/>
      <w:marRight w:val="0"/>
      <w:marTop w:val="0"/>
      <w:marBottom w:val="0"/>
      <w:divBdr>
        <w:top w:val="none" w:sz="0" w:space="0" w:color="auto"/>
        <w:left w:val="none" w:sz="0" w:space="0" w:color="auto"/>
        <w:bottom w:val="none" w:sz="0" w:space="0" w:color="auto"/>
        <w:right w:val="none" w:sz="0" w:space="0" w:color="auto"/>
      </w:divBdr>
    </w:div>
    <w:div w:id="800194858">
      <w:bodyDiv w:val="1"/>
      <w:marLeft w:val="0"/>
      <w:marRight w:val="0"/>
      <w:marTop w:val="0"/>
      <w:marBottom w:val="0"/>
      <w:divBdr>
        <w:top w:val="none" w:sz="0" w:space="0" w:color="auto"/>
        <w:left w:val="none" w:sz="0" w:space="0" w:color="auto"/>
        <w:bottom w:val="none" w:sz="0" w:space="0" w:color="auto"/>
        <w:right w:val="none" w:sz="0" w:space="0" w:color="auto"/>
      </w:divBdr>
    </w:div>
    <w:div w:id="831487238">
      <w:bodyDiv w:val="1"/>
      <w:marLeft w:val="0"/>
      <w:marRight w:val="0"/>
      <w:marTop w:val="0"/>
      <w:marBottom w:val="0"/>
      <w:divBdr>
        <w:top w:val="none" w:sz="0" w:space="0" w:color="auto"/>
        <w:left w:val="none" w:sz="0" w:space="0" w:color="auto"/>
        <w:bottom w:val="none" w:sz="0" w:space="0" w:color="auto"/>
        <w:right w:val="none" w:sz="0" w:space="0" w:color="auto"/>
      </w:divBdr>
    </w:div>
    <w:div w:id="832142287">
      <w:bodyDiv w:val="1"/>
      <w:marLeft w:val="0"/>
      <w:marRight w:val="0"/>
      <w:marTop w:val="0"/>
      <w:marBottom w:val="0"/>
      <w:divBdr>
        <w:top w:val="none" w:sz="0" w:space="0" w:color="auto"/>
        <w:left w:val="none" w:sz="0" w:space="0" w:color="auto"/>
        <w:bottom w:val="none" w:sz="0" w:space="0" w:color="auto"/>
        <w:right w:val="none" w:sz="0" w:space="0" w:color="auto"/>
      </w:divBdr>
    </w:div>
    <w:div w:id="837505816">
      <w:bodyDiv w:val="1"/>
      <w:marLeft w:val="0"/>
      <w:marRight w:val="0"/>
      <w:marTop w:val="0"/>
      <w:marBottom w:val="0"/>
      <w:divBdr>
        <w:top w:val="none" w:sz="0" w:space="0" w:color="auto"/>
        <w:left w:val="none" w:sz="0" w:space="0" w:color="auto"/>
        <w:bottom w:val="none" w:sz="0" w:space="0" w:color="auto"/>
        <w:right w:val="none" w:sz="0" w:space="0" w:color="auto"/>
      </w:divBdr>
    </w:div>
    <w:div w:id="887373518">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03297611">
      <w:bodyDiv w:val="1"/>
      <w:marLeft w:val="0"/>
      <w:marRight w:val="0"/>
      <w:marTop w:val="0"/>
      <w:marBottom w:val="0"/>
      <w:divBdr>
        <w:top w:val="none" w:sz="0" w:space="0" w:color="auto"/>
        <w:left w:val="none" w:sz="0" w:space="0" w:color="auto"/>
        <w:bottom w:val="none" w:sz="0" w:space="0" w:color="auto"/>
        <w:right w:val="none" w:sz="0" w:space="0" w:color="auto"/>
      </w:divBdr>
    </w:div>
    <w:div w:id="907301696">
      <w:bodyDiv w:val="1"/>
      <w:marLeft w:val="0"/>
      <w:marRight w:val="0"/>
      <w:marTop w:val="0"/>
      <w:marBottom w:val="0"/>
      <w:divBdr>
        <w:top w:val="none" w:sz="0" w:space="0" w:color="auto"/>
        <w:left w:val="none" w:sz="0" w:space="0" w:color="auto"/>
        <w:bottom w:val="none" w:sz="0" w:space="0" w:color="auto"/>
        <w:right w:val="none" w:sz="0" w:space="0" w:color="auto"/>
      </w:divBdr>
    </w:div>
    <w:div w:id="918903622">
      <w:bodyDiv w:val="1"/>
      <w:marLeft w:val="0"/>
      <w:marRight w:val="0"/>
      <w:marTop w:val="0"/>
      <w:marBottom w:val="0"/>
      <w:divBdr>
        <w:top w:val="none" w:sz="0" w:space="0" w:color="auto"/>
        <w:left w:val="none" w:sz="0" w:space="0" w:color="auto"/>
        <w:bottom w:val="none" w:sz="0" w:space="0" w:color="auto"/>
        <w:right w:val="none" w:sz="0" w:space="0" w:color="auto"/>
      </w:divBdr>
    </w:div>
    <w:div w:id="931397969">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988439327">
      <w:bodyDiv w:val="1"/>
      <w:marLeft w:val="0"/>
      <w:marRight w:val="0"/>
      <w:marTop w:val="0"/>
      <w:marBottom w:val="0"/>
      <w:divBdr>
        <w:top w:val="none" w:sz="0" w:space="0" w:color="auto"/>
        <w:left w:val="none" w:sz="0" w:space="0" w:color="auto"/>
        <w:bottom w:val="none" w:sz="0" w:space="0" w:color="auto"/>
        <w:right w:val="none" w:sz="0" w:space="0" w:color="auto"/>
      </w:divBdr>
    </w:div>
    <w:div w:id="989864838">
      <w:bodyDiv w:val="1"/>
      <w:marLeft w:val="0"/>
      <w:marRight w:val="0"/>
      <w:marTop w:val="0"/>
      <w:marBottom w:val="0"/>
      <w:divBdr>
        <w:top w:val="none" w:sz="0" w:space="0" w:color="auto"/>
        <w:left w:val="none" w:sz="0" w:space="0" w:color="auto"/>
        <w:bottom w:val="none" w:sz="0" w:space="0" w:color="auto"/>
        <w:right w:val="none" w:sz="0" w:space="0" w:color="auto"/>
      </w:divBdr>
    </w:div>
    <w:div w:id="1017775748">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21206945">
      <w:bodyDiv w:val="1"/>
      <w:marLeft w:val="0"/>
      <w:marRight w:val="0"/>
      <w:marTop w:val="0"/>
      <w:marBottom w:val="0"/>
      <w:divBdr>
        <w:top w:val="none" w:sz="0" w:space="0" w:color="auto"/>
        <w:left w:val="none" w:sz="0" w:space="0" w:color="auto"/>
        <w:bottom w:val="none" w:sz="0" w:space="0" w:color="auto"/>
        <w:right w:val="none" w:sz="0" w:space="0" w:color="auto"/>
      </w:divBdr>
    </w:div>
    <w:div w:id="1026755251">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045954651">
      <w:bodyDiv w:val="1"/>
      <w:marLeft w:val="0"/>
      <w:marRight w:val="0"/>
      <w:marTop w:val="0"/>
      <w:marBottom w:val="0"/>
      <w:divBdr>
        <w:top w:val="none" w:sz="0" w:space="0" w:color="auto"/>
        <w:left w:val="none" w:sz="0" w:space="0" w:color="auto"/>
        <w:bottom w:val="none" w:sz="0" w:space="0" w:color="auto"/>
        <w:right w:val="none" w:sz="0" w:space="0" w:color="auto"/>
      </w:divBdr>
    </w:div>
    <w:div w:id="1047726530">
      <w:bodyDiv w:val="1"/>
      <w:marLeft w:val="0"/>
      <w:marRight w:val="0"/>
      <w:marTop w:val="0"/>
      <w:marBottom w:val="0"/>
      <w:divBdr>
        <w:top w:val="none" w:sz="0" w:space="0" w:color="auto"/>
        <w:left w:val="none" w:sz="0" w:space="0" w:color="auto"/>
        <w:bottom w:val="none" w:sz="0" w:space="0" w:color="auto"/>
        <w:right w:val="none" w:sz="0" w:space="0" w:color="auto"/>
      </w:divBdr>
    </w:div>
    <w:div w:id="1055159351">
      <w:bodyDiv w:val="1"/>
      <w:marLeft w:val="0"/>
      <w:marRight w:val="0"/>
      <w:marTop w:val="0"/>
      <w:marBottom w:val="0"/>
      <w:divBdr>
        <w:top w:val="none" w:sz="0" w:space="0" w:color="auto"/>
        <w:left w:val="none" w:sz="0" w:space="0" w:color="auto"/>
        <w:bottom w:val="none" w:sz="0" w:space="0" w:color="auto"/>
        <w:right w:val="none" w:sz="0" w:space="0" w:color="auto"/>
      </w:divBdr>
    </w:div>
    <w:div w:id="1096486795">
      <w:bodyDiv w:val="1"/>
      <w:marLeft w:val="0"/>
      <w:marRight w:val="0"/>
      <w:marTop w:val="0"/>
      <w:marBottom w:val="0"/>
      <w:divBdr>
        <w:top w:val="none" w:sz="0" w:space="0" w:color="auto"/>
        <w:left w:val="none" w:sz="0" w:space="0" w:color="auto"/>
        <w:bottom w:val="none" w:sz="0" w:space="0" w:color="auto"/>
        <w:right w:val="none" w:sz="0" w:space="0" w:color="auto"/>
      </w:divBdr>
    </w:div>
    <w:div w:id="1098332216">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1897663">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68597860">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07982261">
      <w:bodyDiv w:val="1"/>
      <w:marLeft w:val="0"/>
      <w:marRight w:val="0"/>
      <w:marTop w:val="0"/>
      <w:marBottom w:val="0"/>
      <w:divBdr>
        <w:top w:val="none" w:sz="0" w:space="0" w:color="auto"/>
        <w:left w:val="none" w:sz="0" w:space="0" w:color="auto"/>
        <w:bottom w:val="none" w:sz="0" w:space="0" w:color="auto"/>
        <w:right w:val="none" w:sz="0" w:space="0" w:color="auto"/>
      </w:divBdr>
    </w:div>
    <w:div w:id="1216232768">
      <w:bodyDiv w:val="1"/>
      <w:marLeft w:val="0"/>
      <w:marRight w:val="0"/>
      <w:marTop w:val="0"/>
      <w:marBottom w:val="0"/>
      <w:divBdr>
        <w:top w:val="none" w:sz="0" w:space="0" w:color="auto"/>
        <w:left w:val="none" w:sz="0" w:space="0" w:color="auto"/>
        <w:bottom w:val="none" w:sz="0" w:space="0" w:color="auto"/>
        <w:right w:val="none" w:sz="0" w:space="0" w:color="auto"/>
      </w:divBdr>
    </w:div>
    <w:div w:id="1226377297">
      <w:bodyDiv w:val="1"/>
      <w:marLeft w:val="0"/>
      <w:marRight w:val="0"/>
      <w:marTop w:val="0"/>
      <w:marBottom w:val="0"/>
      <w:divBdr>
        <w:top w:val="none" w:sz="0" w:space="0" w:color="auto"/>
        <w:left w:val="none" w:sz="0" w:space="0" w:color="auto"/>
        <w:bottom w:val="none" w:sz="0" w:space="0" w:color="auto"/>
        <w:right w:val="none" w:sz="0" w:space="0" w:color="auto"/>
      </w:divBdr>
    </w:div>
    <w:div w:id="1260484482">
      <w:bodyDiv w:val="1"/>
      <w:marLeft w:val="0"/>
      <w:marRight w:val="0"/>
      <w:marTop w:val="0"/>
      <w:marBottom w:val="0"/>
      <w:divBdr>
        <w:top w:val="none" w:sz="0" w:space="0" w:color="auto"/>
        <w:left w:val="none" w:sz="0" w:space="0" w:color="auto"/>
        <w:bottom w:val="none" w:sz="0" w:space="0" w:color="auto"/>
        <w:right w:val="none" w:sz="0" w:space="0" w:color="auto"/>
      </w:divBdr>
    </w:div>
    <w:div w:id="1265265661">
      <w:bodyDiv w:val="1"/>
      <w:marLeft w:val="0"/>
      <w:marRight w:val="0"/>
      <w:marTop w:val="0"/>
      <w:marBottom w:val="0"/>
      <w:divBdr>
        <w:top w:val="none" w:sz="0" w:space="0" w:color="auto"/>
        <w:left w:val="none" w:sz="0" w:space="0" w:color="auto"/>
        <w:bottom w:val="none" w:sz="0" w:space="0" w:color="auto"/>
        <w:right w:val="none" w:sz="0" w:space="0" w:color="auto"/>
      </w:divBdr>
    </w:div>
    <w:div w:id="1281838703">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288972856">
      <w:bodyDiv w:val="1"/>
      <w:marLeft w:val="0"/>
      <w:marRight w:val="0"/>
      <w:marTop w:val="0"/>
      <w:marBottom w:val="0"/>
      <w:divBdr>
        <w:top w:val="none" w:sz="0" w:space="0" w:color="auto"/>
        <w:left w:val="none" w:sz="0" w:space="0" w:color="auto"/>
        <w:bottom w:val="none" w:sz="0" w:space="0" w:color="auto"/>
        <w:right w:val="none" w:sz="0" w:space="0" w:color="auto"/>
      </w:divBdr>
    </w:div>
    <w:div w:id="1302228873">
      <w:bodyDiv w:val="1"/>
      <w:marLeft w:val="0"/>
      <w:marRight w:val="0"/>
      <w:marTop w:val="0"/>
      <w:marBottom w:val="0"/>
      <w:divBdr>
        <w:top w:val="none" w:sz="0" w:space="0" w:color="auto"/>
        <w:left w:val="none" w:sz="0" w:space="0" w:color="auto"/>
        <w:bottom w:val="none" w:sz="0" w:space="0" w:color="auto"/>
        <w:right w:val="none" w:sz="0" w:space="0" w:color="auto"/>
      </w:divBdr>
    </w:div>
    <w:div w:id="1344668266">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354956836">
      <w:bodyDiv w:val="1"/>
      <w:marLeft w:val="0"/>
      <w:marRight w:val="0"/>
      <w:marTop w:val="0"/>
      <w:marBottom w:val="0"/>
      <w:divBdr>
        <w:top w:val="none" w:sz="0" w:space="0" w:color="auto"/>
        <w:left w:val="none" w:sz="0" w:space="0" w:color="auto"/>
        <w:bottom w:val="none" w:sz="0" w:space="0" w:color="auto"/>
        <w:right w:val="none" w:sz="0" w:space="0" w:color="auto"/>
      </w:divBdr>
    </w:div>
    <w:div w:id="1382050862">
      <w:bodyDiv w:val="1"/>
      <w:marLeft w:val="0"/>
      <w:marRight w:val="0"/>
      <w:marTop w:val="0"/>
      <w:marBottom w:val="0"/>
      <w:divBdr>
        <w:top w:val="none" w:sz="0" w:space="0" w:color="auto"/>
        <w:left w:val="none" w:sz="0" w:space="0" w:color="auto"/>
        <w:bottom w:val="none" w:sz="0" w:space="0" w:color="auto"/>
        <w:right w:val="none" w:sz="0" w:space="0" w:color="auto"/>
      </w:divBdr>
    </w:div>
    <w:div w:id="1414666555">
      <w:bodyDiv w:val="1"/>
      <w:marLeft w:val="0"/>
      <w:marRight w:val="0"/>
      <w:marTop w:val="0"/>
      <w:marBottom w:val="0"/>
      <w:divBdr>
        <w:top w:val="none" w:sz="0" w:space="0" w:color="auto"/>
        <w:left w:val="none" w:sz="0" w:space="0" w:color="auto"/>
        <w:bottom w:val="none" w:sz="0" w:space="0" w:color="auto"/>
        <w:right w:val="none" w:sz="0" w:space="0" w:color="auto"/>
      </w:divBdr>
    </w:div>
    <w:div w:id="1420784503">
      <w:bodyDiv w:val="1"/>
      <w:marLeft w:val="0"/>
      <w:marRight w:val="0"/>
      <w:marTop w:val="0"/>
      <w:marBottom w:val="0"/>
      <w:divBdr>
        <w:top w:val="none" w:sz="0" w:space="0" w:color="auto"/>
        <w:left w:val="none" w:sz="0" w:space="0" w:color="auto"/>
        <w:bottom w:val="none" w:sz="0" w:space="0" w:color="auto"/>
        <w:right w:val="none" w:sz="0" w:space="0" w:color="auto"/>
      </w:divBdr>
    </w:div>
    <w:div w:id="1423067325">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4939652">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487668255">
      <w:bodyDiv w:val="1"/>
      <w:marLeft w:val="0"/>
      <w:marRight w:val="0"/>
      <w:marTop w:val="0"/>
      <w:marBottom w:val="0"/>
      <w:divBdr>
        <w:top w:val="none" w:sz="0" w:space="0" w:color="auto"/>
        <w:left w:val="none" w:sz="0" w:space="0" w:color="auto"/>
        <w:bottom w:val="none" w:sz="0" w:space="0" w:color="auto"/>
        <w:right w:val="none" w:sz="0" w:space="0" w:color="auto"/>
      </w:divBdr>
    </w:div>
    <w:div w:id="1492021045">
      <w:bodyDiv w:val="1"/>
      <w:marLeft w:val="0"/>
      <w:marRight w:val="0"/>
      <w:marTop w:val="0"/>
      <w:marBottom w:val="0"/>
      <w:divBdr>
        <w:top w:val="none" w:sz="0" w:space="0" w:color="auto"/>
        <w:left w:val="none" w:sz="0" w:space="0" w:color="auto"/>
        <w:bottom w:val="none" w:sz="0" w:space="0" w:color="auto"/>
        <w:right w:val="none" w:sz="0" w:space="0" w:color="auto"/>
      </w:divBdr>
    </w:div>
    <w:div w:id="1493839406">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13297627">
      <w:bodyDiv w:val="1"/>
      <w:marLeft w:val="0"/>
      <w:marRight w:val="0"/>
      <w:marTop w:val="0"/>
      <w:marBottom w:val="0"/>
      <w:divBdr>
        <w:top w:val="none" w:sz="0" w:space="0" w:color="auto"/>
        <w:left w:val="none" w:sz="0" w:space="0" w:color="auto"/>
        <w:bottom w:val="none" w:sz="0" w:space="0" w:color="auto"/>
        <w:right w:val="none" w:sz="0" w:space="0" w:color="auto"/>
      </w:divBdr>
    </w:div>
    <w:div w:id="1523326263">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546214952">
      <w:bodyDiv w:val="1"/>
      <w:marLeft w:val="0"/>
      <w:marRight w:val="0"/>
      <w:marTop w:val="0"/>
      <w:marBottom w:val="0"/>
      <w:divBdr>
        <w:top w:val="none" w:sz="0" w:space="0" w:color="auto"/>
        <w:left w:val="none" w:sz="0" w:space="0" w:color="auto"/>
        <w:bottom w:val="none" w:sz="0" w:space="0" w:color="auto"/>
        <w:right w:val="none" w:sz="0" w:space="0" w:color="auto"/>
      </w:divBdr>
    </w:div>
    <w:div w:id="1598442373">
      <w:bodyDiv w:val="1"/>
      <w:marLeft w:val="0"/>
      <w:marRight w:val="0"/>
      <w:marTop w:val="0"/>
      <w:marBottom w:val="0"/>
      <w:divBdr>
        <w:top w:val="none" w:sz="0" w:space="0" w:color="auto"/>
        <w:left w:val="none" w:sz="0" w:space="0" w:color="auto"/>
        <w:bottom w:val="none" w:sz="0" w:space="0" w:color="auto"/>
        <w:right w:val="none" w:sz="0" w:space="0" w:color="auto"/>
      </w:divBdr>
    </w:div>
    <w:div w:id="1618102458">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48315181">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660232813">
      <w:bodyDiv w:val="1"/>
      <w:marLeft w:val="0"/>
      <w:marRight w:val="0"/>
      <w:marTop w:val="0"/>
      <w:marBottom w:val="0"/>
      <w:divBdr>
        <w:top w:val="none" w:sz="0" w:space="0" w:color="auto"/>
        <w:left w:val="none" w:sz="0" w:space="0" w:color="auto"/>
        <w:bottom w:val="none" w:sz="0" w:space="0" w:color="auto"/>
        <w:right w:val="none" w:sz="0" w:space="0" w:color="auto"/>
      </w:divBdr>
    </w:div>
    <w:div w:id="1679502553">
      <w:bodyDiv w:val="1"/>
      <w:marLeft w:val="0"/>
      <w:marRight w:val="0"/>
      <w:marTop w:val="0"/>
      <w:marBottom w:val="0"/>
      <w:divBdr>
        <w:top w:val="none" w:sz="0" w:space="0" w:color="auto"/>
        <w:left w:val="none" w:sz="0" w:space="0" w:color="auto"/>
        <w:bottom w:val="none" w:sz="0" w:space="0" w:color="auto"/>
        <w:right w:val="none" w:sz="0" w:space="0" w:color="auto"/>
      </w:divBdr>
    </w:div>
    <w:div w:id="1686009171">
      <w:bodyDiv w:val="1"/>
      <w:marLeft w:val="0"/>
      <w:marRight w:val="0"/>
      <w:marTop w:val="0"/>
      <w:marBottom w:val="0"/>
      <w:divBdr>
        <w:top w:val="none" w:sz="0" w:space="0" w:color="auto"/>
        <w:left w:val="none" w:sz="0" w:space="0" w:color="auto"/>
        <w:bottom w:val="none" w:sz="0" w:space="0" w:color="auto"/>
        <w:right w:val="none" w:sz="0" w:space="0" w:color="auto"/>
      </w:divBdr>
    </w:div>
    <w:div w:id="1700858308">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52311080">
      <w:bodyDiv w:val="1"/>
      <w:marLeft w:val="0"/>
      <w:marRight w:val="0"/>
      <w:marTop w:val="0"/>
      <w:marBottom w:val="0"/>
      <w:divBdr>
        <w:top w:val="none" w:sz="0" w:space="0" w:color="auto"/>
        <w:left w:val="none" w:sz="0" w:space="0" w:color="auto"/>
        <w:bottom w:val="none" w:sz="0" w:space="0" w:color="auto"/>
        <w:right w:val="none" w:sz="0" w:space="0" w:color="auto"/>
      </w:divBdr>
    </w:div>
    <w:div w:id="1755466059">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796408563">
      <w:bodyDiv w:val="1"/>
      <w:marLeft w:val="0"/>
      <w:marRight w:val="0"/>
      <w:marTop w:val="0"/>
      <w:marBottom w:val="0"/>
      <w:divBdr>
        <w:top w:val="none" w:sz="0" w:space="0" w:color="auto"/>
        <w:left w:val="none" w:sz="0" w:space="0" w:color="auto"/>
        <w:bottom w:val="none" w:sz="0" w:space="0" w:color="auto"/>
        <w:right w:val="none" w:sz="0" w:space="0" w:color="auto"/>
      </w:divBdr>
    </w:div>
    <w:div w:id="1861582728">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16937235">
      <w:bodyDiv w:val="1"/>
      <w:marLeft w:val="0"/>
      <w:marRight w:val="0"/>
      <w:marTop w:val="0"/>
      <w:marBottom w:val="0"/>
      <w:divBdr>
        <w:top w:val="none" w:sz="0" w:space="0" w:color="auto"/>
        <w:left w:val="none" w:sz="0" w:space="0" w:color="auto"/>
        <w:bottom w:val="none" w:sz="0" w:space="0" w:color="auto"/>
        <w:right w:val="none" w:sz="0" w:space="0" w:color="auto"/>
      </w:divBdr>
    </w:div>
    <w:div w:id="1918396580">
      <w:bodyDiv w:val="1"/>
      <w:marLeft w:val="0"/>
      <w:marRight w:val="0"/>
      <w:marTop w:val="0"/>
      <w:marBottom w:val="0"/>
      <w:divBdr>
        <w:top w:val="none" w:sz="0" w:space="0" w:color="auto"/>
        <w:left w:val="none" w:sz="0" w:space="0" w:color="auto"/>
        <w:bottom w:val="none" w:sz="0" w:space="0" w:color="auto"/>
        <w:right w:val="none" w:sz="0" w:space="0" w:color="auto"/>
      </w:divBdr>
    </w:div>
    <w:div w:id="1923639712">
      <w:bodyDiv w:val="1"/>
      <w:marLeft w:val="0"/>
      <w:marRight w:val="0"/>
      <w:marTop w:val="0"/>
      <w:marBottom w:val="0"/>
      <w:divBdr>
        <w:top w:val="none" w:sz="0" w:space="0" w:color="auto"/>
        <w:left w:val="none" w:sz="0" w:space="0" w:color="auto"/>
        <w:bottom w:val="none" w:sz="0" w:space="0" w:color="auto"/>
        <w:right w:val="none" w:sz="0" w:space="0" w:color="auto"/>
      </w:divBdr>
    </w:div>
    <w:div w:id="1931312629">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64774683">
      <w:bodyDiv w:val="1"/>
      <w:marLeft w:val="0"/>
      <w:marRight w:val="0"/>
      <w:marTop w:val="0"/>
      <w:marBottom w:val="0"/>
      <w:divBdr>
        <w:top w:val="none" w:sz="0" w:space="0" w:color="auto"/>
        <w:left w:val="none" w:sz="0" w:space="0" w:color="auto"/>
        <w:bottom w:val="none" w:sz="0" w:space="0" w:color="auto"/>
        <w:right w:val="none" w:sz="0" w:space="0" w:color="auto"/>
      </w:divBdr>
    </w:div>
    <w:div w:id="1972132011">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1996566981">
      <w:bodyDiv w:val="1"/>
      <w:marLeft w:val="0"/>
      <w:marRight w:val="0"/>
      <w:marTop w:val="0"/>
      <w:marBottom w:val="0"/>
      <w:divBdr>
        <w:top w:val="none" w:sz="0" w:space="0" w:color="auto"/>
        <w:left w:val="none" w:sz="0" w:space="0" w:color="auto"/>
        <w:bottom w:val="none" w:sz="0" w:space="0" w:color="auto"/>
        <w:right w:val="none" w:sz="0" w:space="0" w:color="auto"/>
      </w:divBdr>
    </w:div>
    <w:div w:id="2006587441">
      <w:bodyDiv w:val="1"/>
      <w:marLeft w:val="0"/>
      <w:marRight w:val="0"/>
      <w:marTop w:val="0"/>
      <w:marBottom w:val="0"/>
      <w:divBdr>
        <w:top w:val="none" w:sz="0" w:space="0" w:color="auto"/>
        <w:left w:val="none" w:sz="0" w:space="0" w:color="auto"/>
        <w:bottom w:val="none" w:sz="0" w:space="0" w:color="auto"/>
        <w:right w:val="none" w:sz="0" w:space="0" w:color="auto"/>
      </w:divBdr>
    </w:div>
    <w:div w:id="2014725682">
      <w:bodyDiv w:val="1"/>
      <w:marLeft w:val="0"/>
      <w:marRight w:val="0"/>
      <w:marTop w:val="0"/>
      <w:marBottom w:val="0"/>
      <w:divBdr>
        <w:top w:val="none" w:sz="0" w:space="0" w:color="auto"/>
        <w:left w:val="none" w:sz="0" w:space="0" w:color="auto"/>
        <w:bottom w:val="none" w:sz="0" w:space="0" w:color="auto"/>
        <w:right w:val="none" w:sz="0" w:space="0" w:color="auto"/>
      </w:divBdr>
    </w:div>
    <w:div w:id="2022852156">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49915446">
      <w:bodyDiv w:val="1"/>
      <w:marLeft w:val="0"/>
      <w:marRight w:val="0"/>
      <w:marTop w:val="0"/>
      <w:marBottom w:val="0"/>
      <w:divBdr>
        <w:top w:val="none" w:sz="0" w:space="0" w:color="auto"/>
        <w:left w:val="none" w:sz="0" w:space="0" w:color="auto"/>
        <w:bottom w:val="none" w:sz="0" w:space="0" w:color="auto"/>
        <w:right w:val="none" w:sz="0" w:space="0" w:color="auto"/>
      </w:divBdr>
    </w:div>
    <w:div w:id="2052143243">
      <w:bodyDiv w:val="1"/>
      <w:marLeft w:val="0"/>
      <w:marRight w:val="0"/>
      <w:marTop w:val="0"/>
      <w:marBottom w:val="0"/>
      <w:divBdr>
        <w:top w:val="none" w:sz="0" w:space="0" w:color="auto"/>
        <w:left w:val="none" w:sz="0" w:space="0" w:color="auto"/>
        <w:bottom w:val="none" w:sz="0" w:space="0" w:color="auto"/>
        <w:right w:val="none" w:sz="0" w:space="0" w:color="auto"/>
      </w:divBdr>
    </w:div>
    <w:div w:id="2052534519">
      <w:bodyDiv w:val="1"/>
      <w:marLeft w:val="0"/>
      <w:marRight w:val="0"/>
      <w:marTop w:val="0"/>
      <w:marBottom w:val="0"/>
      <w:divBdr>
        <w:top w:val="none" w:sz="0" w:space="0" w:color="auto"/>
        <w:left w:val="none" w:sz="0" w:space="0" w:color="auto"/>
        <w:bottom w:val="none" w:sz="0" w:space="0" w:color="auto"/>
        <w:right w:val="none" w:sz="0" w:space="0" w:color="auto"/>
      </w:divBdr>
    </w:div>
    <w:div w:id="2058237624">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82755495">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52C17468-B58E-4A68-8C38-3295938AC42C}">
  <ds:schemaRefs>
    <ds:schemaRef ds:uri="http://schemas.openxmlformats.org/officeDocument/2006/bibliography"/>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5</Pages>
  <Words>2110</Words>
  <Characters>12032</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承融 蔡</cp:lastModifiedBy>
  <cp:revision>14</cp:revision>
  <dcterms:created xsi:type="dcterms:W3CDTF">2024-11-17T06:49:00Z</dcterms:created>
  <dcterms:modified xsi:type="dcterms:W3CDTF">2024-11-18T17:08:00Z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ies>
</file>