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jc w:val="both"/>
        <w:rPr>
          <w:rFonts w:hint="default" w:ascii="Times New Roman" w:hAnsi="Times New Roman" w:eastAsia="宋体" w:cs="Times New Roman"/>
          <w:b/>
          <w:sz w:val="22"/>
          <w:szCs w:val="22"/>
          <w:lang w:eastAsia="zh-CN"/>
        </w:rPr>
      </w:pPr>
      <w:r>
        <w:rPr>
          <w:rFonts w:hint="default" w:ascii="Times New Roman" w:hAnsi="Times New Roman" w:eastAsia="宋体" w:cs="Times New Roman"/>
          <w:b/>
          <w:sz w:val="22"/>
          <w:szCs w:val="22"/>
          <w:lang w:eastAsia="zh-CN"/>
        </w:rPr>
        <w:t>3GPP TSG RAN WG1 #11</w:t>
      </w:r>
      <w:r>
        <w:rPr>
          <w:rFonts w:hint="default" w:ascii="Times New Roman" w:hAnsi="Times New Roman" w:eastAsia="宋体" w:cs="Times New Roman"/>
          <w:b/>
          <w:sz w:val="22"/>
          <w:szCs w:val="22"/>
          <w:lang w:val="en-US" w:eastAsia="zh-CN"/>
        </w:rPr>
        <w:t>9</w:t>
      </w:r>
      <w:r>
        <w:rPr>
          <w:rFonts w:hint="default" w:ascii="Times New Roman" w:hAnsi="Times New Roman" w:eastAsia="宋体" w:cs="Times New Roman"/>
          <w:b/>
          <w:sz w:val="22"/>
          <w:szCs w:val="22"/>
          <w:lang w:eastAsia="zh-CN"/>
        </w:rPr>
        <w:tab/>
      </w:r>
      <w:r>
        <w:rPr>
          <w:rFonts w:hint="default" w:ascii="Times New Roman" w:hAnsi="Times New Roman" w:eastAsia="宋体" w:cs="Times New Roman"/>
          <w:b/>
          <w:sz w:val="22"/>
          <w:szCs w:val="22"/>
          <w:lang w:eastAsia="zh-CN"/>
        </w:rPr>
        <w:tab/>
      </w:r>
      <w:bookmarkStart w:id="0" w:name="_GoBack"/>
      <w:r>
        <w:rPr>
          <w:rFonts w:hint="default" w:ascii="Times New Roman" w:hAnsi="Times New Roman" w:eastAsia="宋体" w:cs="Times New Roman"/>
          <w:b/>
          <w:sz w:val="22"/>
          <w:szCs w:val="22"/>
          <w:highlight w:val="none"/>
          <w:lang w:eastAsia="zh-CN"/>
        </w:rPr>
        <w:t>R1-24</w:t>
      </w:r>
      <w:r>
        <w:rPr>
          <w:rFonts w:hint="eastAsia" w:eastAsia="宋体" w:cs="Times New Roman"/>
          <w:b/>
          <w:sz w:val="22"/>
          <w:szCs w:val="22"/>
          <w:highlight w:val="none"/>
          <w:lang w:val="en-US" w:eastAsia="zh-CN"/>
        </w:rPr>
        <w:t>10083</w:t>
      </w:r>
      <w:bookmarkEnd w:id="0"/>
    </w:p>
    <w:p>
      <w:pPr>
        <w:pStyle w:val="15"/>
        <w:jc w:val="both"/>
        <w:rPr>
          <w:rFonts w:hint="default" w:ascii="Times New Roman" w:hAnsi="Times New Roman" w:eastAsia="宋体" w:cs="Times New Roman"/>
          <w:b/>
          <w:sz w:val="22"/>
          <w:szCs w:val="22"/>
          <w:lang w:eastAsia="zh-CN"/>
        </w:rPr>
      </w:pPr>
      <w:r>
        <w:rPr>
          <w:rFonts w:hint="default" w:ascii="Times New Roman" w:hAnsi="Times New Roman" w:eastAsia="宋体" w:cs="Times New Roman"/>
          <w:b/>
          <w:sz w:val="22"/>
          <w:szCs w:val="22"/>
          <w:lang w:val="en-US" w:eastAsia="zh-CN"/>
        </w:rPr>
        <w:t>Orlando</w:t>
      </w:r>
      <w:r>
        <w:rPr>
          <w:rFonts w:hint="default" w:ascii="Times New Roman" w:hAnsi="Times New Roman" w:eastAsia="宋体" w:cs="Times New Roman"/>
          <w:b/>
          <w:sz w:val="22"/>
          <w:szCs w:val="22"/>
          <w:lang w:eastAsia="zh-CN"/>
        </w:rPr>
        <w:t>,</w:t>
      </w:r>
      <w:r>
        <w:rPr>
          <w:rFonts w:hint="default" w:ascii="Times New Roman" w:hAnsi="Times New Roman" w:eastAsia="宋体" w:cs="Times New Roman"/>
          <w:b/>
          <w:sz w:val="22"/>
          <w:szCs w:val="22"/>
          <w:lang w:val="en-US" w:eastAsia="zh-CN"/>
        </w:rPr>
        <w:t xml:space="preserve"> US,</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November</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18</w:t>
      </w:r>
      <w:r>
        <w:rPr>
          <w:rFonts w:hint="default" w:ascii="Times New Roman" w:hAnsi="Times New Roman" w:eastAsia="宋体" w:cs="Times New Roman"/>
          <w:b/>
          <w:sz w:val="22"/>
          <w:szCs w:val="22"/>
          <w:vertAlign w:val="superscript"/>
          <w:lang w:eastAsia="zh-CN"/>
        </w:rPr>
        <w:t>th</w:t>
      </w:r>
      <w:r>
        <w:rPr>
          <w:rFonts w:hint="default" w:ascii="Times New Roman" w:hAnsi="Times New Roman" w:eastAsia="宋体" w:cs="Times New Roman"/>
          <w:b/>
          <w:sz w:val="22"/>
          <w:szCs w:val="22"/>
          <w:lang w:eastAsia="zh-CN"/>
        </w:rPr>
        <w:t xml:space="preserve"> -</w:t>
      </w:r>
      <w:r>
        <w:rPr>
          <w:rFonts w:hint="default" w:ascii="Times New Roman" w:hAnsi="Times New Roman" w:eastAsia="宋体" w:cs="Times New Roman"/>
          <w:b/>
          <w:sz w:val="22"/>
          <w:szCs w:val="22"/>
          <w:lang w:val="en-US" w:eastAsia="zh-CN"/>
        </w:rPr>
        <w:t xml:space="preserve"> 22</w:t>
      </w:r>
      <w:r>
        <w:rPr>
          <w:rFonts w:hint="default" w:ascii="Times New Roman" w:hAnsi="Times New Roman" w:eastAsia="宋体" w:cs="Times New Roman"/>
          <w:b/>
          <w:sz w:val="22"/>
          <w:szCs w:val="22"/>
          <w:vertAlign w:val="superscript"/>
          <w:lang w:val="en-US" w:eastAsia="zh-CN"/>
        </w:rPr>
        <w:t>nd</w:t>
      </w:r>
      <w:r>
        <w:rPr>
          <w:rFonts w:hint="default" w:ascii="Times New Roman" w:hAnsi="Times New Roman" w:eastAsia="宋体" w:cs="Times New Roman"/>
          <w:b/>
          <w:sz w:val="22"/>
          <w:szCs w:val="22"/>
          <w:lang w:eastAsia="zh-CN"/>
        </w:rPr>
        <w:t xml:space="preserve">, 2024 </w:t>
      </w:r>
    </w:p>
    <w:p>
      <w:pPr>
        <w:pStyle w:val="15"/>
        <w:jc w:val="both"/>
        <w:rPr>
          <w:rFonts w:hint="default" w:ascii="Times New Roman" w:hAnsi="Times New Roman" w:eastAsia="宋体" w:cs="Times New Roman"/>
          <w:b/>
          <w:sz w:val="22"/>
          <w:szCs w:val="22"/>
          <w:lang w:eastAsia="zh-CN"/>
        </w:rPr>
      </w:pPr>
    </w:p>
    <w:p>
      <w:pPr>
        <w:pStyle w:val="15"/>
        <w:tabs>
          <w:tab w:val="left" w:pos="1800"/>
          <w:tab w:val="clear" w:pos="4536"/>
        </w:tabs>
        <w:ind w:left="1800" w:hanging="1800"/>
        <w:jc w:val="both"/>
        <w:rPr>
          <w:rFonts w:hint="default" w:ascii="Times New Roman" w:hAnsi="Times New Roman" w:eastAsia="宋体" w:cs="Times New Roman"/>
          <w:sz w:val="22"/>
          <w:szCs w:val="22"/>
          <w:lang w:eastAsia="zh-CN"/>
        </w:rPr>
      </w:pPr>
      <w:r>
        <w:rPr>
          <w:rFonts w:hint="default" w:ascii="Times New Roman" w:hAnsi="Times New Roman" w:eastAsia="宋体" w:cs="Times New Roman"/>
          <w:sz w:val="22"/>
          <w:szCs w:val="22"/>
          <w:lang w:eastAsia="zh-CN"/>
        </w:rPr>
        <w:t>Source:</w:t>
      </w:r>
      <w:r>
        <w:rPr>
          <w:rFonts w:hint="default" w:ascii="Times New Roman" w:hAnsi="Times New Roman" w:eastAsia="宋体" w:cs="Times New Roman"/>
          <w:sz w:val="22"/>
          <w:szCs w:val="22"/>
          <w:lang w:eastAsia="zh-CN"/>
        </w:rPr>
        <w:tab/>
      </w:r>
      <w:r>
        <w:rPr>
          <w:rFonts w:hint="default" w:ascii="Times New Roman" w:hAnsi="Times New Roman" w:eastAsia="宋体" w:cs="Times New Roman"/>
          <w:sz w:val="22"/>
          <w:szCs w:val="22"/>
          <w:lang w:eastAsia="zh-CN"/>
        </w:rPr>
        <w:t>OPPO</w:t>
      </w:r>
    </w:p>
    <w:p>
      <w:pPr>
        <w:pStyle w:val="15"/>
        <w:tabs>
          <w:tab w:val="left" w:pos="1800"/>
          <w:tab w:val="clear" w:pos="4536"/>
        </w:tabs>
        <w:ind w:left="1800" w:hanging="1800"/>
        <w:jc w:val="both"/>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rPr>
        <w:t>Discussion on IoT-NTN TDD mode</w:t>
      </w:r>
    </w:p>
    <w:p>
      <w:pPr>
        <w:pStyle w:val="15"/>
        <w:tabs>
          <w:tab w:val="left" w:pos="1800"/>
        </w:tabs>
        <w:jc w:val="both"/>
        <w:rPr>
          <w:rFonts w:hint="default" w:ascii="Times New Roman" w:hAnsi="Times New Roman" w:eastAsia="宋体" w:cs="Times New Roman"/>
          <w:sz w:val="22"/>
          <w:szCs w:val="22"/>
          <w:lang w:eastAsia="zh-CN"/>
        </w:rPr>
      </w:pPr>
      <w:r>
        <w:rPr>
          <w:rFonts w:hint="default" w:ascii="Times New Roman" w:hAnsi="Times New Roman" w:cs="Times New Roman"/>
          <w:sz w:val="22"/>
          <w:szCs w:val="22"/>
        </w:rPr>
        <w:t>Agenda Item:</w:t>
      </w:r>
      <w:r>
        <w:rPr>
          <w:rFonts w:hint="default" w:ascii="Times New Roman" w:hAnsi="Times New Roman" w:cs="Times New Roman"/>
          <w:sz w:val="22"/>
          <w:szCs w:val="22"/>
        </w:rPr>
        <w:tab/>
      </w:r>
      <w:r>
        <w:rPr>
          <w:rFonts w:hint="default" w:ascii="Times New Roman" w:hAnsi="Times New Roman" w:eastAsia="宋体" w:cs="Times New Roman"/>
          <w:sz w:val="22"/>
          <w:szCs w:val="22"/>
          <w:lang w:eastAsia="zh-CN"/>
        </w:rPr>
        <w:t>9.</w:t>
      </w:r>
      <w:r>
        <w:rPr>
          <w:rFonts w:hint="default" w:ascii="Times New Roman" w:hAnsi="Times New Roman" w:eastAsia="宋体" w:cs="Times New Roman"/>
          <w:sz w:val="22"/>
          <w:szCs w:val="22"/>
          <w:lang w:val="en-US" w:eastAsia="zh-CN"/>
        </w:rPr>
        <w:t>11</w:t>
      </w:r>
      <w:r>
        <w:rPr>
          <w:rFonts w:hint="default" w:ascii="Times New Roman" w:hAnsi="Times New Roman" w:eastAsia="宋体" w:cs="Times New Roman"/>
          <w:sz w:val="22"/>
          <w:szCs w:val="22"/>
          <w:lang w:eastAsia="zh-CN"/>
        </w:rPr>
        <w:t>.</w:t>
      </w:r>
      <w:r>
        <w:rPr>
          <w:rFonts w:hint="default" w:ascii="Times New Roman" w:hAnsi="Times New Roman" w:eastAsia="宋体" w:cs="Times New Roman"/>
          <w:sz w:val="22"/>
          <w:szCs w:val="22"/>
          <w:lang w:val="en-US" w:eastAsia="zh-CN"/>
        </w:rPr>
        <w:t>5</w:t>
      </w:r>
    </w:p>
    <w:p>
      <w:pPr>
        <w:pStyle w:val="15"/>
        <w:tabs>
          <w:tab w:val="left" w:pos="1800"/>
        </w:tabs>
        <w:jc w:val="both"/>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and Decision</w:t>
      </w:r>
    </w:p>
    <w:p>
      <w:pPr>
        <w:pBdr>
          <w:bottom w:val="single" w:color="auto" w:sz="4" w:space="1"/>
        </w:pBdr>
        <w:tabs>
          <w:tab w:val="left" w:pos="2552"/>
        </w:tabs>
        <w:jc w:val="both"/>
        <w:rPr>
          <w:rFonts w:hint="default" w:ascii="Times New Roman" w:hAnsi="Times New Roman" w:cs="Times New Roman"/>
          <w:sz w:val="22"/>
          <w:szCs w:val="22"/>
        </w:rPr>
      </w:pPr>
    </w:p>
    <w:p>
      <w:pPr>
        <w:pStyle w:val="2"/>
        <w:jc w:val="both"/>
        <w:rPr>
          <w:rFonts w:hint="default" w:ascii="Times New Roman" w:hAnsi="Times New Roman" w:cs="Times New Roman"/>
        </w:rPr>
      </w:pPr>
      <w:r>
        <w:rPr>
          <w:rFonts w:hint="default" w:ascii="Times New Roman" w:hAnsi="Times New Roman" w:cs="Times New Roman"/>
        </w:rPr>
        <w:t>Introduction</w:t>
      </w:r>
    </w:p>
    <w:p>
      <w:pPr>
        <w:pStyle w:val="4"/>
        <w:jc w:val="both"/>
        <w:rPr>
          <w:rFonts w:hint="default" w:ascii="Times New Roman" w:hAnsi="Times New Roman" w:eastAsia="宋体" w:cs="Times New Roman"/>
          <w:bCs/>
          <w:szCs w:val="20"/>
          <w:lang w:val="en-GB" w:eastAsia="en-GB"/>
        </w:rPr>
      </w:pPr>
      <w:r>
        <w:rPr>
          <w:rFonts w:hint="default" w:ascii="Times New Roman" w:hAnsi="Times New Roman" w:eastAsia="等线" w:cs="Times New Roman"/>
          <w:szCs w:val="20"/>
          <w:lang w:eastAsia="zh-CN"/>
        </w:rPr>
        <w:t>In RAN</w:t>
      </w:r>
      <w:r>
        <w:rPr>
          <w:rFonts w:hint="default" w:ascii="Times New Roman" w:hAnsi="Times New Roman" w:eastAsia="等线" w:cs="Times New Roman"/>
          <w:szCs w:val="20"/>
          <w:lang w:val="en-US" w:eastAsia="zh-CN"/>
        </w:rPr>
        <w:t xml:space="preserve"> plenary </w:t>
      </w:r>
      <w:r>
        <w:rPr>
          <w:rFonts w:hint="default" w:ascii="Times New Roman" w:hAnsi="Times New Roman" w:eastAsia="等线" w:cs="Times New Roman"/>
          <w:szCs w:val="20"/>
          <w:lang w:eastAsia="zh-CN"/>
        </w:rPr>
        <w:t>meeting #1</w:t>
      </w:r>
      <w:r>
        <w:rPr>
          <w:rFonts w:hint="default" w:ascii="Times New Roman" w:hAnsi="Times New Roman" w:eastAsia="等线" w:cs="Times New Roman"/>
          <w:szCs w:val="20"/>
          <w:lang w:val="en-US" w:eastAsia="zh-CN"/>
        </w:rPr>
        <w:t>05</w:t>
      </w:r>
      <w:r>
        <w:rPr>
          <w:rFonts w:hint="default" w:ascii="Times New Roman" w:hAnsi="Times New Roman" w:eastAsia="等线" w:cs="Times New Roman"/>
          <w:szCs w:val="20"/>
          <w:lang w:eastAsia="zh-CN"/>
        </w:rPr>
        <w:t xml:space="preserve">, </w:t>
      </w:r>
      <w:r>
        <w:rPr>
          <w:rFonts w:hint="default" w:ascii="Times New Roman" w:hAnsi="Times New Roman" w:eastAsia="等线" w:cs="Times New Roman"/>
          <w:szCs w:val="20"/>
          <w:lang w:val="en-US" w:eastAsia="zh-CN"/>
        </w:rPr>
        <w:t xml:space="preserve">a new WI IoT NTN TDD mode was approved [1] and the motivation is to enable Iridium’s TDD band to provide NB-IoT service. Although it is a TDD band,  RAN plenary decides to use the IoT_NTN FDD frame structure as a starting point and strives for minimum necessary changes. Moreover RAN plenary also sets a checkpoint in the next RAN plenary meeting to discuss the potential enhancement within the Rel-19 WI scope. To have more concrete outcome, it is also expected that RAN1 starts from this meeting a study phase mainly focusing on the downlink synchronization to conclude any impact due to the periodic pattern of the framing. </w:t>
      </w:r>
    </w:p>
    <w:tbl>
      <w:tblPr>
        <w:tblStyle w:val="21"/>
        <w:tblW w:w="90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62" w:type="dxa"/>
          </w:tcPr>
          <w:p>
            <w:pPr>
              <w:spacing w:after="120"/>
              <w:jc w:val="both"/>
              <w:rPr>
                <w:rFonts w:hint="default" w:ascii="Times New Roman" w:hAnsi="Times New Roman" w:cs="Times New Roman"/>
              </w:rPr>
            </w:pPr>
            <w:r>
              <w:rPr>
                <w:rFonts w:hint="default" w:ascii="Times New Roman" w:hAnsi="Times New Roman" w:cs="Times New Roman"/>
              </w:rPr>
              <w:t>This work item includes the following objectives:</w:t>
            </w:r>
          </w:p>
          <w:p>
            <w:pPr>
              <w:numPr>
                <w:ilvl w:val="0"/>
                <w:numId w:val="7"/>
              </w:numPr>
              <w:suppressAutoHyphens w:val="0"/>
              <w:overflowPunct/>
              <w:autoSpaceDE/>
              <w:spacing w:after="120"/>
              <w:jc w:val="both"/>
              <w:textAlignment w:val="auto"/>
              <w:rPr>
                <w:rFonts w:hint="default" w:ascii="Times New Roman" w:hAnsi="Times New Roman" w:cs="Times New Roman"/>
                <w:highlight w:val="yellow"/>
              </w:rPr>
            </w:pPr>
            <w:r>
              <w:rPr>
                <w:rFonts w:hint="default" w:ascii="Times New Roman" w:hAnsi="Times New Roman" w:cs="Times New Roman"/>
                <w:highlight w:val="yellow"/>
              </w:rPr>
              <w:t xml:space="preserve">Study the impact </w:t>
            </w:r>
            <w:r>
              <w:rPr>
                <w:rFonts w:hint="default" w:ascii="Times New Roman" w:hAnsi="Times New Roman" w:cs="Times New Roman"/>
                <w:bCs/>
                <w:highlight w:val="yellow"/>
              </w:rPr>
              <w:t>due to the periodic pattern</w:t>
            </w:r>
            <w:r>
              <w:rPr>
                <w:rFonts w:hint="default" w:ascii="Times New Roman" w:hAnsi="Times New Roman" w:cs="Times New Roman"/>
                <w:highlight w:val="yellow"/>
              </w:rPr>
              <w:t>, at least on UE downlink synchronization and other aspects (if identified) [RAN1, RAN4]</w:t>
            </w:r>
          </w:p>
          <w:p>
            <w:pPr>
              <w:numPr>
                <w:ilvl w:val="1"/>
                <w:numId w:val="8"/>
              </w:numPr>
              <w:spacing w:after="120"/>
              <w:jc w:val="both"/>
              <w:rPr>
                <w:rFonts w:hint="default" w:ascii="Times New Roman" w:hAnsi="Times New Roman" w:cs="Times New Roman"/>
                <w:highlight w:val="yellow"/>
              </w:rPr>
            </w:pPr>
            <w:r>
              <w:rPr>
                <w:rFonts w:hint="default" w:ascii="Times New Roman" w:hAnsi="Times New Roman" w:cs="Times New Roman"/>
                <w:highlight w:val="yellow"/>
              </w:rPr>
              <w:t>Checkpoint in RAN#106 for the completion of the study phase. RAN1 start from Oct’24. RAN4 start from Nov’24</w:t>
            </w:r>
          </w:p>
          <w:p>
            <w:pPr>
              <w:numPr>
                <w:ilvl w:val="0"/>
                <w:numId w:val="7"/>
              </w:numPr>
              <w:spacing w:after="120"/>
              <w:jc w:val="both"/>
              <w:rPr>
                <w:rFonts w:hint="default" w:ascii="Times New Roman" w:hAnsi="Times New Roman" w:cs="Times New Roman"/>
                <w:highlight w:val="yellow"/>
              </w:rPr>
            </w:pPr>
            <w:r>
              <w:rPr>
                <w:rFonts w:hint="default" w:ascii="Times New Roman" w:hAnsi="Times New Roman" w:cs="Times New Roman"/>
                <w:highlight w:val="yellow"/>
              </w:rPr>
              <w:t>Specify a new NB-IoT TDD NTN mode</w:t>
            </w:r>
            <w:r>
              <w:rPr>
                <w:rStyle w:val="95"/>
                <w:rFonts w:hint="default" w:ascii="Times New Roman" w:hAnsi="Times New Roman" w:cs="Times New Roman"/>
                <w:highlight w:val="yellow"/>
              </w:rPr>
              <w:t xml:space="preserve"> </w:t>
            </w:r>
            <w:r>
              <w:rPr>
                <w:rStyle w:val="96"/>
                <w:rFonts w:hint="default" w:ascii="Times New Roman" w:hAnsi="Times New Roman" w:cs="Times New Roman"/>
                <w:highlight w:val="yellow"/>
              </w:rPr>
              <w:t>based on minimum necessary changes to the NB-IoT NTN FDD frame structure and procedures</w:t>
            </w:r>
            <w:r>
              <w:rPr>
                <w:rFonts w:hint="default" w:ascii="Times New Roman" w:hAnsi="Times New Roman" w:cs="Times New Roman"/>
                <w:highlight w:val="yellow"/>
              </w:rPr>
              <w:t>, based on the outcome of the study, including:</w:t>
            </w:r>
          </w:p>
          <w:p>
            <w:pPr>
              <w:numPr>
                <w:ilvl w:val="1"/>
                <w:numId w:val="8"/>
              </w:numPr>
              <w:spacing w:after="120"/>
              <w:jc w:val="both"/>
              <w:rPr>
                <w:rFonts w:hint="default" w:ascii="Times New Roman" w:hAnsi="Times New Roman" w:cs="Times New Roman"/>
                <w:highlight w:val="yellow"/>
              </w:rPr>
            </w:pPr>
            <w:r>
              <w:rPr>
                <w:rFonts w:hint="default" w:ascii="Times New Roman" w:hAnsi="Times New Roman" w:cs="Times New Roman"/>
                <w:highlight w:val="yellow"/>
              </w:rPr>
              <w:t>Definition, configuration (if needed) and signaling (if needed) of the periodic pattern including confirming the value of N, and associated UE procedures [RAN1, RAN2]</w:t>
            </w:r>
          </w:p>
          <w:p>
            <w:pPr>
              <w:numPr>
                <w:ilvl w:val="1"/>
                <w:numId w:val="8"/>
              </w:numPr>
              <w:spacing w:after="120"/>
              <w:jc w:val="both"/>
              <w:rPr>
                <w:rFonts w:hint="default" w:ascii="Times New Roman" w:hAnsi="Times New Roman" w:cs="Times New Roman"/>
              </w:rPr>
            </w:pPr>
            <w:r>
              <w:rPr>
                <w:rFonts w:hint="default" w:ascii="Times New Roman" w:hAnsi="Times New Roman" w:cs="Times New Roman"/>
              </w:rPr>
              <w:t>Other necessary impacts on higher layers [RAN2]</w:t>
            </w:r>
          </w:p>
          <w:p>
            <w:pPr>
              <w:numPr>
                <w:ilvl w:val="1"/>
                <w:numId w:val="8"/>
              </w:numPr>
              <w:spacing w:after="120"/>
              <w:jc w:val="both"/>
              <w:rPr>
                <w:rFonts w:hint="default" w:ascii="Times New Roman" w:hAnsi="Times New Roman" w:cs="Times New Roman"/>
              </w:rPr>
            </w:pPr>
            <w:r>
              <w:rPr>
                <w:rFonts w:hint="default" w:ascii="Times New Roman" w:hAnsi="Times New Roman" w:cs="Times New Roman"/>
              </w:rPr>
              <w:t>RRM and RF core requirements [RAN4]</w:t>
            </w:r>
          </w:p>
          <w:p>
            <w:pPr>
              <w:numPr>
                <w:ilvl w:val="0"/>
                <w:numId w:val="7"/>
              </w:numPr>
              <w:spacing w:after="120"/>
              <w:jc w:val="both"/>
              <w:rPr>
                <w:rFonts w:hint="default" w:ascii="Times New Roman" w:hAnsi="Times New Roman" w:cs="Times New Roman"/>
              </w:rPr>
            </w:pPr>
            <w:r>
              <w:rPr>
                <w:rFonts w:hint="default" w:ascii="Times New Roman" w:hAnsi="Times New Roman" w:cs="Times New Roman"/>
              </w:rPr>
              <w:t>Specify a new NB-IoT TDD operating NTN band for the MSS allocation spanning 1616-1626.5 MHz for DL and UL, based on the outcome of the study, to be used as example band for this WI [RAN4].</w:t>
            </w:r>
          </w:p>
          <w:p>
            <w:pPr>
              <w:numPr>
                <w:ilvl w:val="1"/>
                <w:numId w:val="8"/>
              </w:numPr>
              <w:spacing w:after="120"/>
              <w:jc w:val="both"/>
              <w:rPr>
                <w:rFonts w:hint="default" w:ascii="Times New Roman" w:hAnsi="Times New Roman" w:cs="Times New Roman"/>
              </w:rPr>
            </w:pPr>
            <w:r>
              <w:rPr>
                <w:rFonts w:hint="default" w:ascii="Times New Roman" w:hAnsi="Times New Roman" w:cs="Times New Roman"/>
              </w:rPr>
              <w:t>Specify band numbering</w:t>
            </w:r>
          </w:p>
          <w:p>
            <w:pPr>
              <w:numPr>
                <w:ilvl w:val="1"/>
                <w:numId w:val="8"/>
              </w:numPr>
              <w:spacing w:after="120"/>
              <w:jc w:val="both"/>
              <w:rPr>
                <w:rFonts w:hint="default" w:ascii="Times New Roman" w:hAnsi="Times New Roman" w:cs="Times New Roman"/>
              </w:rPr>
            </w:pPr>
            <w:r>
              <w:rPr>
                <w:rFonts w:hint="default" w:ascii="Times New Roman" w:hAnsi="Times New Roman" w:cs="Times New Roman"/>
              </w:rPr>
              <w:t>Specify SAN and UE RF characteristics</w:t>
            </w:r>
          </w:p>
          <w:p>
            <w:pPr>
              <w:numPr>
                <w:ilvl w:val="1"/>
                <w:numId w:val="8"/>
              </w:numPr>
              <w:spacing w:after="120"/>
              <w:jc w:val="both"/>
              <w:rPr>
                <w:rFonts w:hint="default" w:ascii="Times New Roman" w:hAnsi="Times New Roman" w:cs="Times New Roman"/>
              </w:rPr>
            </w:pPr>
            <w:r>
              <w:rPr>
                <w:rFonts w:hint="default" w:ascii="Times New Roman" w:hAnsi="Times New Roman" w:cs="Times New Roman"/>
              </w:rPr>
              <w:t>Specify DL and UL channelization.</w:t>
            </w:r>
          </w:p>
          <w:p>
            <w:pPr>
              <w:numPr>
                <w:ilvl w:val="1"/>
                <w:numId w:val="8"/>
              </w:numPr>
              <w:spacing w:after="120"/>
              <w:jc w:val="both"/>
              <w:rPr>
                <w:rFonts w:hint="default" w:ascii="Times New Roman" w:hAnsi="Times New Roman" w:cs="Times New Roman"/>
              </w:rPr>
            </w:pPr>
            <w:r>
              <w:rPr>
                <w:rFonts w:hint="default" w:ascii="Times New Roman" w:hAnsi="Times New Roman" w:cs="Times New Roman"/>
              </w:rPr>
              <w:t>Specify channel bandwidth as 200 kHz</w:t>
            </w:r>
          </w:p>
          <w:p>
            <w:pPr>
              <w:numPr>
                <w:ilvl w:val="1"/>
                <w:numId w:val="8"/>
              </w:numPr>
              <w:spacing w:after="120"/>
              <w:jc w:val="both"/>
              <w:rPr>
                <w:rFonts w:hint="default" w:ascii="Times New Roman" w:hAnsi="Times New Roman" w:cs="Times New Roman"/>
              </w:rPr>
            </w:pPr>
            <w:r>
              <w:rPr>
                <w:rFonts w:hint="default" w:ascii="Times New Roman" w:hAnsi="Times New Roman" w:cs="Times New Roman"/>
              </w:rPr>
              <w:t>Note1: No NTN-NTN coexistence study needed.</w:t>
            </w:r>
          </w:p>
          <w:p>
            <w:pPr>
              <w:numPr>
                <w:ilvl w:val="1"/>
                <w:numId w:val="8"/>
              </w:numPr>
              <w:spacing w:after="120"/>
              <w:jc w:val="both"/>
              <w:rPr>
                <w:rFonts w:hint="default" w:ascii="Times New Roman" w:hAnsi="Times New Roman" w:eastAsia="Malgun Gothic" w:cs="Times New Roman"/>
                <w:szCs w:val="20"/>
                <w:lang w:eastAsia="zh-CN"/>
              </w:rPr>
            </w:pPr>
            <w:r>
              <w:rPr>
                <w:rFonts w:hint="default" w:ascii="Times New Roman" w:hAnsi="Times New Roman" w:cs="Times New Roman"/>
              </w:rPr>
              <w:t>Note2: Leverage existing work as much as possible for TN-NTN coexistence of adjacent bands</w:t>
            </w:r>
          </w:p>
          <w:p>
            <w:pPr>
              <w:contextualSpacing/>
              <w:jc w:val="both"/>
              <w:rPr>
                <w:rFonts w:hint="default" w:ascii="Times New Roman" w:hAnsi="Times New Roman" w:cs="Times New Roman" w:eastAsiaTheme="minorEastAsia"/>
                <w:b/>
                <w:bCs/>
                <w:szCs w:val="20"/>
                <w:highlight w:val="green"/>
                <w:lang w:eastAsia="zh-CN"/>
              </w:rPr>
            </w:pPr>
          </w:p>
        </w:tc>
      </w:tr>
    </w:tbl>
    <w:p>
      <w:pPr>
        <w:overflowPunct w:val="0"/>
        <w:autoSpaceDE w:val="0"/>
        <w:autoSpaceDN w:val="0"/>
        <w:adjustRightInd w:val="0"/>
        <w:jc w:val="both"/>
        <w:textAlignment w:val="baseline"/>
        <w:rPr>
          <w:rFonts w:hint="default" w:ascii="Times New Roman" w:hAnsi="Times New Roman" w:eastAsia="宋体" w:cs="Times New Roman"/>
          <w:bCs/>
          <w:szCs w:val="20"/>
          <w:lang w:val="en-GB" w:eastAsia="en-GB"/>
        </w:rPr>
      </w:pPr>
    </w:p>
    <w:p>
      <w:pPr>
        <w:pStyle w:val="4"/>
        <w:jc w:val="both"/>
        <w:rPr>
          <w:rFonts w:hint="default" w:ascii="Times New Roman" w:hAnsi="Times New Roman" w:eastAsia="等线" w:cs="Times New Roman"/>
          <w:szCs w:val="20"/>
          <w:lang w:val="en-GB" w:eastAsia="zh-CN"/>
        </w:rPr>
      </w:pPr>
      <w:r>
        <w:rPr>
          <w:rFonts w:hint="default" w:ascii="Times New Roman" w:hAnsi="Times New Roman" w:eastAsia="等线" w:cs="Times New Roman"/>
          <w:szCs w:val="20"/>
          <w:lang w:val="en-GB" w:eastAsia="zh-CN"/>
        </w:rPr>
        <w:t xml:space="preserve">In this contribution, we provide our </w:t>
      </w:r>
      <w:r>
        <w:rPr>
          <w:rFonts w:hint="default" w:ascii="Times New Roman" w:hAnsi="Times New Roman" w:eastAsia="等线" w:cs="Times New Roman"/>
          <w:szCs w:val="20"/>
          <w:lang w:val="en-US" w:eastAsia="zh-CN"/>
        </w:rPr>
        <w:t xml:space="preserve">analysis on the downlink synchronization and system information acquisition. </w:t>
      </w:r>
    </w:p>
    <w:p>
      <w:pPr>
        <w:pStyle w:val="2"/>
        <w:jc w:val="both"/>
        <w:rPr>
          <w:rFonts w:hint="default" w:ascii="Times New Roman" w:hAnsi="Times New Roman" w:cs="Times New Roman"/>
        </w:rPr>
      </w:pPr>
      <w:r>
        <w:rPr>
          <w:rFonts w:hint="default" w:ascii="Times New Roman" w:hAnsi="Times New Roman" w:eastAsia="宋体" w:cs="Times New Roman"/>
          <w:lang w:eastAsia="zh-CN"/>
        </w:rPr>
        <w:t>Discussion</w:t>
      </w:r>
    </w:p>
    <w:p>
      <w:pPr>
        <w:pStyle w:val="4"/>
        <w:jc w:val="both"/>
        <w:outlineLvl w:val="1"/>
        <w:rPr>
          <w:rFonts w:hint="default" w:ascii="Times New Roman" w:hAnsi="Times New Roman" w:cs="Times New Roman" w:eastAsiaTheme="minorEastAsia"/>
          <w:b/>
          <w:bCs/>
          <w:sz w:val="21"/>
          <w:szCs w:val="21"/>
          <w:lang w:val="en-GB" w:eastAsia="zh-CN"/>
        </w:rPr>
      </w:pPr>
      <w:r>
        <w:rPr>
          <w:rFonts w:hint="eastAsia" w:ascii="Times New Roman" w:hAnsi="Times New Roman" w:cs="Times New Roman" w:eastAsiaTheme="minorEastAsia"/>
          <w:b/>
          <w:bCs/>
          <w:sz w:val="21"/>
          <w:szCs w:val="21"/>
          <w:lang w:val="en-US" w:eastAsia="zh-CN"/>
        </w:rPr>
        <w:t xml:space="preserve">2.1 Design condition towards coexistence between IoT NTN TDD and Iridium existing satellite service in the </w:t>
      </w:r>
      <w:r>
        <w:rPr>
          <w:rFonts w:hint="default" w:ascii="Times New Roman" w:hAnsi="Times New Roman" w:cs="Times New Roman" w:eastAsiaTheme="minorEastAsia"/>
          <w:b/>
          <w:bCs/>
          <w:sz w:val="21"/>
          <w:szCs w:val="21"/>
          <w:lang w:val="en-GB" w:eastAsia="zh-CN"/>
        </w:rPr>
        <w:t>1616-1626.5 MHz MSS allocated band</w:t>
      </w:r>
    </w:p>
    <w:p>
      <w:pPr>
        <w:jc w:val="both"/>
        <w:rPr>
          <w:rFonts w:hint="eastAsia"/>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eastAsia="宋体"/>
          <w:lang w:val="en-US" w:eastAsia="zh-CN"/>
        </w:rPr>
      </w:pPr>
      <w:r>
        <w:rPr>
          <w:rFonts w:hint="eastAsia" w:eastAsia="等线" w:cs="Times New Roman"/>
          <w:szCs w:val="20"/>
          <w:lang w:val="en-US" w:eastAsia="zh-CN"/>
        </w:rPr>
        <w:t>In last meeting, there are lot of questions about the requirement of IoT NTN TDD coexisting with Iridium</w:t>
      </w:r>
      <w:r>
        <w:rPr>
          <w:rFonts w:hint="default" w:eastAsia="等线" w:cs="Times New Roman"/>
          <w:szCs w:val="20"/>
          <w:lang w:val="en-US" w:eastAsia="zh-CN"/>
        </w:rPr>
        <w:t>’</w:t>
      </w:r>
      <w:r>
        <w:rPr>
          <w:rFonts w:hint="eastAsia" w:eastAsia="等线" w:cs="Times New Roman"/>
          <w:szCs w:val="20"/>
          <w:lang w:val="en-US" w:eastAsia="zh-CN"/>
        </w:rPr>
        <w:t>s existing service in the same Iridium</w:t>
      </w:r>
      <w:r>
        <w:rPr>
          <w:rFonts w:hint="default" w:eastAsia="等线" w:cs="Times New Roman"/>
          <w:szCs w:val="20"/>
          <w:lang w:val="en-US" w:eastAsia="zh-CN"/>
        </w:rPr>
        <w:t>’</w:t>
      </w:r>
      <w:r>
        <w:rPr>
          <w:rFonts w:hint="eastAsia" w:eastAsia="等线" w:cs="Times New Roman"/>
          <w:szCs w:val="20"/>
          <w:lang w:val="en-US" w:eastAsia="zh-CN"/>
        </w:rPr>
        <w:t xml:space="preserve">s TDMA structure. First of all, the WID scope does not explicitly mention the requirement of the coexistence. Moreover, in last RAN1 meeting, RAN1 asked clarification from Iridium about further restrictions on the TDMA structure (Fig. 1). It turns out that the guard period between SIMPLEX, UL slot and DL slots are not identical and the concrete duration of the corresponding guard period cannot be disclosed. From 3GPP point of view, the following design restrictions should be beard in mind when considering coexistence IoT NTN TDD with existing Iridium satellite service in the </w:t>
      </w:r>
      <w:r>
        <w:t>1616-1626.5 MHz MSS allocated band</w:t>
      </w:r>
      <w:r>
        <w:rPr>
          <w:rFonts w:hint="eastAsia" w:eastAsia="宋体"/>
          <w:lang w:val="en-US" w:eastAsia="zh-CN"/>
        </w:rPr>
        <w:t xml:space="preserve">. </w:t>
      </w:r>
    </w:p>
    <w:p>
      <w:pPr>
        <w:pStyle w:val="4"/>
        <w:keepNext w:val="0"/>
        <w:keepLines w:val="0"/>
        <w:pageBreakBefore w:val="0"/>
        <w:widowControl/>
        <w:numPr>
          <w:ilvl w:val="0"/>
          <w:numId w:val="9"/>
        </w:numPr>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eastAsia="宋体"/>
          <w:lang w:val="en-US" w:eastAsia="zh-CN"/>
        </w:rPr>
      </w:pPr>
      <w:r>
        <w:rPr>
          <w:rFonts w:hint="eastAsia" w:eastAsia="宋体"/>
          <w:lang w:val="en-US" w:eastAsia="zh-CN"/>
        </w:rPr>
        <w:t>TDMA period is 90 ms</w:t>
      </w:r>
    </w:p>
    <w:p>
      <w:pPr>
        <w:pStyle w:val="4"/>
        <w:keepNext w:val="0"/>
        <w:keepLines w:val="0"/>
        <w:pageBreakBefore w:val="0"/>
        <w:widowControl/>
        <w:numPr>
          <w:ilvl w:val="0"/>
          <w:numId w:val="9"/>
        </w:numPr>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eastAsia="宋体"/>
          <w:lang w:val="en-US" w:eastAsia="zh-CN"/>
        </w:rPr>
      </w:pPr>
      <w:r>
        <w:rPr>
          <w:rFonts w:hint="eastAsia" w:eastAsia="宋体"/>
          <w:lang w:val="en-US" w:eastAsia="zh-CN"/>
        </w:rPr>
        <w:t>IoT NTN uplink transmissions can only be restricted in the UL slot of Iridium TDMA structure, where the UL slot has a duration of 8.28 ms</w:t>
      </w:r>
    </w:p>
    <w:p>
      <w:pPr>
        <w:pStyle w:val="4"/>
        <w:keepNext w:val="0"/>
        <w:keepLines w:val="0"/>
        <w:pageBreakBefore w:val="0"/>
        <w:widowControl/>
        <w:numPr>
          <w:ilvl w:val="0"/>
          <w:numId w:val="9"/>
        </w:numPr>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eastAsia="宋体"/>
          <w:lang w:val="en-US" w:eastAsia="zh-CN"/>
        </w:rPr>
      </w:pPr>
      <w:r>
        <w:rPr>
          <w:rFonts w:hint="eastAsia" w:eastAsia="宋体"/>
          <w:lang w:val="en-US" w:eastAsia="zh-CN"/>
        </w:rPr>
        <w:t>IoT NTN downlink transmissions can only be restricted in the DL slot of Iridium TDMA structure, where the DL slot has a duration of 8.28 ms</w:t>
      </w:r>
    </w:p>
    <w:p>
      <w:pPr>
        <w:pStyle w:val="4"/>
        <w:keepNext w:val="0"/>
        <w:keepLines w:val="0"/>
        <w:pageBreakBefore w:val="0"/>
        <w:widowControl/>
        <w:numPr>
          <w:ilvl w:val="0"/>
          <w:numId w:val="9"/>
        </w:numPr>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eastAsia="宋体"/>
          <w:lang w:val="en-US" w:eastAsia="zh-CN"/>
        </w:rPr>
      </w:pPr>
      <w:r>
        <w:rPr>
          <w:rFonts w:hint="eastAsia" w:eastAsia="宋体"/>
          <w:lang w:val="en-US" w:eastAsia="zh-CN"/>
        </w:rPr>
        <w:t xml:space="preserve">No transmission is allowed within any of the guard period of the Iridium TDMA structure, where the duration of each of the guard period is not disclosed to 3GPP.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eastAsia="等线" w:cs="Times New Roman"/>
          <w:szCs w:val="20"/>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center"/>
        <w:textAlignment w:val="auto"/>
        <w:outlineLvl w:val="9"/>
      </w:pPr>
      <w:r>
        <w:drawing>
          <wp:inline distT="0" distB="0" distL="0" distR="0">
            <wp:extent cx="5295900" cy="968375"/>
            <wp:effectExtent l="0" t="0" r="0" b="3175"/>
            <wp:docPr id="1369389601" name="Picture 1"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389601" name="Picture 1" descr="A black rectangular object with black text&#10;&#10;Description automatically generated"/>
                    <pic:cNvPicPr>
                      <a:picLocks noChangeAspect="1"/>
                    </pic:cNvPicPr>
                  </pic:nvPicPr>
                  <pic:blipFill>
                    <a:blip r:embed="rId5"/>
                    <a:stretch>
                      <a:fillRect/>
                    </a:stretch>
                  </pic:blipFill>
                  <pic:spPr>
                    <a:xfrm>
                      <a:off x="0" y="0"/>
                      <a:ext cx="5310815" cy="971363"/>
                    </a:xfrm>
                    <a:prstGeom prst="rect">
                      <a:avLst/>
                    </a:prstGeom>
                  </pic:spPr>
                </pic:pic>
              </a:graphicData>
            </a:graphic>
          </wp:inline>
        </w:drawing>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center"/>
        <w:textAlignment w:val="auto"/>
        <w:outlineLvl w:val="9"/>
        <w:rPr>
          <w:rFonts w:hint="eastAsia" w:eastAsia="宋体"/>
          <w:lang w:val="en-US" w:eastAsia="zh-CN"/>
        </w:rPr>
      </w:pPr>
      <w:r>
        <w:rPr>
          <w:rFonts w:hint="eastAsia" w:eastAsia="宋体"/>
          <w:lang w:val="en-US" w:eastAsia="zh-CN"/>
        </w:rPr>
        <w:t>Fig. 1: Iridium TDMA structure</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eastAsiaTheme="minorEastAsia"/>
          <w:b/>
          <w:bCs/>
          <w:sz w:val="21"/>
          <w:szCs w:val="21"/>
          <w:lang w:val="en-GB"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eastAsia="等线" w:cs="Times New Roman"/>
          <w:b/>
          <w:bCs/>
          <w:szCs w:val="20"/>
          <w:lang w:val="en-US" w:eastAsia="zh-CN"/>
        </w:rPr>
      </w:pPr>
      <w:r>
        <w:rPr>
          <w:rFonts w:hint="eastAsia" w:cs="Times New Roman" w:eastAsiaTheme="minorEastAsia"/>
          <w:b/>
          <w:bCs/>
          <w:sz w:val="21"/>
          <w:szCs w:val="21"/>
          <w:lang w:val="en-US" w:eastAsia="zh-CN"/>
        </w:rPr>
        <w:t xml:space="preserve">Observation 1: </w:t>
      </w:r>
      <w:r>
        <w:rPr>
          <w:rFonts w:hint="eastAsia" w:eastAsia="等线" w:cs="Times New Roman"/>
          <w:b/>
          <w:bCs/>
          <w:szCs w:val="20"/>
          <w:lang w:val="en-US" w:eastAsia="zh-CN"/>
        </w:rPr>
        <w:t>the WID scope does not explicitly mention the requirement of the coexistence, more clarification of WID scope is needed from RAN plenary.</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eastAsia="等线" w:cs="Times New Roman"/>
          <w:b/>
          <w:bCs/>
          <w:szCs w:val="20"/>
          <w:lang w:val="en-US" w:eastAsia="zh-CN"/>
        </w:rPr>
      </w:pPr>
      <w:r>
        <w:rPr>
          <w:rFonts w:hint="eastAsia" w:eastAsia="等线" w:cs="Times New Roman"/>
          <w:b/>
          <w:bCs/>
          <w:szCs w:val="20"/>
          <w:lang w:val="en-US" w:eastAsia="zh-CN"/>
        </w:rPr>
        <w:t>Observation 2: according to Iridium</w:t>
      </w:r>
      <w:r>
        <w:rPr>
          <w:rFonts w:hint="default" w:eastAsia="等线" w:cs="Times New Roman"/>
          <w:b/>
          <w:bCs/>
          <w:szCs w:val="20"/>
          <w:lang w:val="en-US" w:eastAsia="zh-CN"/>
        </w:rPr>
        <w:t>’</w:t>
      </w:r>
      <w:r>
        <w:rPr>
          <w:rFonts w:hint="eastAsia" w:eastAsia="等线" w:cs="Times New Roman"/>
          <w:b/>
          <w:bCs/>
          <w:szCs w:val="20"/>
          <w:lang w:val="en-US" w:eastAsia="zh-CN"/>
        </w:rPr>
        <w:t>s clarification, for coexistence with Iridium</w:t>
      </w:r>
      <w:r>
        <w:rPr>
          <w:rFonts w:hint="default" w:eastAsia="等线" w:cs="Times New Roman"/>
          <w:b/>
          <w:bCs/>
          <w:szCs w:val="20"/>
          <w:lang w:val="en-US" w:eastAsia="zh-CN"/>
        </w:rPr>
        <w:t>’</w:t>
      </w:r>
      <w:r>
        <w:rPr>
          <w:rFonts w:hint="eastAsia" w:eastAsia="等线" w:cs="Times New Roman"/>
          <w:b/>
          <w:bCs/>
          <w:szCs w:val="20"/>
          <w:lang w:val="en-US" w:eastAsia="zh-CN"/>
        </w:rPr>
        <w:t>s existing service, the design restriction for IoT NTN TDD is as follows:</w:t>
      </w:r>
    </w:p>
    <w:p>
      <w:pPr>
        <w:pStyle w:val="4"/>
        <w:keepNext w:val="0"/>
        <w:keepLines w:val="0"/>
        <w:pageBreakBefore w:val="0"/>
        <w:widowControl/>
        <w:numPr>
          <w:ilvl w:val="0"/>
          <w:numId w:val="10"/>
        </w:numPr>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eastAsia="宋体"/>
          <w:b/>
          <w:bCs/>
          <w:lang w:val="en-US" w:eastAsia="zh-CN"/>
        </w:rPr>
      </w:pPr>
      <w:r>
        <w:rPr>
          <w:rFonts w:hint="eastAsia" w:eastAsia="等线" w:cs="Times New Roman"/>
          <w:b/>
          <w:bCs/>
          <w:szCs w:val="20"/>
          <w:lang w:val="en-US" w:eastAsia="zh-CN"/>
        </w:rPr>
        <w:t xml:space="preserve"> </w:t>
      </w:r>
      <w:r>
        <w:rPr>
          <w:rFonts w:hint="eastAsia" w:eastAsia="宋体"/>
          <w:b/>
          <w:bCs/>
          <w:lang w:val="en-US" w:eastAsia="zh-CN"/>
        </w:rPr>
        <w:t>TDMA period is 90 ms</w:t>
      </w:r>
    </w:p>
    <w:p>
      <w:pPr>
        <w:pStyle w:val="4"/>
        <w:keepNext w:val="0"/>
        <w:keepLines w:val="0"/>
        <w:pageBreakBefore w:val="0"/>
        <w:widowControl/>
        <w:numPr>
          <w:ilvl w:val="0"/>
          <w:numId w:val="10"/>
        </w:numPr>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eastAsia="宋体"/>
          <w:b/>
          <w:bCs/>
          <w:lang w:val="en-US" w:eastAsia="zh-CN"/>
        </w:rPr>
      </w:pPr>
      <w:r>
        <w:rPr>
          <w:rFonts w:hint="eastAsia" w:eastAsia="宋体"/>
          <w:b/>
          <w:bCs/>
          <w:lang w:val="en-US" w:eastAsia="zh-CN"/>
        </w:rPr>
        <w:t>IoT NTN uplink transmissions can only be restricted in the UL slot of Iridium TDMA structure, where the UL slot has a duration of 8.28 ms</w:t>
      </w:r>
    </w:p>
    <w:p>
      <w:pPr>
        <w:pStyle w:val="4"/>
        <w:keepNext w:val="0"/>
        <w:keepLines w:val="0"/>
        <w:pageBreakBefore w:val="0"/>
        <w:widowControl/>
        <w:numPr>
          <w:ilvl w:val="0"/>
          <w:numId w:val="10"/>
        </w:numPr>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eastAsia="宋体"/>
          <w:b/>
          <w:bCs/>
          <w:lang w:val="en-US" w:eastAsia="zh-CN"/>
        </w:rPr>
      </w:pPr>
      <w:r>
        <w:rPr>
          <w:rFonts w:hint="eastAsia" w:eastAsia="宋体"/>
          <w:b/>
          <w:bCs/>
          <w:lang w:val="en-US" w:eastAsia="zh-CN"/>
        </w:rPr>
        <w:t>IoT NTN downlink transmissions can only be restricted in the DL slot of Iridium TDMA structure, where the DL slot has a duration of 8.28 ms</w:t>
      </w:r>
    </w:p>
    <w:p>
      <w:pPr>
        <w:pStyle w:val="4"/>
        <w:keepNext w:val="0"/>
        <w:keepLines w:val="0"/>
        <w:pageBreakBefore w:val="0"/>
        <w:widowControl/>
        <w:numPr>
          <w:ilvl w:val="0"/>
          <w:numId w:val="10"/>
        </w:numPr>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eastAsia="等线" w:cs="Times New Roman"/>
          <w:szCs w:val="20"/>
          <w:lang w:val="en-US" w:eastAsia="zh-CN"/>
        </w:rPr>
      </w:pPr>
      <w:r>
        <w:rPr>
          <w:rFonts w:hint="eastAsia" w:eastAsia="宋体"/>
          <w:b/>
          <w:bCs/>
          <w:lang w:val="en-US" w:eastAsia="zh-CN"/>
        </w:rPr>
        <w:t xml:space="preserve">No transmission is allowed within any of the guard period of the Iridium TDMA structure, where the duration of each of the guard period is not disclosed to 3GPP.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eastAsiaTheme="minorEastAsia"/>
          <w:b/>
          <w:bCs/>
          <w:sz w:val="21"/>
          <w:szCs w:val="21"/>
          <w:lang w:val="en-GB" w:eastAsia="zh-CN"/>
        </w:rPr>
      </w:pPr>
      <w:r>
        <w:rPr>
          <w:rFonts w:hint="eastAsia" w:eastAsia="等线" w:cs="Times New Roman"/>
          <w:b/>
          <w:bCs/>
          <w:szCs w:val="20"/>
          <w:lang w:val="en-US" w:eastAsia="zh-CN"/>
        </w:rPr>
        <w:t>Proposal 1: RAN1 could continue discussing the design details for IoT NTN TDD to achieve the coexistence with Iridium</w:t>
      </w:r>
      <w:r>
        <w:rPr>
          <w:rFonts w:hint="default" w:eastAsia="等线" w:cs="Times New Roman"/>
          <w:b/>
          <w:bCs/>
          <w:szCs w:val="20"/>
          <w:lang w:val="en-US" w:eastAsia="zh-CN"/>
        </w:rPr>
        <w:t>’</w:t>
      </w:r>
      <w:r>
        <w:rPr>
          <w:rFonts w:hint="eastAsia" w:eastAsia="等线" w:cs="Times New Roman"/>
          <w:b/>
          <w:bCs/>
          <w:szCs w:val="20"/>
          <w:lang w:val="en-US" w:eastAsia="zh-CN"/>
        </w:rPr>
        <w:t xml:space="preserve">s existing service in </w:t>
      </w:r>
      <w:r>
        <w:rPr>
          <w:b/>
          <w:bCs/>
        </w:rPr>
        <w:t>1616-1626.5 MHz MSS allocated band</w:t>
      </w:r>
      <w:r>
        <w:rPr>
          <w:rFonts w:hint="eastAsia" w:eastAsia="宋体"/>
          <w:b/>
          <w:bCs/>
          <w:lang w:val="en-US" w:eastAsia="zh-CN"/>
        </w:rPr>
        <w:t>. But RAN1 draws a recommendation to RAN plenary to clarify the WID scope during the checkpoint in RAN#106.</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ascii="Times New Roman" w:hAnsi="Times New Roman" w:cs="Times New Roman" w:eastAsiaTheme="minorEastAsia"/>
          <w:b/>
          <w:bCs/>
          <w:sz w:val="21"/>
          <w:szCs w:val="21"/>
          <w:lang w:val="en-GB" w:eastAsia="zh-CN"/>
        </w:rPr>
      </w:pPr>
    </w:p>
    <w:p>
      <w:pPr>
        <w:pStyle w:val="4"/>
        <w:jc w:val="both"/>
        <w:outlineLvl w:val="1"/>
        <w:rPr>
          <w:rFonts w:hint="default" w:ascii="Times New Roman" w:hAnsi="Times New Roman" w:cs="Times New Roman" w:eastAsiaTheme="minorEastAsia"/>
          <w:b/>
          <w:bCs/>
          <w:sz w:val="21"/>
          <w:szCs w:val="21"/>
          <w:lang w:val="en-US" w:eastAsia="zh-CN"/>
        </w:rPr>
      </w:pPr>
      <w:r>
        <w:rPr>
          <w:rFonts w:hint="default" w:ascii="Times New Roman" w:hAnsi="Times New Roman" w:cs="Times New Roman" w:eastAsiaTheme="minorEastAsia"/>
          <w:b/>
          <w:bCs/>
          <w:sz w:val="21"/>
          <w:szCs w:val="21"/>
          <w:lang w:val="en-GB" w:eastAsia="zh-CN"/>
        </w:rPr>
        <w:t>2.</w:t>
      </w:r>
      <w:r>
        <w:rPr>
          <w:rFonts w:hint="eastAsia" w:cs="Times New Roman" w:eastAsiaTheme="minorEastAsia"/>
          <w:b/>
          <w:bCs/>
          <w:sz w:val="21"/>
          <w:szCs w:val="21"/>
          <w:lang w:val="en-US" w:eastAsia="zh-CN"/>
        </w:rPr>
        <w:t>2</w:t>
      </w:r>
      <w:r>
        <w:rPr>
          <w:rFonts w:hint="default" w:ascii="Times New Roman" w:hAnsi="Times New Roman" w:cs="Times New Roman" w:eastAsiaTheme="minorEastAsia"/>
          <w:b/>
          <w:bCs/>
          <w:sz w:val="21"/>
          <w:szCs w:val="21"/>
          <w:lang w:val="en-GB" w:eastAsia="zh-CN"/>
        </w:rPr>
        <w:t xml:space="preserve"> </w:t>
      </w:r>
      <w:r>
        <w:rPr>
          <w:rFonts w:hint="default" w:ascii="Times New Roman" w:hAnsi="Times New Roman" w:cs="Times New Roman" w:eastAsiaTheme="minorEastAsia"/>
          <w:b/>
          <w:bCs/>
          <w:sz w:val="21"/>
          <w:szCs w:val="21"/>
          <w:lang w:val="en-US" w:eastAsia="zh-CN"/>
        </w:rPr>
        <w:t xml:space="preserve">Periodic </w:t>
      </w:r>
      <w:r>
        <w:rPr>
          <w:rFonts w:hint="eastAsia" w:cs="Times New Roman" w:eastAsiaTheme="minorEastAsia"/>
          <w:b/>
          <w:bCs/>
          <w:sz w:val="21"/>
          <w:szCs w:val="21"/>
          <w:lang w:val="en-US" w:eastAsia="zh-CN"/>
        </w:rPr>
        <w:t>D subframe</w:t>
      </w:r>
      <w:r>
        <w:rPr>
          <w:rFonts w:hint="default" w:ascii="Times New Roman" w:hAnsi="Times New Roman" w:cs="Times New Roman" w:eastAsiaTheme="minorEastAsia"/>
          <w:b/>
          <w:bCs/>
          <w:sz w:val="21"/>
          <w:szCs w:val="21"/>
          <w:lang w:val="en-US" w:eastAsia="zh-CN"/>
        </w:rPr>
        <w:t xml:space="preserve"> pattern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eastAsia" w:cs="Times New Roman"/>
          <w:lang w:val="en-US" w:eastAsia="zh-CN"/>
        </w:rPr>
      </w:pPr>
      <w:r>
        <w:rPr>
          <w:rStyle w:val="96"/>
          <w:rFonts w:hint="eastAsia" w:cs="Times New Roman"/>
          <w:lang w:val="en-US" w:eastAsia="zh-CN"/>
        </w:rPr>
        <w:t>In last meeting, the following RAN1 agreement was made:</w:t>
      </w:r>
    </w:p>
    <w:p>
      <w:pPr>
        <w:pStyle w:val="97"/>
        <w:jc w:val="both"/>
        <w:rPr>
          <w:bCs/>
        </w:rPr>
      </w:pPr>
      <w:r>
        <w:rPr>
          <w:bCs/>
          <w:highlight w:val="green"/>
        </w:rPr>
        <w:t>Agreement</w:t>
      </w:r>
    </w:p>
    <w:p>
      <w:pPr>
        <w:pStyle w:val="97"/>
        <w:jc w:val="both"/>
        <w:rPr>
          <w:rFonts w:eastAsia="Times New Roman"/>
          <w:bCs/>
        </w:rPr>
      </w:pPr>
      <w:r>
        <w:rPr>
          <w:rFonts w:eastAsia="Times New Roman"/>
          <w:bCs/>
        </w:rPr>
        <w:t>For the study phase, RAN1 evaluates the following combination of N (in radio frames) and D (D = number of consecutive downlink subframes):</w:t>
      </w:r>
    </w:p>
    <w:p>
      <w:pPr>
        <w:pStyle w:val="98"/>
        <w:numPr>
          <w:ilvl w:val="0"/>
          <w:numId w:val="11"/>
        </w:numPr>
        <w:overflowPunct w:val="0"/>
        <w:autoSpaceDE w:val="0"/>
        <w:autoSpaceDN w:val="0"/>
        <w:adjustRightInd w:val="0"/>
        <w:spacing w:after="180" w:line="259" w:lineRule="auto"/>
        <w:ind w:leftChars="0"/>
        <w:contextualSpacing/>
        <w:jc w:val="both"/>
        <w:textAlignment w:val="baseline"/>
        <w:rPr>
          <w:bCs/>
        </w:rPr>
      </w:pPr>
      <w:r>
        <w:rPr>
          <w:bCs/>
        </w:rPr>
        <w:t>N = 9:</w:t>
      </w:r>
    </w:p>
    <w:p>
      <w:pPr>
        <w:pStyle w:val="98"/>
        <w:numPr>
          <w:ilvl w:val="1"/>
          <w:numId w:val="11"/>
        </w:numPr>
        <w:overflowPunct w:val="0"/>
        <w:autoSpaceDE w:val="0"/>
        <w:autoSpaceDN w:val="0"/>
        <w:adjustRightInd w:val="0"/>
        <w:spacing w:after="180" w:line="259" w:lineRule="auto"/>
        <w:ind w:leftChars="0"/>
        <w:contextualSpacing/>
        <w:jc w:val="both"/>
        <w:textAlignment w:val="baseline"/>
        <w:rPr>
          <w:bCs/>
        </w:rPr>
      </w:pPr>
      <w:r>
        <w:rPr>
          <w:bCs/>
        </w:rPr>
        <w:t>D = 8</w:t>
      </w:r>
    </w:p>
    <w:p>
      <w:pPr>
        <w:pStyle w:val="98"/>
        <w:numPr>
          <w:ilvl w:val="1"/>
          <w:numId w:val="11"/>
        </w:numPr>
        <w:overflowPunct w:val="0"/>
        <w:autoSpaceDE w:val="0"/>
        <w:autoSpaceDN w:val="0"/>
        <w:adjustRightInd w:val="0"/>
        <w:spacing w:after="180" w:line="259" w:lineRule="auto"/>
        <w:ind w:leftChars="0"/>
        <w:contextualSpacing/>
        <w:jc w:val="both"/>
        <w:textAlignment w:val="baseline"/>
        <w:rPr>
          <w:bCs/>
        </w:rPr>
      </w:pPr>
      <w:r>
        <w:rPr>
          <w:bCs/>
        </w:rPr>
        <w:t>D = 20</w:t>
      </w:r>
    </w:p>
    <w:p>
      <w:pPr>
        <w:pStyle w:val="98"/>
        <w:numPr>
          <w:ilvl w:val="1"/>
          <w:numId w:val="11"/>
        </w:numPr>
        <w:overflowPunct w:val="0"/>
        <w:autoSpaceDE w:val="0"/>
        <w:autoSpaceDN w:val="0"/>
        <w:adjustRightInd w:val="0"/>
        <w:spacing w:after="180" w:line="259" w:lineRule="auto"/>
        <w:ind w:leftChars="0"/>
        <w:contextualSpacing/>
        <w:jc w:val="both"/>
        <w:textAlignment w:val="baseline"/>
        <w:rPr>
          <w:bCs/>
        </w:rPr>
      </w:pPr>
      <w:r>
        <w:rPr>
          <w:bCs/>
        </w:rPr>
        <w:t>D = 30</w:t>
      </w:r>
    </w:p>
    <w:p>
      <w:pPr>
        <w:pStyle w:val="98"/>
        <w:numPr>
          <w:ilvl w:val="0"/>
          <w:numId w:val="11"/>
        </w:numPr>
        <w:overflowPunct w:val="0"/>
        <w:autoSpaceDE w:val="0"/>
        <w:autoSpaceDN w:val="0"/>
        <w:adjustRightInd w:val="0"/>
        <w:spacing w:after="180" w:line="259" w:lineRule="auto"/>
        <w:ind w:leftChars="0"/>
        <w:contextualSpacing/>
        <w:jc w:val="both"/>
        <w:textAlignment w:val="baseline"/>
        <w:rPr>
          <w:bCs/>
        </w:rPr>
      </w:pPr>
      <w:r>
        <w:rPr>
          <w:bCs/>
        </w:rPr>
        <w:t>N = 8:</w:t>
      </w:r>
    </w:p>
    <w:p>
      <w:pPr>
        <w:pStyle w:val="98"/>
        <w:numPr>
          <w:ilvl w:val="1"/>
          <w:numId w:val="11"/>
        </w:numPr>
        <w:overflowPunct w:val="0"/>
        <w:autoSpaceDE w:val="0"/>
        <w:autoSpaceDN w:val="0"/>
        <w:adjustRightInd w:val="0"/>
        <w:spacing w:after="180" w:line="259" w:lineRule="auto"/>
        <w:ind w:leftChars="0"/>
        <w:contextualSpacing/>
        <w:jc w:val="both"/>
        <w:textAlignment w:val="baseline"/>
        <w:rPr>
          <w:bCs/>
        </w:rPr>
      </w:pPr>
      <w:r>
        <w:rPr>
          <w:bCs/>
        </w:rPr>
        <w:t>D = 20</w:t>
      </w:r>
    </w:p>
    <w:p>
      <w:pPr>
        <w:pStyle w:val="98"/>
        <w:numPr>
          <w:ilvl w:val="0"/>
          <w:numId w:val="11"/>
        </w:numPr>
        <w:overflowPunct w:val="0"/>
        <w:autoSpaceDE w:val="0"/>
        <w:autoSpaceDN w:val="0"/>
        <w:adjustRightInd w:val="0"/>
        <w:spacing w:after="180" w:line="259" w:lineRule="auto"/>
        <w:ind w:leftChars="0"/>
        <w:contextualSpacing/>
        <w:jc w:val="both"/>
        <w:textAlignment w:val="baseline"/>
        <w:rPr>
          <w:bCs/>
        </w:rPr>
      </w:pPr>
      <w:r>
        <w:rPr>
          <w:bCs/>
        </w:rPr>
        <w:t>Companies to report which subframe indices are included in the set of consecutive downlink subframes.</w:t>
      </w:r>
    </w:p>
    <w:p>
      <w:pPr>
        <w:pStyle w:val="98"/>
        <w:numPr>
          <w:ilvl w:val="0"/>
          <w:numId w:val="11"/>
        </w:numPr>
        <w:overflowPunct w:val="0"/>
        <w:autoSpaceDE w:val="0"/>
        <w:autoSpaceDN w:val="0"/>
        <w:adjustRightInd w:val="0"/>
        <w:spacing w:after="180" w:line="259" w:lineRule="auto"/>
        <w:ind w:leftChars="0"/>
        <w:contextualSpacing/>
        <w:jc w:val="both"/>
        <w:textAlignment w:val="baseline"/>
        <w:rPr>
          <w:bCs/>
        </w:rPr>
      </w:pPr>
      <w:r>
        <w:rPr>
          <w:bCs/>
        </w:rPr>
        <w:t>Other combinations are not precluded to be reported by companies</w:t>
      </w:r>
    </w:p>
    <w:p>
      <w:pPr>
        <w:spacing w:line="259" w:lineRule="auto"/>
        <w:jc w:val="both"/>
        <w:rPr>
          <w:bCs/>
        </w:rPr>
      </w:pPr>
      <w:r>
        <w:rPr>
          <w:bCs/>
        </w:rPr>
        <w:t>NOTE: This does not imply that the above combinations are the only ones to be considered during the normative phase.</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default" w:cs="Times New Roman"/>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eastAsia" w:cs="Times New Roman"/>
          <w:lang w:val="en-US" w:eastAsia="zh-CN"/>
        </w:rPr>
      </w:pPr>
      <w:r>
        <w:rPr>
          <w:rStyle w:val="96"/>
          <w:rFonts w:hint="eastAsia" w:cs="Times New Roman"/>
          <w:lang w:val="en-US" w:eastAsia="zh-CN"/>
        </w:rPr>
        <w:t xml:space="preserve">The of N=9 is intended for the co-exsitence case, according to above mentioned design restriction (3), the consecutive downlink subframes should be within a DL slot, which is 8.28 ms. Thus, we understand that for D=20 and D=30 cases, not all the DL subframes are available for IoT NTN transmission. The network would need to configure some guard period. However, due to the design restriction (4), the concrete guard period duration is transparent to 3GPP. Therefore, for UE performing initial DL synchronization, the UE should assume that D=8. The eNB should be responsible to ensure that the D subframes are within a Iridium DL slot.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eastAsia" w:cs="Times New Roman"/>
          <w:b/>
          <w:bCs/>
          <w:lang w:val="en-US" w:eastAsia="zh-CN"/>
        </w:rPr>
      </w:pPr>
      <w:r>
        <w:rPr>
          <w:rStyle w:val="96"/>
          <w:rFonts w:hint="eastAsia" w:cs="Times New Roman"/>
          <w:b/>
          <w:bCs/>
          <w:lang w:val="en-US" w:eastAsia="zh-CN"/>
        </w:rPr>
        <w:t>Observation 3: The of N=9 is intended for the co-exsitence case, according to above mentioned design restriction (3), the consecutive downlink subframes should be within a DL slot, which is 8.28 ms. Thus, for D=20 and D=30 cases, not all the DL subframes are available for IoT NTN transmission.</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eastAsia" w:cs="Times New Roman"/>
          <w:b/>
          <w:bCs/>
          <w:lang w:val="en-US" w:eastAsia="zh-CN"/>
        </w:rPr>
      </w:pPr>
      <w:r>
        <w:rPr>
          <w:rStyle w:val="96"/>
          <w:rFonts w:hint="eastAsia" w:cs="Times New Roman"/>
          <w:b/>
          <w:bCs/>
          <w:lang w:val="en-US" w:eastAsia="zh-CN"/>
        </w:rPr>
        <w:t xml:space="preserve">Observation 4: Due to the design restriction (4), the concrete guard period duration is transparent to 3GPP. Therefore, for UE performing initial DL synchronization, the UE should assume that D=8. The eNB should be responsible to ensure that the D subframes are within a Iridium DL slot.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eastAsia" w:cs="Times New Roman"/>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1"/>
        <w:rPr>
          <w:rStyle w:val="96"/>
          <w:rFonts w:hint="eastAsia" w:cs="Times New Roman"/>
          <w:lang w:val="en-US" w:eastAsia="zh-CN"/>
        </w:rPr>
      </w:pPr>
      <w:r>
        <w:rPr>
          <w:rFonts w:hint="default" w:ascii="Times New Roman" w:hAnsi="Times New Roman" w:cs="Times New Roman" w:eastAsiaTheme="minorEastAsia"/>
          <w:b/>
          <w:bCs/>
          <w:sz w:val="21"/>
          <w:szCs w:val="21"/>
          <w:lang w:val="en-GB" w:eastAsia="zh-CN"/>
        </w:rPr>
        <w:t>2.</w:t>
      </w:r>
      <w:r>
        <w:rPr>
          <w:rFonts w:hint="eastAsia" w:ascii="Times New Roman" w:hAnsi="Times New Roman" w:cs="Times New Roman" w:eastAsiaTheme="minorEastAsia"/>
          <w:b/>
          <w:bCs/>
          <w:sz w:val="21"/>
          <w:szCs w:val="21"/>
          <w:lang w:val="en-US" w:eastAsia="zh-CN"/>
        </w:rPr>
        <w:t>3</w:t>
      </w:r>
      <w:r>
        <w:rPr>
          <w:rFonts w:hint="default" w:ascii="Times New Roman" w:hAnsi="Times New Roman" w:cs="Times New Roman" w:eastAsiaTheme="minorEastAsia"/>
          <w:b/>
          <w:bCs/>
          <w:sz w:val="21"/>
          <w:szCs w:val="21"/>
          <w:lang w:val="en-GB" w:eastAsia="zh-CN"/>
        </w:rPr>
        <w:t xml:space="preserve"> </w:t>
      </w:r>
      <w:r>
        <w:rPr>
          <w:rFonts w:hint="eastAsia" w:ascii="Times New Roman" w:hAnsi="Times New Roman" w:cs="Times New Roman" w:eastAsiaTheme="minorEastAsia"/>
          <w:b/>
          <w:bCs/>
          <w:sz w:val="21"/>
          <w:szCs w:val="21"/>
          <w:lang w:val="en-US" w:eastAsia="zh-CN"/>
        </w:rPr>
        <w:t>DL synchronization</w:t>
      </w:r>
      <w:r>
        <w:rPr>
          <w:rFonts w:hint="default" w:ascii="Times New Roman" w:hAnsi="Times New Roman" w:cs="Times New Roman" w:eastAsiaTheme="minorEastAsia"/>
          <w:b/>
          <w:bCs/>
          <w:sz w:val="21"/>
          <w:szCs w:val="21"/>
          <w:lang w:val="en-US" w:eastAsia="zh-CN"/>
        </w:rPr>
        <w:t xml:space="preserve">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eastAsia" w:cs="Times New Roman"/>
          <w:lang w:val="en-US" w:eastAsia="zh-CN"/>
        </w:rPr>
      </w:pPr>
      <w:r>
        <w:rPr>
          <w:rStyle w:val="96"/>
          <w:rFonts w:hint="eastAsia" w:cs="Times New Roman"/>
          <w:lang w:val="en-US" w:eastAsia="zh-CN"/>
        </w:rPr>
        <w:t xml:space="preserve">If D=8 is assumed for initial downlink synchronization, the D location with respect to SFN framing can be of 4 possible choices as shown in Fig. 2. One option is that the UE would assume a default D location, or the other option is that UE assumes 4 choices are all possible and it is up to eNB implementation.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center"/>
        <w:textAlignment w:val="auto"/>
        <w:outlineLvl w:val="9"/>
      </w:pPr>
      <w:r>
        <w:drawing>
          <wp:inline distT="0" distB="0" distL="114300" distR="114300">
            <wp:extent cx="4565650" cy="1903095"/>
            <wp:effectExtent l="0" t="0" r="6350" b="190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6"/>
                    <a:stretch>
                      <a:fillRect/>
                    </a:stretch>
                  </pic:blipFill>
                  <pic:spPr>
                    <a:xfrm>
                      <a:off x="0" y="0"/>
                      <a:ext cx="4565650" cy="1903095"/>
                    </a:xfrm>
                    <a:prstGeom prst="rect">
                      <a:avLst/>
                    </a:prstGeom>
                    <a:noFill/>
                    <a:ln w="9525">
                      <a:noFill/>
                    </a:ln>
                  </pic:spPr>
                </pic:pic>
              </a:graphicData>
            </a:graphic>
          </wp:inline>
        </w:drawing>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center"/>
        <w:textAlignment w:val="auto"/>
        <w:outlineLvl w:val="9"/>
        <w:rPr>
          <w:rStyle w:val="96"/>
          <w:rFonts w:hint="eastAsia" w:cs="Times New Roman"/>
          <w:lang w:val="en-US" w:eastAsia="zh-CN"/>
        </w:rPr>
      </w:pPr>
      <w:r>
        <w:rPr>
          <w:rFonts w:hint="eastAsia" w:eastAsia="宋体"/>
          <w:lang w:val="en-US" w:eastAsia="zh-CN"/>
        </w:rPr>
        <w:t>Fig. 2: For D=8, four possible locations can be envisioned</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eastAsia" w:cs="Times New Roman"/>
          <w:lang w:val="en-US" w:eastAsia="zh-CN"/>
        </w:rPr>
      </w:pPr>
      <w:r>
        <w:rPr>
          <w:rStyle w:val="96"/>
          <w:rFonts w:hint="eastAsia" w:cs="Times New Roman"/>
          <w:lang w:val="en-US" w:eastAsia="zh-CN"/>
        </w:rPr>
        <w:t xml:space="preserve">Moreover, if N=9 is also assumed as a default period, UE will assume that NPSS has a periodicity of 90 ms. When NPSS is detected, and if the above option 1 is adopted, the UE will continue detect the NSSS assuming the NSSS period is 180 ms. The NSSS relative subframe to NPSS is unique as long as the default D location is assumed. However, if option 2 is considered, the NSSS relative subframe to NPSS is not unique. There are two possible locations, as shown in Fig. 3, for the UE to detect. This would increase the UE blind detection power consumption. Thus, from UE power saving point of view, it would good to adopt the option 1.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eastAsia" w:cs="Times New Roman"/>
          <w:b/>
          <w:bCs/>
          <w:lang w:val="en-US" w:eastAsia="zh-CN"/>
        </w:rPr>
      </w:pPr>
      <w:r>
        <w:rPr>
          <w:rStyle w:val="96"/>
          <w:rFonts w:hint="eastAsia" w:cs="Times New Roman"/>
          <w:b/>
          <w:bCs/>
          <w:lang w:val="en-US" w:eastAsia="zh-CN"/>
        </w:rPr>
        <w:t xml:space="preserve">Observation 5: If D=8 and N=9 are assumed for the initial DL synchronization, the D location with respect to SFN framing can be of 4 possible choices. One option is to assume a default D location, or the other option is that not to assume default D location and leave for eNB implementation. But for NSSS detection, option 2 may lead to increased UE blind detection power consumption.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eastAsia" w:cs="Times New Roman"/>
          <w:b/>
          <w:bCs/>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eastAsia" w:cs="Times New Roman"/>
          <w:b/>
          <w:bCs/>
          <w:lang w:val="en-US" w:eastAsia="zh-CN"/>
        </w:rPr>
      </w:pPr>
      <w:r>
        <w:rPr>
          <w:rStyle w:val="96"/>
          <w:rFonts w:hint="eastAsia" w:cs="Times New Roman"/>
          <w:b/>
          <w:bCs/>
          <w:lang w:val="en-US" w:eastAsia="zh-CN"/>
        </w:rPr>
        <w:t xml:space="preserve">Proposal 2: For initial DL synchronization, UE assumes D=8, N=9 and a default D location respect to SFN framing.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eastAsia" w:cs="Times New Roman"/>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eastAsia" w:cs="Times New Roman"/>
          <w:b/>
          <w:bCs/>
          <w:u w:val="single"/>
          <w:lang w:val="en-US" w:eastAsia="zh-CN"/>
        </w:rPr>
      </w:pPr>
      <w:r>
        <w:rPr>
          <w:rStyle w:val="96"/>
          <w:rFonts w:hint="eastAsia" w:cs="Times New Roman"/>
          <w:b/>
          <w:bCs/>
          <w:u w:val="single"/>
          <w:lang w:val="en-US" w:eastAsia="zh-CN"/>
        </w:rPr>
        <w:t>NPBCH reception</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ascii="Times New Roman" w:hAnsi="Times New Roman" w:eastAsia="等线" w:cs="Times New Roman"/>
          <w:szCs w:val="20"/>
          <w:lang w:val="en-US" w:eastAsia="zh-CN"/>
        </w:rPr>
      </w:pPr>
      <w:r>
        <w:rPr>
          <w:rStyle w:val="96"/>
          <w:rFonts w:hint="eastAsia" w:cs="Times New Roman"/>
          <w:lang w:val="en-US" w:eastAsia="zh-CN"/>
        </w:rPr>
        <w:t xml:space="preserve">In legacy NB-IOT NPBCH reception, </w:t>
      </w:r>
      <w:r>
        <w:rPr>
          <w:rFonts w:hint="default" w:ascii="Times New Roman" w:hAnsi="Times New Roman" w:eastAsia="等线" w:cs="Times New Roman"/>
          <w:szCs w:val="20"/>
          <w:lang w:val="en-US" w:eastAsia="zh-CN"/>
        </w:rPr>
        <w:t>the NPBCH is repeated over 80 ms, i.e., over 8 consecutive radio frames, and 8 different scrambling codes are applied for 8 different 80 ms NPBCH transmission for an overall of 640 ms. Under the condition of periodic pattern</w:t>
      </w:r>
      <w:r>
        <w:rPr>
          <w:rFonts w:hint="eastAsia" w:ascii="Times New Roman" w:hAnsi="Times New Roman" w:eastAsia="等线" w:cs="Times New Roman"/>
          <w:szCs w:val="20"/>
          <w:lang w:val="en-US" w:eastAsia="zh-CN"/>
        </w:rPr>
        <w:t xml:space="preserve"> with 90 ms periodicity</w:t>
      </w:r>
      <w:r>
        <w:rPr>
          <w:rFonts w:hint="default" w:ascii="Times New Roman" w:hAnsi="Times New Roman" w:eastAsia="等线" w:cs="Times New Roman"/>
          <w:szCs w:val="20"/>
          <w:lang w:val="en-US" w:eastAsia="zh-CN"/>
        </w:rPr>
        <w:t xml:space="preserve">, it is </w:t>
      </w:r>
      <w:r>
        <w:rPr>
          <w:rFonts w:hint="eastAsia" w:ascii="Times New Roman" w:hAnsi="Times New Roman" w:eastAsia="等线" w:cs="Times New Roman"/>
          <w:szCs w:val="20"/>
          <w:lang w:val="en-US" w:eastAsia="zh-CN"/>
        </w:rPr>
        <w:t xml:space="preserve">clear that the NPBCH repetition cannot be received by the UE, </w:t>
      </w:r>
      <w:r>
        <w:rPr>
          <w:rFonts w:hint="default" w:ascii="Times New Roman" w:hAnsi="Times New Roman" w:eastAsia="等线" w:cs="Times New Roman"/>
          <w:szCs w:val="20"/>
          <w:lang w:val="en-US" w:eastAsia="zh-CN"/>
        </w:rPr>
        <w:t xml:space="preserve">as shown in Fig. </w:t>
      </w:r>
      <w:r>
        <w:rPr>
          <w:rFonts w:hint="eastAsia" w:ascii="Times New Roman" w:hAnsi="Times New Roman" w:eastAsia="等线" w:cs="Times New Roman"/>
          <w:szCs w:val="20"/>
          <w:lang w:val="en-US" w:eastAsia="zh-CN"/>
        </w:rPr>
        <w:t>3</w:t>
      </w:r>
      <w:r>
        <w:rPr>
          <w:rFonts w:hint="default" w:ascii="Times New Roman" w:hAnsi="Times New Roman" w:eastAsia="等线" w:cs="Times New Roman"/>
          <w:szCs w:val="20"/>
          <w:lang w:val="en-US" w:eastAsia="zh-CN"/>
        </w:rPr>
        <w:t xml:space="preserve">. In this case, the NB-IoT coverage would be very much compromised.  </w:t>
      </w:r>
      <w:r>
        <w:rPr>
          <w:rFonts w:hint="eastAsia" w:ascii="Times New Roman" w:hAnsi="Times New Roman" w:eastAsia="等线" w:cs="Times New Roman"/>
          <w:szCs w:val="20"/>
          <w:lang w:val="en-US" w:eastAsia="zh-CN"/>
        </w:rPr>
        <w:t xml:space="preserve">But nevertheless, according to our simulation results in </w:t>
      </w:r>
      <w:r>
        <w:rPr>
          <w:rFonts w:hint="eastAsia" w:eastAsia="等线" w:cs="Times New Roman"/>
          <w:szCs w:val="20"/>
          <w:highlight w:val="none"/>
          <w:lang w:val="en-US" w:eastAsia="zh-CN"/>
        </w:rPr>
        <w:t>S</w:t>
      </w:r>
      <w:r>
        <w:rPr>
          <w:rFonts w:hint="eastAsia" w:ascii="Times New Roman" w:hAnsi="Times New Roman" w:eastAsia="等线" w:cs="Times New Roman"/>
          <w:szCs w:val="20"/>
          <w:highlight w:val="none"/>
          <w:lang w:val="en-US" w:eastAsia="zh-CN"/>
        </w:rPr>
        <w:t xml:space="preserve">ection </w:t>
      </w:r>
      <w:r>
        <w:rPr>
          <w:rFonts w:hint="eastAsia" w:eastAsia="等线" w:cs="Times New Roman"/>
          <w:szCs w:val="20"/>
          <w:highlight w:val="none"/>
          <w:lang w:val="en-US" w:eastAsia="zh-CN"/>
        </w:rPr>
        <w:t>2.5</w:t>
      </w:r>
      <w:r>
        <w:rPr>
          <w:rFonts w:hint="eastAsia" w:ascii="Times New Roman" w:hAnsi="Times New Roman" w:eastAsia="等线" w:cs="Times New Roman"/>
          <w:szCs w:val="20"/>
          <w:lang w:val="en-US" w:eastAsia="zh-CN"/>
        </w:rPr>
        <w:t xml:space="preserve">, that if only set-1 satellite is considered for future deployment, the NPBCH coverage seems good enough even without any repetition. Therefore, the UE can reply on one-shot NPBCH reception. But, if other satellite set is considered, the conclusion may be different.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pPr>
      <w:r>
        <w:rPr>
          <w:rFonts w:hint="eastAsia" w:ascii="Times New Roman" w:hAnsi="Times New Roman" w:eastAsia="等线" w:cs="Times New Roman"/>
          <w:szCs w:val="20"/>
          <w:lang w:val="en-US" w:eastAsia="zh-CN"/>
        </w:rPr>
        <w:t xml:space="preserve">  </w:t>
      </w:r>
      <w:r>
        <w:drawing>
          <wp:inline distT="0" distB="0" distL="114300" distR="114300">
            <wp:extent cx="5755640" cy="1131570"/>
            <wp:effectExtent l="0" t="0" r="16510" b="1143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7"/>
                    <a:stretch>
                      <a:fillRect/>
                    </a:stretch>
                  </pic:blipFill>
                  <pic:spPr>
                    <a:xfrm>
                      <a:off x="0" y="0"/>
                      <a:ext cx="5755640" cy="1131570"/>
                    </a:xfrm>
                    <a:prstGeom prst="rect">
                      <a:avLst/>
                    </a:prstGeom>
                    <a:noFill/>
                    <a:ln w="9525">
                      <a:noFill/>
                    </a:ln>
                  </pic:spPr>
                </pic:pic>
              </a:graphicData>
            </a:graphic>
          </wp:inline>
        </w:drawing>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center"/>
        <w:textAlignment w:val="auto"/>
        <w:outlineLvl w:val="9"/>
        <w:rPr>
          <w:rFonts w:hint="eastAsia" w:eastAsia="宋体"/>
          <w:lang w:val="en-US" w:eastAsia="zh-CN"/>
        </w:rPr>
      </w:pPr>
      <w:r>
        <w:rPr>
          <w:rFonts w:hint="eastAsia" w:eastAsia="宋体"/>
          <w:lang w:val="en-US" w:eastAsia="zh-CN"/>
        </w:rPr>
        <w:t>Fig. 3: NPBCH in 640 ms transmission duration w.r.t. N=9 periodic TDD structure</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ascii="Times New Roman" w:hAnsi="Times New Roman" w:eastAsia="等线" w:cs="Times New Roman"/>
          <w:szCs w:val="20"/>
          <w:lang w:val="en-US" w:eastAsia="zh-CN"/>
        </w:rPr>
      </w:pPr>
      <w:r>
        <w:rPr>
          <w:rStyle w:val="96"/>
          <w:rFonts w:hint="eastAsia" w:cs="Times New Roman"/>
          <w:b/>
          <w:bCs/>
          <w:lang w:val="en-US" w:eastAsia="zh-CN"/>
        </w:rPr>
        <w:t>Observation 6: I</w:t>
      </w:r>
      <w:r>
        <w:rPr>
          <w:rFonts w:hint="eastAsia" w:ascii="Times New Roman" w:hAnsi="Times New Roman" w:eastAsia="等线" w:cs="Times New Roman"/>
          <w:b/>
          <w:bCs/>
          <w:szCs w:val="20"/>
          <w:lang w:val="en-US" w:eastAsia="zh-CN"/>
        </w:rPr>
        <w:t xml:space="preserve">f only set-1 satellite is considered for future deployment, the NPBCH coverage seems good enough even without any repetition. Thus, NPBCH does not need further enhancement.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ascii="Times New Roman" w:hAnsi="Times New Roman" w:eastAsia="等线" w:cs="Times New Roman"/>
          <w:szCs w:val="20"/>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eastAsia" w:cs="Times New Roman"/>
          <w:b/>
          <w:bCs/>
          <w:u w:val="single"/>
          <w:lang w:val="en-US" w:eastAsia="zh-CN"/>
        </w:rPr>
      </w:pPr>
      <w:r>
        <w:rPr>
          <w:rStyle w:val="96"/>
          <w:rFonts w:hint="eastAsia" w:cs="Times New Roman"/>
          <w:b/>
          <w:bCs/>
          <w:u w:val="single"/>
          <w:lang w:val="en-US" w:eastAsia="zh-CN"/>
        </w:rPr>
        <w:t>SFN wrapping up in H-SFN</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eastAsia" w:cs="Times New Roman"/>
          <w:lang w:val="en-US" w:eastAsia="zh-CN"/>
        </w:rPr>
      </w:pPr>
      <w:r>
        <w:rPr>
          <w:rStyle w:val="96"/>
          <w:rFonts w:hint="eastAsia" w:cs="Times New Roman"/>
          <w:lang w:val="en-US" w:eastAsia="zh-CN"/>
        </w:rPr>
        <w:t xml:space="preserve">In order to fully accomplish DL synchronization, it is expected that the periodic TDD pattern remains the same cross different H-SFN. Thus, we can reuse the legacy interpretation of SFN index indication/H-SFN index indication in MIB. To this end, we can consider to shorten the H-SFN length by cutting off some of the SFN at the end. For example, one H-SFN contains 1008 SFN, i.e., SFN0~1007.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pPr>
      <w:r>
        <w:drawing>
          <wp:inline distT="0" distB="0" distL="114300" distR="114300">
            <wp:extent cx="5758815" cy="1033780"/>
            <wp:effectExtent l="0" t="0" r="13335" b="1397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8"/>
                    <a:stretch>
                      <a:fillRect/>
                    </a:stretch>
                  </pic:blipFill>
                  <pic:spPr>
                    <a:xfrm>
                      <a:off x="0" y="0"/>
                      <a:ext cx="5758815" cy="1033780"/>
                    </a:xfrm>
                    <a:prstGeom prst="rect">
                      <a:avLst/>
                    </a:prstGeom>
                    <a:noFill/>
                    <a:ln w="9525">
                      <a:noFill/>
                    </a:ln>
                  </pic:spPr>
                </pic:pic>
              </a:graphicData>
            </a:graphic>
          </wp:inline>
        </w:drawing>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center"/>
        <w:textAlignment w:val="auto"/>
        <w:outlineLvl w:val="9"/>
        <w:rPr>
          <w:rFonts w:hint="eastAsia" w:eastAsia="宋体"/>
          <w:lang w:val="en-US" w:eastAsia="zh-CN"/>
        </w:rPr>
      </w:pPr>
      <w:r>
        <w:rPr>
          <w:rFonts w:hint="eastAsia" w:eastAsia="宋体"/>
          <w:lang w:val="en-US" w:eastAsia="zh-CN"/>
        </w:rPr>
        <w:t>Fig. 4: H-SFN shortening to make periodic TDD pattern nested cross H-SFNs</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eastAsia" w:cs="Times New Roman"/>
          <w:b/>
          <w:bCs/>
          <w:lang w:val="en-US" w:eastAsia="zh-CN"/>
        </w:rPr>
      </w:pPr>
      <w:r>
        <w:rPr>
          <w:rStyle w:val="96"/>
          <w:rFonts w:hint="eastAsia" w:cs="Times New Roman"/>
          <w:b/>
          <w:bCs/>
          <w:lang w:val="en-US" w:eastAsia="zh-CN"/>
        </w:rPr>
        <w:t xml:space="preserve">Observation 7: In order to fully accomplish DL synchronization, it is expected that the periodic TDD pattern remains the same cross different H-SFN. Thus, we can reuse the legacy interpretation of SFN index indication/H-SFN index indication in MIB.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default" w:cs="Times New Roman"/>
          <w:b/>
          <w:bCs/>
          <w:lang w:val="en-US" w:eastAsia="zh-CN"/>
        </w:rPr>
      </w:pPr>
      <w:r>
        <w:rPr>
          <w:rStyle w:val="96"/>
          <w:rFonts w:hint="eastAsia" w:cs="Times New Roman"/>
          <w:b/>
          <w:bCs/>
          <w:lang w:val="en-US" w:eastAsia="zh-CN"/>
        </w:rPr>
        <w:t xml:space="preserve">Proposal 3: Consider to shorten H-SFN length by cutting off 16 radio frames.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default" w:ascii="Times New Roman" w:hAnsi="Times New Roman" w:cs="Times New Roman"/>
          <w:lang w:val="en-US" w:eastAsia="zh-CN"/>
        </w:rPr>
      </w:pPr>
    </w:p>
    <w:p>
      <w:pPr>
        <w:pStyle w:val="4"/>
        <w:jc w:val="both"/>
        <w:outlineLvl w:val="1"/>
        <w:rPr>
          <w:rFonts w:hint="eastAsia" w:cs="Times New Roman" w:eastAsiaTheme="minorEastAsia"/>
          <w:b/>
          <w:bCs/>
          <w:sz w:val="21"/>
          <w:szCs w:val="21"/>
          <w:lang w:val="en-US" w:eastAsia="zh-CN"/>
        </w:rPr>
      </w:pPr>
      <w:r>
        <w:rPr>
          <w:rFonts w:hint="default" w:ascii="Times New Roman" w:hAnsi="Times New Roman" w:cs="Times New Roman" w:eastAsiaTheme="minorEastAsia"/>
          <w:b/>
          <w:bCs/>
          <w:sz w:val="21"/>
          <w:szCs w:val="21"/>
          <w:lang w:val="en-GB" w:eastAsia="zh-CN"/>
        </w:rPr>
        <w:t>2.</w:t>
      </w:r>
      <w:r>
        <w:rPr>
          <w:rFonts w:hint="eastAsia" w:cs="Times New Roman" w:eastAsiaTheme="minorEastAsia"/>
          <w:b/>
          <w:bCs/>
          <w:sz w:val="21"/>
          <w:szCs w:val="21"/>
          <w:lang w:val="en-US" w:eastAsia="zh-CN"/>
        </w:rPr>
        <w:t>4</w:t>
      </w:r>
      <w:r>
        <w:rPr>
          <w:rFonts w:hint="default" w:ascii="Times New Roman" w:hAnsi="Times New Roman" w:cs="Times New Roman" w:eastAsiaTheme="minorEastAsia"/>
          <w:b/>
          <w:bCs/>
          <w:sz w:val="21"/>
          <w:szCs w:val="21"/>
          <w:lang w:val="en-GB" w:eastAsia="zh-CN"/>
        </w:rPr>
        <w:t xml:space="preserve"> </w:t>
      </w:r>
      <w:r>
        <w:rPr>
          <w:rFonts w:hint="eastAsia" w:cs="Times New Roman" w:eastAsiaTheme="minorEastAsia"/>
          <w:b/>
          <w:bCs/>
          <w:sz w:val="21"/>
          <w:szCs w:val="21"/>
          <w:lang w:val="en-US" w:eastAsia="zh-CN"/>
        </w:rPr>
        <w:t>System information reception</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1"/>
          <w:szCs w:val="21"/>
          <w:u w:val="single"/>
          <w:lang w:val="en-US" w:eastAsia="zh-CN"/>
        </w:rPr>
      </w:pPr>
      <w:r>
        <w:rPr>
          <w:rFonts w:hint="eastAsia" w:cs="Times New Roman" w:eastAsiaTheme="minorEastAsia"/>
          <w:b/>
          <w:bCs/>
          <w:sz w:val="21"/>
          <w:szCs w:val="21"/>
          <w:u w:val="single"/>
          <w:lang w:val="en-US" w:eastAsia="zh-CN"/>
        </w:rPr>
        <w:t>Receiving SIB1-NB</w:t>
      </w:r>
    </w:p>
    <w:p>
      <w:pPr>
        <w:pStyle w:val="4"/>
        <w:spacing w:before="120" w:beforeLines="50"/>
        <w:jc w:val="both"/>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 xml:space="preserve">Another issue with periodic pattern for SIB1-NB acquisition. In legacy system, the SIB1-NB transmission period is 2560 ms, where one SIB1-NB is transmitted over 160 ms (i.e., 16 radio frames). Over the 160 ms, the actual SIB1-NB transmission is over 8 alternate radio frames. This SIB1-NB transmission may not compatible with periodic pattern as depicted in Fig. </w:t>
      </w:r>
      <w:r>
        <w:rPr>
          <w:rFonts w:hint="eastAsia" w:ascii="Times New Roman" w:hAnsi="Times New Roman" w:eastAsia="等线" w:cs="Times New Roman"/>
          <w:szCs w:val="20"/>
          <w:lang w:val="en-US" w:eastAsia="zh-CN"/>
        </w:rPr>
        <w:t>5</w:t>
      </w:r>
      <w:r>
        <w:rPr>
          <w:rFonts w:hint="default" w:ascii="Times New Roman" w:hAnsi="Times New Roman" w:eastAsia="等线" w:cs="Times New Roman"/>
          <w:szCs w:val="20"/>
          <w:lang w:val="en-US" w:eastAsia="zh-CN"/>
        </w:rPr>
        <w:t xml:space="preserve">. This would lead to a shortage of SIB1-NB resources.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center"/>
        <w:textAlignment w:val="auto"/>
        <w:outlineLvl w:val="9"/>
      </w:pPr>
      <w:r>
        <w:drawing>
          <wp:inline distT="0" distB="0" distL="114300" distR="114300">
            <wp:extent cx="2533650" cy="2167255"/>
            <wp:effectExtent l="0" t="0" r="0" b="4445"/>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9"/>
                    <a:stretch>
                      <a:fillRect/>
                    </a:stretch>
                  </pic:blipFill>
                  <pic:spPr>
                    <a:xfrm>
                      <a:off x="0" y="0"/>
                      <a:ext cx="2533650" cy="2167255"/>
                    </a:xfrm>
                    <a:prstGeom prst="rect">
                      <a:avLst/>
                    </a:prstGeom>
                    <a:noFill/>
                    <a:ln w="9525">
                      <a:noFill/>
                    </a:ln>
                  </pic:spPr>
                </pic:pic>
              </a:graphicData>
            </a:graphic>
          </wp:inline>
        </w:drawing>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center"/>
        <w:textAlignment w:val="auto"/>
        <w:outlineLvl w:val="9"/>
        <w:rPr>
          <w:rFonts w:hint="eastAsia" w:eastAsia="宋体"/>
          <w:lang w:val="en-US" w:eastAsia="zh-CN"/>
        </w:rPr>
      </w:pPr>
      <w:r>
        <w:rPr>
          <w:rFonts w:hint="eastAsia" w:eastAsia="宋体"/>
          <w:lang w:val="en-US" w:eastAsia="zh-CN"/>
        </w:rPr>
        <w:t>Fig. 5: SIB1-NB transmission duration of 160 ms</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1"/>
          <w:szCs w:val="21"/>
          <w:lang w:val="en-US" w:eastAsia="zh-CN"/>
        </w:rPr>
      </w:pPr>
    </w:p>
    <w:p>
      <w:pPr>
        <w:pStyle w:val="4"/>
        <w:spacing w:before="120" w:beforeLines="50"/>
        <w:jc w:val="both"/>
        <w:rPr>
          <w:rFonts w:hint="default" w:ascii="Times New Roman" w:hAnsi="Times New Roman" w:eastAsia="等线" w:cs="Times New Roman"/>
          <w:szCs w:val="20"/>
          <w:lang w:val="en-US" w:eastAsia="zh-CN"/>
        </w:rPr>
      </w:pPr>
      <w:r>
        <w:rPr>
          <w:rFonts w:hint="default" w:ascii="Times New Roman" w:hAnsi="Times New Roman" w:eastAsia="等线" w:cs="Times New Roman"/>
          <w:szCs w:val="20"/>
          <w:lang w:val="en-US" w:eastAsia="zh-CN"/>
        </w:rPr>
        <w:t>To address this issue, we may consider to extend the SIB1-NB transmission period as well as the one SIB1-NB transmission duration. For example of N=</w:t>
      </w:r>
      <w:r>
        <w:rPr>
          <w:rFonts w:hint="eastAsia" w:ascii="Times New Roman" w:hAnsi="Times New Roman" w:eastAsia="等线" w:cs="Times New Roman"/>
          <w:szCs w:val="20"/>
          <w:lang w:val="en-US" w:eastAsia="zh-CN"/>
        </w:rPr>
        <w:t>9</w:t>
      </w:r>
      <w:r>
        <w:rPr>
          <w:rFonts w:hint="default" w:ascii="Times New Roman" w:hAnsi="Times New Roman" w:eastAsia="等线" w:cs="Times New Roman"/>
          <w:szCs w:val="20"/>
          <w:lang w:val="en-US" w:eastAsia="zh-CN"/>
        </w:rPr>
        <w:t xml:space="preserve">, a factor of </w:t>
      </w:r>
      <w:r>
        <w:rPr>
          <w:rFonts w:hint="eastAsia" w:ascii="Times New Roman" w:hAnsi="Times New Roman" w:eastAsia="等线" w:cs="Times New Roman"/>
          <w:szCs w:val="20"/>
          <w:lang w:val="en-US" w:eastAsia="zh-CN"/>
        </w:rPr>
        <w:t>N</w:t>
      </w:r>
      <w:r>
        <w:rPr>
          <w:rFonts w:hint="default" w:ascii="Times New Roman" w:hAnsi="Times New Roman" w:eastAsia="等线" w:cs="Times New Roman"/>
          <w:szCs w:val="20"/>
          <w:lang w:val="en-US" w:eastAsia="zh-CN"/>
        </w:rPr>
        <w:t xml:space="preserve"> expansion can be considered</w:t>
      </w:r>
      <w:r>
        <w:rPr>
          <w:rFonts w:hint="eastAsia" w:ascii="Times New Roman" w:hAnsi="Times New Roman" w:eastAsia="等线" w:cs="Times New Roman"/>
          <w:szCs w:val="20"/>
          <w:lang w:val="en-US" w:eastAsia="zh-CN"/>
        </w:rPr>
        <w:t xml:space="preserve"> for SIB1-NB, i.e., increase from 160 ms transmission duration to 1440 ms, every 180 ms period the UE obtains one SIB1-NB subframe as shown in Fig. 6.</w:t>
      </w:r>
      <w:r>
        <w:rPr>
          <w:rFonts w:hint="default" w:ascii="Times New Roman" w:hAnsi="Times New Roman" w:eastAsia="等线" w:cs="Times New Roman"/>
          <w:szCs w:val="20"/>
          <w:lang w:val="en-US" w:eastAsia="zh-CN"/>
        </w:rPr>
        <w:t xml:space="preserve">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pPr>
      <w:r>
        <w:drawing>
          <wp:inline distT="0" distB="0" distL="114300" distR="114300">
            <wp:extent cx="5937250" cy="1418590"/>
            <wp:effectExtent l="0" t="0" r="6350" b="1016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0"/>
                    <a:stretch>
                      <a:fillRect/>
                    </a:stretch>
                  </pic:blipFill>
                  <pic:spPr>
                    <a:xfrm>
                      <a:off x="0" y="0"/>
                      <a:ext cx="5937250" cy="1418590"/>
                    </a:xfrm>
                    <a:prstGeom prst="rect">
                      <a:avLst/>
                    </a:prstGeom>
                    <a:noFill/>
                    <a:ln w="9525">
                      <a:noFill/>
                    </a:ln>
                  </pic:spPr>
                </pic:pic>
              </a:graphicData>
            </a:graphic>
          </wp:inline>
        </w:drawing>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center"/>
        <w:textAlignment w:val="auto"/>
        <w:outlineLvl w:val="9"/>
        <w:rPr>
          <w:rFonts w:hint="eastAsia" w:eastAsia="宋体"/>
          <w:lang w:val="en-US" w:eastAsia="zh-CN"/>
        </w:rPr>
      </w:pPr>
      <w:r>
        <w:rPr>
          <w:rFonts w:hint="eastAsia" w:eastAsia="宋体"/>
          <w:lang w:val="en-US" w:eastAsia="zh-CN"/>
        </w:rPr>
        <w:t>Fig. 6: extended SIB1-NB transmission duration by factor of N, e.g. N=9</w:t>
      </w:r>
    </w:p>
    <w:p>
      <w:pPr>
        <w:pStyle w:val="4"/>
        <w:spacing w:before="120" w:beforeLines="50"/>
        <w:jc w:val="both"/>
        <w:rPr>
          <w:rFonts w:hint="eastAsia" w:eastAsia="等线" w:cs="Times New Roman"/>
          <w:b/>
          <w:bCs/>
          <w:szCs w:val="20"/>
          <w:lang w:val="en-US" w:eastAsia="zh-CN"/>
        </w:rPr>
      </w:pPr>
      <w:r>
        <w:rPr>
          <w:rFonts w:hint="eastAsia" w:eastAsia="等线" w:cs="Times New Roman"/>
          <w:b/>
          <w:bCs/>
          <w:szCs w:val="20"/>
          <w:lang w:val="en-US" w:eastAsia="zh-CN"/>
        </w:rPr>
        <w:t xml:space="preserve">Observation 8: </w:t>
      </w:r>
      <w:r>
        <w:rPr>
          <w:rFonts w:hint="default" w:ascii="Times New Roman" w:hAnsi="Times New Roman" w:eastAsia="等线" w:cs="Times New Roman"/>
          <w:b/>
          <w:bCs/>
          <w:szCs w:val="20"/>
          <w:lang w:val="en-US" w:eastAsia="zh-CN"/>
        </w:rPr>
        <w:t xml:space="preserve">In legacy system, the SIB1-NB transmission period is 2560 ms, where one SIB1-NB is transmitted over 160 ms (i.e., 16 radio frames). Over the 160 ms, the actual SIB1-NB transmission is over 8 alternate radio frames. This SIB1-NB transmission may not compatible with periodic pattern </w:t>
      </w:r>
      <w:r>
        <w:rPr>
          <w:rFonts w:hint="eastAsia" w:ascii="Times New Roman" w:hAnsi="Times New Roman" w:eastAsia="等线" w:cs="Times New Roman"/>
          <w:b/>
          <w:bCs/>
          <w:szCs w:val="20"/>
          <w:lang w:val="en-US" w:eastAsia="zh-CN"/>
        </w:rPr>
        <w:t>and</w:t>
      </w:r>
      <w:r>
        <w:rPr>
          <w:rFonts w:hint="default" w:ascii="Times New Roman" w:hAnsi="Times New Roman" w:eastAsia="等线" w:cs="Times New Roman"/>
          <w:b/>
          <w:bCs/>
          <w:szCs w:val="20"/>
          <w:lang w:val="en-US" w:eastAsia="zh-CN"/>
        </w:rPr>
        <w:t xml:space="preserve"> would lead to a shortage of SIB1-NB resources. </w:t>
      </w:r>
    </w:p>
    <w:p>
      <w:pPr>
        <w:pStyle w:val="4"/>
        <w:spacing w:before="120" w:beforeLines="50"/>
        <w:jc w:val="both"/>
        <w:rPr>
          <w:rFonts w:hint="default" w:eastAsia="等线" w:cs="Times New Roman"/>
          <w:b/>
          <w:bCs/>
          <w:szCs w:val="20"/>
          <w:lang w:val="en-US" w:eastAsia="zh-CN"/>
        </w:rPr>
      </w:pPr>
      <w:r>
        <w:rPr>
          <w:rFonts w:hint="eastAsia" w:eastAsia="等线" w:cs="Times New Roman"/>
          <w:b/>
          <w:bCs/>
          <w:szCs w:val="20"/>
          <w:lang w:val="en-US" w:eastAsia="zh-CN"/>
        </w:rPr>
        <w:t xml:space="preserve">Proposal 4: RAN1 </w:t>
      </w:r>
      <w:r>
        <w:rPr>
          <w:rFonts w:hint="default" w:ascii="Times New Roman" w:hAnsi="Times New Roman" w:eastAsia="等线" w:cs="Times New Roman"/>
          <w:b/>
          <w:bCs/>
          <w:szCs w:val="20"/>
          <w:lang w:val="en-US" w:eastAsia="zh-CN"/>
        </w:rPr>
        <w:t>consider</w:t>
      </w:r>
      <w:r>
        <w:rPr>
          <w:rFonts w:hint="eastAsia" w:ascii="Times New Roman" w:hAnsi="Times New Roman" w:eastAsia="等线" w:cs="Times New Roman"/>
          <w:b/>
          <w:bCs/>
          <w:szCs w:val="20"/>
          <w:lang w:val="en-US" w:eastAsia="zh-CN"/>
        </w:rPr>
        <w:t>s</w:t>
      </w:r>
      <w:r>
        <w:rPr>
          <w:rFonts w:hint="default" w:ascii="Times New Roman" w:hAnsi="Times New Roman" w:eastAsia="等线" w:cs="Times New Roman"/>
          <w:b/>
          <w:bCs/>
          <w:szCs w:val="20"/>
          <w:lang w:val="en-US" w:eastAsia="zh-CN"/>
        </w:rPr>
        <w:t xml:space="preserve"> to extend the SIB1-NB transmission period as well as the one SIB1-NB transmission duration</w:t>
      </w:r>
      <w:r>
        <w:rPr>
          <w:rFonts w:hint="eastAsia" w:ascii="Times New Roman" w:hAnsi="Times New Roman" w:eastAsia="等线" w:cs="Times New Roman"/>
          <w:b/>
          <w:bCs/>
          <w:szCs w:val="20"/>
          <w:lang w:val="en-US" w:eastAsia="zh-CN"/>
        </w:rPr>
        <w:t xml:space="preserve"> by a factor of N=9</w:t>
      </w:r>
      <w:r>
        <w:rPr>
          <w:rFonts w:hint="default" w:ascii="Times New Roman" w:hAnsi="Times New Roman" w:eastAsia="等线" w:cs="Times New Roman"/>
          <w:b/>
          <w:bCs/>
          <w:szCs w:val="20"/>
          <w:lang w:val="en-US" w:eastAsia="zh-CN"/>
        </w:rPr>
        <w:t xml:space="preserve">.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1"/>
          <w:szCs w:val="21"/>
          <w:u w:val="single"/>
          <w:lang w:val="en-US" w:eastAsia="zh-CN"/>
        </w:rPr>
      </w:pPr>
      <w:r>
        <w:rPr>
          <w:rFonts w:hint="eastAsia" w:cs="Times New Roman" w:eastAsiaTheme="minorEastAsia"/>
          <w:b/>
          <w:bCs/>
          <w:sz w:val="21"/>
          <w:szCs w:val="21"/>
          <w:u w:val="single"/>
          <w:lang w:val="en-US" w:eastAsia="zh-CN"/>
        </w:rPr>
        <w:t>Receiving other SIB</w:t>
      </w:r>
    </w:p>
    <w:p>
      <w:pPr>
        <w:pStyle w:val="99"/>
        <w:jc w:val="both"/>
        <w:rPr>
          <w:rFonts w:hint="eastAsia"/>
          <w:sz w:val="20"/>
          <w:lang w:val="en-US" w:eastAsia="zh-CN"/>
        </w:rPr>
      </w:pPr>
      <w:r>
        <w:rPr>
          <w:rFonts w:hint="eastAsia"/>
          <w:sz w:val="20"/>
          <w:lang w:val="en-US" w:eastAsia="zh-CN"/>
        </w:rPr>
        <w:t xml:space="preserve">For receiving SIB, UE needs to determine the system information (SI) window, the SI window is determined according to SI window start, SI window length and SI window period. However, in legacy NB-IoT system, the SI window length, and period is defined under power of 2 (2^n) constraint, which is co-prime of 90 ms. In this case, the legacy design will result in issue that the UE may not get SIB within periodic D subframe. To adress this issue, the SI window start should be aligned with periodic D subframe start; the SI window length needs to be changed to a multiple of D subframe period (x*90 ms, with x being an integer value); the SI window period needs also to be a multiple of D subframe period (y*90 ms with y being an integer value) as shown in Fig. 7. </w:t>
      </w:r>
    </w:p>
    <w:p>
      <w:pPr>
        <w:pStyle w:val="4"/>
        <w:spacing w:before="120" w:beforeLines="50"/>
        <w:jc w:val="both"/>
      </w:pPr>
      <w:r>
        <w:drawing>
          <wp:inline distT="0" distB="0" distL="114300" distR="114300">
            <wp:extent cx="5935345" cy="1164590"/>
            <wp:effectExtent l="0" t="0" r="8255" b="165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1"/>
                    <a:stretch>
                      <a:fillRect/>
                    </a:stretch>
                  </pic:blipFill>
                  <pic:spPr>
                    <a:xfrm>
                      <a:off x="0" y="0"/>
                      <a:ext cx="5935345" cy="1164590"/>
                    </a:xfrm>
                    <a:prstGeom prst="rect">
                      <a:avLst/>
                    </a:prstGeom>
                    <a:noFill/>
                    <a:ln w="9525">
                      <a:noFill/>
                    </a:ln>
                  </pic:spPr>
                </pic:pic>
              </a:graphicData>
            </a:graphic>
          </wp:inline>
        </w:drawing>
      </w:r>
    </w:p>
    <w:p>
      <w:pPr>
        <w:pStyle w:val="4"/>
        <w:spacing w:before="120" w:beforeLines="50"/>
        <w:jc w:val="center"/>
        <w:rPr>
          <w:rFonts w:hint="eastAsia" w:eastAsia="宋体"/>
          <w:lang w:val="en-US" w:eastAsia="zh-CN"/>
        </w:rPr>
      </w:pPr>
      <w:r>
        <w:rPr>
          <w:rFonts w:hint="eastAsia" w:eastAsia="宋体"/>
          <w:lang w:val="en-US" w:eastAsia="zh-CN"/>
        </w:rPr>
        <w:t>Fig. 7: SI window is aligned with period D subframe, the SI window period is multiple of 90 ms</w:t>
      </w:r>
    </w:p>
    <w:p>
      <w:pPr>
        <w:pStyle w:val="4"/>
        <w:spacing w:before="120" w:beforeLines="50"/>
        <w:jc w:val="both"/>
        <w:rPr>
          <w:rFonts w:hint="eastAsia" w:eastAsia="等线" w:cs="Times New Roman"/>
          <w:b/>
          <w:bCs/>
          <w:szCs w:val="20"/>
          <w:lang w:val="en-US" w:eastAsia="zh-CN"/>
        </w:rPr>
      </w:pPr>
      <w:r>
        <w:rPr>
          <w:rFonts w:hint="eastAsia" w:eastAsia="等线" w:cs="Times New Roman"/>
          <w:b/>
          <w:bCs/>
          <w:szCs w:val="20"/>
          <w:lang w:val="en-US" w:eastAsia="zh-CN"/>
        </w:rPr>
        <w:t>Observation 9: I</w:t>
      </w:r>
      <w:r>
        <w:rPr>
          <w:rFonts w:hint="eastAsia"/>
          <w:b/>
          <w:bCs/>
          <w:sz w:val="20"/>
          <w:lang w:val="en-US" w:eastAsia="zh-CN"/>
        </w:rPr>
        <w:t>n legacy NB-IoT system, the SI window length, and period is defined under power of 2 (2^n) constraint, which is co-prime of 90 ms. In this case, the legacy design will result in issue that the UE may not get SIB within periodic D subframe.</w:t>
      </w:r>
    </w:p>
    <w:p>
      <w:pPr>
        <w:pStyle w:val="4"/>
        <w:spacing w:before="120" w:beforeLines="50"/>
        <w:jc w:val="both"/>
        <w:rPr>
          <w:rFonts w:hint="eastAsia" w:eastAsia="等线" w:cs="Times New Roman"/>
          <w:b/>
          <w:bCs/>
          <w:szCs w:val="20"/>
          <w:lang w:val="en-US" w:eastAsia="zh-CN"/>
        </w:rPr>
      </w:pPr>
      <w:r>
        <w:rPr>
          <w:rFonts w:hint="eastAsia" w:eastAsia="等线" w:cs="Times New Roman"/>
          <w:b/>
          <w:bCs/>
          <w:szCs w:val="20"/>
          <w:lang w:val="en-US" w:eastAsia="zh-CN"/>
        </w:rPr>
        <w:t xml:space="preserve">Proposal 5: RAN1 considers to align the SI window with period D subframe start, and change the SI window length and period to multiple of 90 ms. </w:t>
      </w:r>
    </w:p>
    <w:p>
      <w:pPr>
        <w:pStyle w:val="4"/>
        <w:spacing w:before="120" w:beforeLines="50"/>
        <w:jc w:val="both"/>
        <w:rPr>
          <w:rFonts w:hint="eastAsia" w:eastAsia="等线" w:cs="Times New Roman"/>
          <w:b/>
          <w:bCs/>
          <w:szCs w:val="20"/>
          <w:lang w:val="en-US" w:eastAsia="zh-CN"/>
        </w:rPr>
      </w:pPr>
    </w:p>
    <w:p>
      <w:pPr>
        <w:pStyle w:val="4"/>
        <w:jc w:val="both"/>
        <w:outlineLvl w:val="1"/>
        <w:rPr>
          <w:rFonts w:hint="eastAsia" w:cs="Times New Roman" w:eastAsiaTheme="minorEastAsia"/>
          <w:b/>
          <w:bCs/>
          <w:sz w:val="21"/>
          <w:szCs w:val="21"/>
          <w:lang w:val="en-US" w:eastAsia="zh-CN"/>
        </w:rPr>
      </w:pPr>
      <w:r>
        <w:rPr>
          <w:rFonts w:hint="default" w:ascii="Times New Roman" w:hAnsi="Times New Roman" w:cs="Times New Roman" w:eastAsiaTheme="minorEastAsia"/>
          <w:b/>
          <w:bCs/>
          <w:sz w:val="21"/>
          <w:szCs w:val="21"/>
          <w:lang w:val="en-GB" w:eastAsia="zh-CN"/>
        </w:rPr>
        <w:t>2.</w:t>
      </w:r>
      <w:r>
        <w:rPr>
          <w:rFonts w:hint="eastAsia" w:cs="Times New Roman" w:eastAsiaTheme="minorEastAsia"/>
          <w:b/>
          <w:bCs/>
          <w:sz w:val="21"/>
          <w:szCs w:val="21"/>
          <w:lang w:val="en-US" w:eastAsia="zh-CN"/>
        </w:rPr>
        <w:t>4</w:t>
      </w:r>
      <w:r>
        <w:rPr>
          <w:rFonts w:hint="default" w:ascii="Times New Roman" w:hAnsi="Times New Roman" w:cs="Times New Roman" w:eastAsiaTheme="minorEastAsia"/>
          <w:b/>
          <w:bCs/>
          <w:sz w:val="21"/>
          <w:szCs w:val="21"/>
          <w:lang w:val="en-GB" w:eastAsia="zh-CN"/>
        </w:rPr>
        <w:t xml:space="preserve"> </w:t>
      </w:r>
      <w:r>
        <w:rPr>
          <w:rFonts w:hint="eastAsia" w:cs="Times New Roman" w:eastAsiaTheme="minorEastAsia"/>
          <w:b/>
          <w:bCs/>
          <w:sz w:val="21"/>
          <w:szCs w:val="21"/>
          <w:lang w:val="en-US" w:eastAsia="zh-CN"/>
        </w:rPr>
        <w:t>D/U configuration</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1"/>
          <w:szCs w:val="21"/>
          <w:lang w:val="en-US" w:eastAsia="zh-CN"/>
        </w:rPr>
      </w:pPr>
      <w:r>
        <w:rPr>
          <w:rFonts w:hint="eastAsia" w:cs="Times New Roman" w:eastAsiaTheme="minorEastAsia"/>
          <w:b w:val="0"/>
          <w:bCs w:val="0"/>
          <w:sz w:val="21"/>
          <w:szCs w:val="21"/>
          <w:lang w:val="en-US" w:eastAsia="zh-CN"/>
        </w:rPr>
        <w:t>As explained in section 2.2, for UE initial DL synchronization, UE needs to assume D=8 as a default D subframe. When the UE receives SIB1-NB, eNB can configure larger value of D for better system throughput. However, due to the actual guard period of Iridium</w:t>
      </w:r>
      <w:r>
        <w:rPr>
          <w:rFonts w:hint="default" w:cs="Times New Roman" w:eastAsiaTheme="minorEastAsia"/>
          <w:b w:val="0"/>
          <w:bCs w:val="0"/>
          <w:sz w:val="21"/>
          <w:szCs w:val="21"/>
          <w:lang w:val="en-US" w:eastAsia="zh-CN"/>
        </w:rPr>
        <w:t>’</w:t>
      </w:r>
      <w:r>
        <w:rPr>
          <w:rFonts w:hint="eastAsia" w:cs="Times New Roman" w:eastAsiaTheme="minorEastAsia"/>
          <w:b w:val="0"/>
          <w:bCs w:val="0"/>
          <w:sz w:val="21"/>
          <w:szCs w:val="21"/>
          <w:lang w:val="en-US" w:eastAsia="zh-CN"/>
        </w:rPr>
        <w:t>s TDMA structure is transparent to 3GPP, the network can configure a guard period in D subframes that separates it into multiple sets of consecutive subframes (D subframe sets). Each D subframe set is no longer than 8.28 ms to conform with Iridium</w:t>
      </w:r>
      <w:r>
        <w:rPr>
          <w:rFonts w:hint="default" w:cs="Times New Roman" w:eastAsiaTheme="minorEastAsia"/>
          <w:b w:val="0"/>
          <w:bCs w:val="0"/>
          <w:sz w:val="21"/>
          <w:szCs w:val="21"/>
          <w:lang w:val="en-US" w:eastAsia="zh-CN"/>
        </w:rPr>
        <w:t>’</w:t>
      </w:r>
      <w:r>
        <w:rPr>
          <w:rFonts w:hint="eastAsia" w:cs="Times New Roman" w:eastAsiaTheme="minorEastAsia"/>
          <w:b w:val="0"/>
          <w:bCs w:val="0"/>
          <w:sz w:val="21"/>
          <w:szCs w:val="21"/>
          <w:lang w:val="en-US" w:eastAsia="zh-CN"/>
        </w:rPr>
        <w:t xml:space="preserve">s DL slot. The guard period location and length can be provided by SIB1-NB and the eNB ensures that the guard period is conform to Iridium TDMA structure. In order not to impact the DL synchronization, we think that the DL sync can be performed only in default D subframe, in which no guard period is assumed. Moreover, in D subframe set, it is not assumed to transmit NPSS/NSSS/NPBCH/SIB1-NB, so that eNB can have more degree of freedom to configure the guard period, which does not impact the DL synchronization.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pPr>
      <w:r>
        <w:rPr>
          <w:rFonts w:hint="eastAsia" w:cs="Times New Roman" w:eastAsiaTheme="minorEastAsia"/>
          <w:b w:val="0"/>
          <w:bCs w:val="0"/>
          <w:sz w:val="21"/>
          <w:szCs w:val="21"/>
          <w:lang w:val="en-US" w:eastAsia="zh-CN"/>
        </w:rPr>
        <w:t xml:space="preserve"> </w:t>
      </w:r>
      <w:r>
        <w:drawing>
          <wp:inline distT="0" distB="0" distL="114300" distR="114300">
            <wp:extent cx="5753100" cy="1052830"/>
            <wp:effectExtent l="0" t="0" r="0" b="139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5753100" cy="1052830"/>
                    </a:xfrm>
                    <a:prstGeom prst="rect">
                      <a:avLst/>
                    </a:prstGeom>
                    <a:noFill/>
                    <a:ln w="9525">
                      <a:noFill/>
                    </a:ln>
                  </pic:spPr>
                </pic:pic>
              </a:graphicData>
            </a:graphic>
          </wp:inline>
        </w:drawing>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center"/>
        <w:textAlignment w:val="auto"/>
        <w:outlineLvl w:val="9"/>
        <w:rPr>
          <w:rFonts w:hint="eastAsia" w:eastAsia="宋体"/>
          <w:lang w:val="en-US" w:eastAsia="zh-CN"/>
        </w:rPr>
      </w:pPr>
      <w:r>
        <w:rPr>
          <w:rFonts w:hint="eastAsia" w:eastAsia="宋体"/>
          <w:lang w:val="en-US" w:eastAsia="zh-CN"/>
        </w:rPr>
        <w:t>Fig. 8: eNB can configure more D for better throughput, but DL sync is performed only in default D subframe</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1"/>
          <w:szCs w:val="21"/>
          <w:lang w:val="en-US" w:eastAsia="zh-CN"/>
        </w:rPr>
      </w:pPr>
      <w:r>
        <w:rPr>
          <w:rFonts w:hint="eastAsia" w:eastAsia="宋体"/>
          <w:b/>
          <w:bCs/>
          <w:lang w:val="en-US" w:eastAsia="zh-CN"/>
        </w:rPr>
        <w:t xml:space="preserve">Observation 10: </w:t>
      </w:r>
      <w:r>
        <w:rPr>
          <w:rFonts w:hint="eastAsia" w:cs="Times New Roman" w:eastAsiaTheme="minorEastAsia"/>
          <w:b/>
          <w:bCs/>
          <w:sz w:val="21"/>
          <w:szCs w:val="21"/>
          <w:lang w:val="en-US" w:eastAsia="zh-CN"/>
        </w:rPr>
        <w:t>When the UE receives SIB1-NB, eNB can configure larger value of D for better system throughput. However, due to the actual guard period of Iridium</w:t>
      </w:r>
      <w:r>
        <w:rPr>
          <w:rFonts w:hint="default" w:cs="Times New Roman" w:eastAsiaTheme="minorEastAsia"/>
          <w:b/>
          <w:bCs/>
          <w:sz w:val="21"/>
          <w:szCs w:val="21"/>
          <w:lang w:val="en-US" w:eastAsia="zh-CN"/>
        </w:rPr>
        <w:t>’</w:t>
      </w:r>
      <w:r>
        <w:rPr>
          <w:rFonts w:hint="eastAsia" w:cs="Times New Roman" w:eastAsiaTheme="minorEastAsia"/>
          <w:b/>
          <w:bCs/>
          <w:sz w:val="21"/>
          <w:szCs w:val="21"/>
          <w:lang w:val="en-US" w:eastAsia="zh-CN"/>
        </w:rPr>
        <w:t>s TDMA structure is transparent to 3GPP, the network can configure a guard period in D subframes that separates it into multiple sets of consecutive subframes (D subframe sets). The guard period location and length can be provided by SIB1-NB and the eNB ensures that the guard period is conform to Iridium TDMA structure.</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1"/>
          <w:szCs w:val="21"/>
          <w:lang w:val="en-US" w:eastAsia="zh-CN"/>
        </w:rPr>
      </w:pPr>
      <w:r>
        <w:rPr>
          <w:rFonts w:hint="eastAsia" w:cs="Times New Roman" w:eastAsiaTheme="minorEastAsia"/>
          <w:b/>
          <w:bCs/>
          <w:sz w:val="21"/>
          <w:szCs w:val="21"/>
          <w:lang w:val="en-US" w:eastAsia="zh-CN"/>
        </w:rPr>
        <w:t xml:space="preserve">Observation 11: The DL sync can be performed only in default D subframe, in which no guard period is assumed. Moreover, in D subframe set, it is not assumed to transmit NPSS/NSSS/NPBCH/SIB1-NB, so that eNB can have more degree of freedom to configure the guard period, which does not impact the DL synchronization.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1"/>
          <w:szCs w:val="21"/>
          <w:lang w:val="en-US" w:eastAsia="zh-CN"/>
        </w:rPr>
      </w:pPr>
      <w:r>
        <w:rPr>
          <w:rFonts w:hint="eastAsia" w:cs="Times New Roman" w:eastAsiaTheme="minorEastAsia"/>
          <w:b/>
          <w:bCs/>
          <w:sz w:val="21"/>
          <w:szCs w:val="21"/>
          <w:lang w:val="en-US" w:eastAsia="zh-CN"/>
        </w:rPr>
        <w:t>Proposal 6: DL synchronization is performed only in default D subframe.</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1"/>
          <w:szCs w:val="21"/>
          <w:lang w:val="en-US" w:eastAsia="zh-CN"/>
        </w:rPr>
      </w:pPr>
      <w:r>
        <w:rPr>
          <w:rFonts w:hint="eastAsia" w:cs="Times New Roman" w:eastAsiaTheme="minorEastAsia"/>
          <w:b/>
          <w:bCs/>
          <w:sz w:val="21"/>
          <w:szCs w:val="21"/>
          <w:lang w:val="en-US" w:eastAsia="zh-CN"/>
        </w:rPr>
        <w:t>Proposal 7: eNB can configure larger number of subframes for D in SIB1-NB and guard period in D, so that the system can benefit from enhanced throughput.</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1"/>
          <w:szCs w:val="21"/>
          <w:lang w:val="en-US" w:eastAsia="zh-CN"/>
        </w:rPr>
      </w:pPr>
      <w:r>
        <w:rPr>
          <w:rFonts w:hint="eastAsia" w:cs="Times New Roman" w:eastAsiaTheme="minorEastAsia"/>
          <w:b/>
          <w:bCs/>
          <w:sz w:val="21"/>
          <w:szCs w:val="21"/>
          <w:lang w:val="en-US" w:eastAsia="zh-CN"/>
        </w:rPr>
        <w:t>Proposal 8: No guard period is expected in default D subframe, and NPSS/NSSS/NPBCH/SIB1-NB are not expected outside default D subframe.</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1"/>
          <w:szCs w:val="21"/>
          <w:lang w:val="en-US" w:eastAsia="zh-CN"/>
        </w:rPr>
      </w:pPr>
      <w:r>
        <w:rPr>
          <w:rFonts w:hint="eastAsia" w:cs="Times New Roman" w:eastAsiaTheme="minorEastAsia"/>
          <w:b w:val="0"/>
          <w:bCs w:val="0"/>
          <w:sz w:val="21"/>
          <w:szCs w:val="21"/>
          <w:lang w:val="en-US" w:eastAsia="zh-CN"/>
        </w:rPr>
        <w:t xml:space="preserve">For U subframe configuration, we think that at UL synchronization reference point, the U subframe and D subframe are at least subframe boundary aligned but with an offset (following the legacy IoT NTN definition, i.e., </w:t>
      </w:r>
      <w:r>
        <w:rPr>
          <w:highlight w:val="yellow"/>
          <w:lang w:eastAsia="ko-KR"/>
        </w:rPr>
        <w:t xml:space="preserve">The uplink time synchronization reference point is the point where DL and UL are frame aligned with an offset given by </w:t>
      </w:r>
      <m:oMath>
        <m:sSub>
          <m:sSubPr>
            <m:ctrlPr>
              <w:rPr>
                <w:rFonts w:ascii="Cambria Math" w:hAnsi="Cambria Math" w:eastAsiaTheme="minorHAnsi"/>
                <w:highlight w:val="yellow"/>
                <w:lang w:eastAsia="ko-KR"/>
              </w:rPr>
            </m:ctrlPr>
          </m:sSubPr>
          <m:e>
            <m:r>
              <w:rPr>
                <w:rFonts w:ascii="Cambria Math" w:hAnsi="Cambria Math"/>
                <w:highlight w:val="yellow"/>
                <w:lang w:eastAsia="ko-KR"/>
              </w:rPr>
              <m:t>N</m:t>
            </m:r>
            <m:ctrlPr>
              <w:rPr>
                <w:rFonts w:ascii="Cambria Math" w:hAnsi="Cambria Math" w:eastAsiaTheme="minorHAnsi"/>
                <w:highlight w:val="yellow"/>
                <w:lang w:eastAsia="ko-KR"/>
              </w:rPr>
            </m:ctrlPr>
          </m:e>
          <m:sub>
            <m:r>
              <m:rPr>
                <m:sty m:val="p"/>
              </m:rPr>
              <w:rPr>
                <w:rFonts w:ascii="Cambria Math" w:hAnsi="Cambria Math"/>
                <w:highlight w:val="yellow"/>
                <w:lang w:eastAsia="ko-KR"/>
              </w:rPr>
              <m:t>TA,offset</m:t>
            </m:r>
            <m:ctrlPr>
              <w:rPr>
                <w:rFonts w:ascii="Cambria Math" w:hAnsi="Cambria Math" w:eastAsiaTheme="minorHAnsi"/>
                <w:highlight w:val="yellow"/>
                <w:lang w:eastAsia="ko-KR"/>
              </w:rPr>
            </m:ctrlPr>
          </m:sub>
        </m:sSub>
      </m:oMath>
      <w:r>
        <w:rPr>
          <w:lang w:eastAsia="ko-KR"/>
        </w:rPr>
        <w:t>.</w:t>
      </w:r>
      <w:r>
        <w:rPr>
          <w:rFonts w:hint="eastAsia" w:eastAsia="宋体"/>
          <w:lang w:val="en-US" w:eastAsia="zh-CN"/>
        </w:rPr>
        <w:t>)</w:t>
      </w:r>
      <w:r>
        <w:rPr>
          <w:rFonts w:hint="eastAsia" w:cs="Times New Roman" w:eastAsiaTheme="minorEastAsia"/>
          <w:b w:val="0"/>
          <w:bCs w:val="0"/>
          <w:sz w:val="21"/>
          <w:szCs w:val="21"/>
          <w:lang w:val="en-US" w:eastAsia="zh-CN"/>
        </w:rPr>
        <w:t xml:space="preserve">. Thus, eNB can configure this offset in SIB1-NB, where the offset is a number of subframes.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1"/>
          <w:szCs w:val="21"/>
          <w:lang w:val="en-US" w:eastAsia="zh-CN"/>
        </w:rPr>
      </w:pPr>
      <w:r>
        <w:rPr>
          <w:rFonts w:hint="eastAsia" w:cs="Times New Roman" w:eastAsiaTheme="minorEastAsia"/>
          <w:b/>
          <w:bCs/>
          <w:sz w:val="21"/>
          <w:szCs w:val="21"/>
          <w:lang w:val="en-US" w:eastAsia="zh-CN"/>
        </w:rPr>
        <w:t xml:space="preserve">Proposal 9: The definition of uplink time synchronization reference point remains the same, i.e., DL and UL are at least subframe aligned at reference point.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1"/>
          <w:szCs w:val="21"/>
          <w:lang w:val="en-US" w:eastAsia="zh-CN"/>
        </w:rPr>
      </w:pPr>
      <w:r>
        <w:rPr>
          <w:rFonts w:hint="eastAsia" w:cs="Times New Roman" w:eastAsiaTheme="minorEastAsia"/>
          <w:b/>
          <w:bCs/>
          <w:sz w:val="21"/>
          <w:szCs w:val="21"/>
          <w:lang w:val="en-US" w:eastAsia="zh-CN"/>
        </w:rPr>
        <w:t>Proposal 10: eNB configures an offset to determine the starting U subframe based on the location of the D subframe.</w:t>
      </w:r>
    </w:p>
    <w:p>
      <w:pPr>
        <w:pStyle w:val="4"/>
        <w:jc w:val="both"/>
        <w:outlineLvl w:val="1"/>
        <w:rPr>
          <w:rFonts w:hint="eastAsia" w:cs="Times New Roman" w:eastAsiaTheme="minorEastAsia"/>
          <w:b/>
          <w:bCs/>
          <w:sz w:val="21"/>
          <w:szCs w:val="21"/>
          <w:lang w:val="en-US" w:eastAsia="zh-CN"/>
        </w:rPr>
      </w:pPr>
      <w:r>
        <w:rPr>
          <w:rFonts w:hint="default" w:ascii="Times New Roman" w:hAnsi="Times New Roman" w:cs="Times New Roman" w:eastAsiaTheme="minorEastAsia"/>
          <w:b/>
          <w:bCs/>
          <w:sz w:val="21"/>
          <w:szCs w:val="21"/>
          <w:lang w:val="en-GB" w:eastAsia="zh-CN"/>
        </w:rPr>
        <w:t>2.</w:t>
      </w:r>
      <w:r>
        <w:rPr>
          <w:rFonts w:hint="eastAsia" w:cs="Times New Roman" w:eastAsiaTheme="minorEastAsia"/>
          <w:b/>
          <w:bCs/>
          <w:sz w:val="21"/>
          <w:szCs w:val="21"/>
          <w:lang w:val="en-US" w:eastAsia="zh-CN"/>
        </w:rPr>
        <w:t>5</w:t>
      </w:r>
      <w:r>
        <w:rPr>
          <w:rFonts w:hint="default" w:ascii="Times New Roman" w:hAnsi="Times New Roman" w:cs="Times New Roman" w:eastAsiaTheme="minorEastAsia"/>
          <w:b/>
          <w:bCs/>
          <w:sz w:val="21"/>
          <w:szCs w:val="21"/>
          <w:lang w:val="en-GB" w:eastAsia="zh-CN"/>
        </w:rPr>
        <w:t xml:space="preserve"> </w:t>
      </w:r>
      <w:r>
        <w:rPr>
          <w:rFonts w:hint="eastAsia" w:cs="Times New Roman" w:eastAsiaTheme="minorEastAsia"/>
          <w:b/>
          <w:bCs/>
          <w:sz w:val="21"/>
          <w:szCs w:val="21"/>
          <w:lang w:val="en-US" w:eastAsia="zh-CN"/>
        </w:rPr>
        <w:t>Simulation evaluation</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1"/>
          <w:szCs w:val="21"/>
          <w:lang w:val="en-US" w:eastAsia="zh-CN"/>
        </w:rPr>
      </w:pPr>
      <w:r>
        <w:rPr>
          <w:rFonts w:hint="eastAsia" w:cs="Times New Roman" w:eastAsiaTheme="minorEastAsia"/>
          <w:b w:val="0"/>
          <w:bCs w:val="0"/>
          <w:sz w:val="21"/>
          <w:szCs w:val="21"/>
          <w:lang w:val="en-US" w:eastAsia="zh-CN"/>
        </w:rPr>
        <w:t xml:space="preserve">In this section, we present our simualtion results on NPSS/NSSS/NPBCH, which are the target channel/signals agreed for evaluation in RAN1#118b meeting. </w:t>
      </w:r>
    </w:p>
    <w:p>
      <w:pPr>
        <w:pStyle w:val="97"/>
        <w:rPr>
          <w:bCs/>
        </w:rPr>
      </w:pPr>
      <w:r>
        <w:rPr>
          <w:bCs/>
          <w:highlight w:val="green"/>
        </w:rPr>
        <w:t>Agreement</w:t>
      </w:r>
    </w:p>
    <w:p>
      <w:pPr>
        <w:pStyle w:val="97"/>
        <w:rPr>
          <w:bCs/>
        </w:rPr>
      </w:pPr>
      <w:r>
        <w:rPr>
          <w:bCs/>
        </w:rPr>
        <w:t>RAN1 evaluates via link level simulations the following:</w:t>
      </w:r>
    </w:p>
    <w:p>
      <w:pPr>
        <w:pStyle w:val="98"/>
        <w:numPr>
          <w:ilvl w:val="0"/>
          <w:numId w:val="11"/>
        </w:numPr>
        <w:overflowPunct w:val="0"/>
        <w:autoSpaceDE w:val="0"/>
        <w:autoSpaceDN w:val="0"/>
        <w:adjustRightInd w:val="0"/>
        <w:ind w:leftChars="0"/>
        <w:contextualSpacing/>
        <w:textAlignment w:val="baseline"/>
        <w:rPr>
          <w:bCs/>
        </w:rPr>
      </w:pPr>
      <w:r>
        <w:rPr>
          <w:bCs/>
        </w:rPr>
        <w:t>NPSS/NSSS detection</w:t>
      </w:r>
    </w:p>
    <w:p>
      <w:pPr>
        <w:pStyle w:val="98"/>
        <w:numPr>
          <w:ilvl w:val="0"/>
          <w:numId w:val="11"/>
        </w:numPr>
        <w:overflowPunct w:val="0"/>
        <w:autoSpaceDE w:val="0"/>
        <w:autoSpaceDN w:val="0"/>
        <w:adjustRightInd w:val="0"/>
        <w:ind w:leftChars="0"/>
        <w:contextualSpacing/>
        <w:textAlignment w:val="baseline"/>
        <w:rPr>
          <w:bCs/>
        </w:rPr>
      </w:pPr>
      <w:r>
        <w:rPr>
          <w:bCs/>
        </w:rPr>
        <w:t>NPBCH decoding</w:t>
      </w:r>
    </w:p>
    <w:p>
      <w:pPr>
        <w:pStyle w:val="97"/>
        <w:rPr>
          <w:bCs/>
        </w:rPr>
      </w:pPr>
      <w:r>
        <w:rPr>
          <w:bCs/>
          <w:highlight w:val="green"/>
        </w:rPr>
        <w:t>Agreement</w:t>
      </w:r>
    </w:p>
    <w:p>
      <w:pPr>
        <w:pStyle w:val="97"/>
        <w:rPr>
          <w:bCs/>
        </w:rPr>
      </w:pPr>
      <w:r>
        <w:rPr>
          <w:bCs/>
        </w:rPr>
        <w:t>For link level simulations of NPSS / NSSS / NPBCH, RAN1 uses the following assumptions:</w:t>
      </w:r>
    </w:p>
    <w:p>
      <w:pPr>
        <w:pStyle w:val="97"/>
        <w:rPr>
          <w:b/>
          <w:bCs/>
        </w:rPr>
      </w:pPr>
    </w:p>
    <w:tbl>
      <w:tblPr>
        <w:tblStyle w:val="20"/>
        <w:tblW w:w="9629" w:type="dxa"/>
        <w:tblInd w:w="0" w:type="dxa"/>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Layout w:type="fixed"/>
        <w:tblCellMar>
          <w:top w:w="0" w:type="dxa"/>
          <w:left w:w="108" w:type="dxa"/>
          <w:bottom w:w="0" w:type="dxa"/>
          <w:right w:w="108" w:type="dxa"/>
        </w:tblCellMar>
      </w:tblPr>
      <w:tblGrid>
        <w:gridCol w:w="3595"/>
        <w:gridCol w:w="6034"/>
      </w:tblGrid>
      <w:tr>
        <w:tblPrEx>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Layout w:type="fixed"/>
          <w:tblCellMar>
            <w:top w:w="0" w:type="dxa"/>
            <w:left w:w="108" w:type="dxa"/>
            <w:bottom w:w="0" w:type="dxa"/>
            <w:right w:w="108" w:type="dxa"/>
          </w:tblCellMar>
        </w:tblPrEx>
        <w:tc>
          <w:tcPr>
            <w:tcW w:w="3595" w:type="dxa"/>
            <w:tcBorders>
              <w:top w:val="single" w:color="A5A5A5" w:sz="4" w:space="0"/>
              <w:left w:val="single" w:color="A5A5A5" w:sz="4" w:space="0"/>
              <w:bottom w:val="single" w:color="A5A5A5" w:sz="4" w:space="0"/>
              <w:right w:val="nil"/>
            </w:tcBorders>
            <w:shd w:val="clear" w:color="auto" w:fill="A5A5A5"/>
            <w:vAlign w:val="top"/>
          </w:tcPr>
          <w:p>
            <w:pPr>
              <w:rPr>
                <w:rFonts w:eastAsia="宋体"/>
                <w:b/>
                <w:bCs/>
                <w:color w:val="FFFFFF"/>
              </w:rPr>
            </w:pPr>
            <w:r>
              <w:rPr>
                <w:rFonts w:eastAsia="宋体"/>
                <w:b/>
                <w:bCs/>
                <w:color w:val="FFFFFF"/>
              </w:rPr>
              <w:t>Parameter</w:t>
            </w:r>
          </w:p>
        </w:tc>
        <w:tc>
          <w:tcPr>
            <w:tcW w:w="6034" w:type="dxa"/>
            <w:tcBorders>
              <w:top w:val="single" w:color="A5A5A5" w:sz="4" w:space="0"/>
              <w:left w:val="nil"/>
              <w:bottom w:val="single" w:color="A5A5A5" w:sz="4" w:space="0"/>
              <w:right w:val="single" w:color="A5A5A5" w:sz="4" w:space="0"/>
            </w:tcBorders>
            <w:shd w:val="clear" w:color="auto" w:fill="A5A5A5"/>
            <w:vAlign w:val="top"/>
          </w:tcPr>
          <w:p>
            <w:pPr>
              <w:rPr>
                <w:rFonts w:eastAsia="宋体"/>
                <w:b/>
                <w:bCs/>
                <w:color w:val="FFFFFF"/>
              </w:rPr>
            </w:pPr>
            <w:r>
              <w:rPr>
                <w:rFonts w:eastAsia="宋体"/>
                <w:b/>
                <w:bCs/>
                <w:color w:val="FFFFFF"/>
              </w:rPr>
              <w:t>Value</w:t>
            </w:r>
          </w:p>
        </w:tc>
      </w:tr>
      <w:tr>
        <w:tblPrEx>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Layout w:type="fixed"/>
          <w:tblCellMar>
            <w:top w:w="0" w:type="dxa"/>
            <w:left w:w="108" w:type="dxa"/>
            <w:bottom w:w="0" w:type="dxa"/>
            <w:right w:w="108" w:type="dxa"/>
          </w:tblCellMar>
        </w:tblPrEx>
        <w:tc>
          <w:tcPr>
            <w:tcW w:w="3595" w:type="dxa"/>
            <w:shd w:val="clear" w:color="auto" w:fill="EDEDED"/>
            <w:vAlign w:val="top"/>
          </w:tcPr>
          <w:p>
            <w:pPr>
              <w:rPr>
                <w:rFonts w:eastAsia="宋体"/>
                <w:b/>
                <w:bCs/>
              </w:rPr>
            </w:pPr>
            <w:r>
              <w:rPr>
                <w:rFonts w:eastAsia="宋体"/>
                <w:b/>
                <w:bCs/>
              </w:rPr>
              <w:t>Carrier frequency</w:t>
            </w:r>
          </w:p>
        </w:tc>
        <w:tc>
          <w:tcPr>
            <w:tcW w:w="6034" w:type="dxa"/>
            <w:shd w:val="clear" w:color="auto" w:fill="EDEDED"/>
            <w:vAlign w:val="top"/>
          </w:tcPr>
          <w:p>
            <w:pPr>
              <w:rPr>
                <w:rFonts w:eastAsia="宋体"/>
              </w:rPr>
            </w:pPr>
            <w:r>
              <w:rPr>
                <w:rFonts w:eastAsia="宋体"/>
              </w:rPr>
              <w:t>1.6GHz</w:t>
            </w:r>
          </w:p>
        </w:tc>
      </w:tr>
      <w:tr>
        <w:tblPrEx>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Layout w:type="fixed"/>
          <w:tblCellMar>
            <w:top w:w="0" w:type="dxa"/>
            <w:left w:w="108" w:type="dxa"/>
            <w:bottom w:w="0" w:type="dxa"/>
            <w:right w:w="108" w:type="dxa"/>
          </w:tblCellMar>
        </w:tblPrEx>
        <w:tc>
          <w:tcPr>
            <w:tcW w:w="3595" w:type="dxa"/>
            <w:vAlign w:val="top"/>
          </w:tcPr>
          <w:p>
            <w:pPr>
              <w:rPr>
                <w:rFonts w:eastAsia="宋体"/>
                <w:b/>
                <w:bCs/>
              </w:rPr>
            </w:pPr>
            <w:r>
              <w:rPr>
                <w:rFonts w:eastAsia="宋体"/>
                <w:b/>
                <w:bCs/>
              </w:rPr>
              <w:t>Channel model</w:t>
            </w:r>
          </w:p>
        </w:tc>
        <w:tc>
          <w:tcPr>
            <w:tcW w:w="6034" w:type="dxa"/>
            <w:vAlign w:val="top"/>
          </w:tcPr>
          <w:p>
            <w:pPr>
              <w:rPr>
                <w:rFonts w:eastAsia="宋体"/>
              </w:rPr>
            </w:pPr>
            <w:r>
              <w:rPr>
                <w:rFonts w:eastAsia="宋体"/>
              </w:rPr>
              <w:t>NTN TDL-C rural, 30 degrees</w:t>
            </w:r>
          </w:p>
        </w:tc>
      </w:tr>
      <w:tr>
        <w:tblPrEx>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Layout w:type="fixed"/>
          <w:tblCellMar>
            <w:top w:w="0" w:type="dxa"/>
            <w:left w:w="108" w:type="dxa"/>
            <w:bottom w:w="0" w:type="dxa"/>
            <w:right w:w="108" w:type="dxa"/>
          </w:tblCellMar>
        </w:tblPrEx>
        <w:tc>
          <w:tcPr>
            <w:tcW w:w="3595" w:type="dxa"/>
            <w:shd w:val="clear" w:color="auto" w:fill="EDEDED"/>
            <w:vAlign w:val="top"/>
          </w:tcPr>
          <w:p>
            <w:pPr>
              <w:rPr>
                <w:rFonts w:eastAsia="宋体"/>
                <w:b/>
                <w:bCs/>
              </w:rPr>
            </w:pPr>
            <w:r>
              <w:rPr>
                <w:rFonts w:eastAsia="宋体"/>
                <w:b/>
                <w:bCs/>
              </w:rPr>
              <w:t>Frequency error / timing drift (including XO error)</w:t>
            </w:r>
          </w:p>
        </w:tc>
        <w:tc>
          <w:tcPr>
            <w:tcW w:w="6034" w:type="dxa"/>
            <w:shd w:val="clear" w:color="auto" w:fill="EDEDED"/>
            <w:vAlign w:val="top"/>
          </w:tcPr>
          <w:p>
            <w:pPr>
              <w:rPr>
                <w:rFonts w:eastAsia="宋体"/>
              </w:rPr>
            </w:pPr>
            <w:r>
              <w:rPr>
                <w:rFonts w:eastAsia="宋体"/>
              </w:rPr>
              <w:t>34 ppm for NPSS / NSSS (24ppm Doppler + 10ppm XO error)</w:t>
            </w:r>
          </w:p>
          <w:p>
            <w:pPr>
              <w:rPr>
                <w:rFonts w:eastAsia="宋体"/>
              </w:rPr>
            </w:pPr>
            <w:r>
              <w:rPr>
                <w:rFonts w:eastAsia="宋体"/>
              </w:rPr>
              <w:t>0.1ppm for NPBCH</w:t>
            </w:r>
          </w:p>
        </w:tc>
      </w:tr>
      <w:tr>
        <w:tblPrEx>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Layout w:type="fixed"/>
          <w:tblCellMar>
            <w:top w:w="0" w:type="dxa"/>
            <w:left w:w="108" w:type="dxa"/>
            <w:bottom w:w="0" w:type="dxa"/>
            <w:right w:w="108" w:type="dxa"/>
          </w:tblCellMar>
        </w:tblPrEx>
        <w:tc>
          <w:tcPr>
            <w:tcW w:w="3595" w:type="dxa"/>
            <w:vAlign w:val="top"/>
          </w:tcPr>
          <w:p>
            <w:pPr>
              <w:rPr>
                <w:rFonts w:eastAsia="宋体"/>
                <w:b/>
                <w:bCs/>
              </w:rPr>
            </w:pPr>
            <w:r>
              <w:rPr>
                <w:rFonts w:eastAsia="宋体"/>
                <w:b/>
                <w:bCs/>
              </w:rPr>
              <w:t>Variation of frequency error / variation of timing drift</w:t>
            </w:r>
          </w:p>
        </w:tc>
        <w:tc>
          <w:tcPr>
            <w:tcW w:w="6034" w:type="dxa"/>
            <w:vAlign w:val="top"/>
          </w:tcPr>
          <w:p>
            <w:pPr>
              <w:rPr>
                <w:rFonts w:eastAsia="宋体"/>
              </w:rPr>
            </w:pPr>
            <w:r>
              <w:rPr>
                <w:rFonts w:eastAsia="宋体"/>
              </w:rPr>
              <w:t>0.27ppm/s for NPSS / NSSS</w:t>
            </w:r>
          </w:p>
          <w:p>
            <w:pPr>
              <w:rPr>
                <w:rFonts w:eastAsia="宋体"/>
              </w:rPr>
            </w:pPr>
            <w:r>
              <w:rPr>
                <w:rFonts w:eastAsia="宋体"/>
              </w:rPr>
              <w:t>0 for NPBCH</w:t>
            </w:r>
          </w:p>
        </w:tc>
      </w:tr>
      <w:tr>
        <w:tblPrEx>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Layout w:type="fixed"/>
          <w:tblCellMar>
            <w:top w:w="0" w:type="dxa"/>
            <w:left w:w="108" w:type="dxa"/>
            <w:bottom w:w="0" w:type="dxa"/>
            <w:right w:w="108" w:type="dxa"/>
          </w:tblCellMar>
        </w:tblPrEx>
        <w:tc>
          <w:tcPr>
            <w:tcW w:w="3595" w:type="dxa"/>
            <w:shd w:val="clear" w:color="auto" w:fill="EDEDED"/>
            <w:vAlign w:val="top"/>
          </w:tcPr>
          <w:p>
            <w:pPr>
              <w:rPr>
                <w:rFonts w:eastAsia="宋体"/>
                <w:b/>
                <w:bCs/>
              </w:rPr>
            </w:pPr>
            <w:r>
              <w:rPr>
                <w:rFonts w:eastAsia="宋体"/>
                <w:b/>
                <w:bCs/>
              </w:rPr>
              <w:t>UE velocity</w:t>
            </w:r>
          </w:p>
        </w:tc>
        <w:tc>
          <w:tcPr>
            <w:tcW w:w="6034" w:type="dxa"/>
            <w:shd w:val="clear" w:color="auto" w:fill="EDEDED"/>
            <w:vAlign w:val="top"/>
          </w:tcPr>
          <w:p>
            <w:pPr>
              <w:rPr>
                <w:rFonts w:eastAsia="宋体"/>
              </w:rPr>
            </w:pPr>
            <w:r>
              <w:rPr>
                <w:rFonts w:eastAsia="宋体"/>
              </w:rPr>
              <w:t>3km/h</w:t>
            </w:r>
          </w:p>
        </w:tc>
      </w:tr>
      <w:tr>
        <w:tblPrEx>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Layout w:type="fixed"/>
          <w:tblCellMar>
            <w:top w:w="0" w:type="dxa"/>
            <w:left w:w="108" w:type="dxa"/>
            <w:bottom w:w="0" w:type="dxa"/>
            <w:right w:w="108" w:type="dxa"/>
          </w:tblCellMar>
        </w:tblPrEx>
        <w:tc>
          <w:tcPr>
            <w:tcW w:w="3595" w:type="dxa"/>
            <w:vAlign w:val="top"/>
          </w:tcPr>
          <w:p>
            <w:pPr>
              <w:rPr>
                <w:rFonts w:eastAsia="宋体"/>
                <w:b/>
                <w:bCs/>
              </w:rPr>
            </w:pPr>
            <w:r>
              <w:rPr>
                <w:rFonts w:eastAsia="宋体"/>
                <w:b/>
                <w:bCs/>
              </w:rPr>
              <w:t>Target performance</w:t>
            </w:r>
          </w:p>
        </w:tc>
        <w:tc>
          <w:tcPr>
            <w:tcW w:w="6034" w:type="dxa"/>
            <w:vAlign w:val="top"/>
          </w:tcPr>
          <w:p>
            <w:pPr>
              <w:rPr>
                <w:rFonts w:eastAsia="宋体"/>
              </w:rPr>
            </w:pPr>
            <w:r>
              <w:rPr>
                <w:rFonts w:eastAsia="宋体"/>
              </w:rPr>
              <w:t>For NPSS/NSSS:</w:t>
            </w:r>
          </w:p>
          <w:p>
            <w:pPr>
              <w:pStyle w:val="100"/>
              <w:numPr>
                <w:ilvl w:val="0"/>
                <w:numId w:val="12"/>
              </w:numPr>
              <w:overflowPunct w:val="0"/>
              <w:autoSpaceDE w:val="0"/>
              <w:autoSpaceDN w:val="0"/>
              <w:adjustRightInd w:val="0"/>
              <w:spacing w:after="180"/>
              <w:ind w:leftChars="0"/>
              <w:contextualSpacing/>
              <w:textAlignment w:val="baseline"/>
              <w:rPr>
                <w:highlight w:val="none"/>
              </w:rPr>
            </w:pPr>
            <w:r>
              <w:t>99% detection probability</w:t>
            </w:r>
            <w:r>
              <w:rPr>
                <w:highlight w:val="none"/>
              </w:rPr>
              <w:t xml:space="preserve"> with 0.1% false alarm rate</w:t>
            </w:r>
          </w:p>
          <w:p>
            <w:pPr>
              <w:pStyle w:val="100"/>
              <w:numPr>
                <w:ilvl w:val="0"/>
                <w:numId w:val="12"/>
              </w:numPr>
              <w:overflowPunct w:val="0"/>
              <w:autoSpaceDE w:val="0"/>
              <w:autoSpaceDN w:val="0"/>
              <w:adjustRightInd w:val="0"/>
              <w:spacing w:after="180"/>
              <w:ind w:leftChars="0"/>
              <w:contextualSpacing/>
              <w:textAlignment w:val="baseline"/>
            </w:pPr>
            <w:r>
              <w:t>FFS: How to define correct detection, including successful timing / frequency estimation / cell ID detection.</w:t>
            </w:r>
          </w:p>
          <w:p>
            <w:pPr>
              <w:rPr>
                <w:rFonts w:eastAsia="宋体"/>
              </w:rPr>
            </w:pPr>
            <w:r>
              <w:rPr>
                <w:rFonts w:eastAsia="宋体"/>
              </w:rPr>
              <w:t>For NPBCH:</w:t>
            </w:r>
          </w:p>
          <w:p>
            <w:pPr>
              <w:pStyle w:val="100"/>
              <w:numPr>
                <w:ilvl w:val="0"/>
                <w:numId w:val="12"/>
              </w:numPr>
              <w:overflowPunct w:val="0"/>
              <w:autoSpaceDE w:val="0"/>
              <w:autoSpaceDN w:val="0"/>
              <w:adjustRightInd w:val="0"/>
              <w:spacing w:after="180"/>
              <w:ind w:leftChars="0"/>
              <w:contextualSpacing/>
              <w:textAlignment w:val="baseline"/>
            </w:pPr>
            <w:r>
              <w:t>1% BLER</w:t>
            </w:r>
          </w:p>
          <w:p>
            <w:r>
              <w:t>For the channels / signals above, acquisition delay shall be reported for the corresponding detection probability</w:t>
            </w:r>
          </w:p>
        </w:tc>
      </w:tr>
      <w:tr>
        <w:tblPrEx>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Layout w:type="fixed"/>
          <w:tblCellMar>
            <w:top w:w="0" w:type="dxa"/>
            <w:left w:w="108" w:type="dxa"/>
            <w:bottom w:w="0" w:type="dxa"/>
            <w:right w:w="108" w:type="dxa"/>
          </w:tblCellMar>
        </w:tblPrEx>
        <w:tc>
          <w:tcPr>
            <w:tcW w:w="3595" w:type="dxa"/>
            <w:shd w:val="clear" w:color="auto" w:fill="EDEDED"/>
            <w:vAlign w:val="top"/>
          </w:tcPr>
          <w:p>
            <w:pPr>
              <w:rPr>
                <w:rFonts w:eastAsia="宋体"/>
                <w:b/>
                <w:bCs/>
              </w:rPr>
            </w:pPr>
            <w:r>
              <w:rPr>
                <w:rFonts w:eastAsia="宋体"/>
                <w:b/>
                <w:bCs/>
              </w:rPr>
              <w:t>Other assumptions (e.g. combining length, frequency error hypothesis, etc.)</w:t>
            </w:r>
          </w:p>
        </w:tc>
        <w:tc>
          <w:tcPr>
            <w:tcW w:w="6034" w:type="dxa"/>
            <w:shd w:val="clear" w:color="auto" w:fill="EDEDED"/>
            <w:vAlign w:val="top"/>
          </w:tcPr>
          <w:p>
            <w:pPr>
              <w:rPr>
                <w:rFonts w:eastAsia="宋体"/>
              </w:rPr>
            </w:pPr>
            <w:r>
              <w:rPr>
                <w:rFonts w:eastAsia="宋体"/>
              </w:rPr>
              <w:t>To be reported and justified by companies</w:t>
            </w:r>
          </w:p>
        </w:tc>
      </w:tr>
    </w:tbl>
    <w:p>
      <w:pPr>
        <w:rPr>
          <w:lang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1"/>
          <w:szCs w:val="21"/>
          <w:lang w:val="en-US" w:eastAsia="zh-CN"/>
        </w:rPr>
      </w:pPr>
      <w:r>
        <w:rPr>
          <w:rFonts w:hint="eastAsia" w:cs="Times New Roman" w:eastAsiaTheme="minorEastAsia"/>
          <w:b w:val="0"/>
          <w:bCs w:val="0"/>
          <w:sz w:val="21"/>
          <w:szCs w:val="21"/>
          <w:lang w:val="en-US" w:eastAsia="zh-CN"/>
        </w:rPr>
        <w:t xml:space="preserve">In our evaluation we assume legacy NB-IoT frame structure and periodicity for NPSS/NSSS/NPBCH, as shown in Fig. 9. But we only perform one-shot detection for NPSS/NSSS and one-shot decoding for NPBCH.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center"/>
        <w:textAlignment w:val="auto"/>
        <w:outlineLvl w:val="9"/>
        <w:rPr>
          <w:rFonts w:hint="eastAsia"/>
        </w:rPr>
      </w:pPr>
      <w:r>
        <w:rPr>
          <w:rFonts w:hint="eastAsia"/>
        </w:rPr>
        <w:drawing>
          <wp:inline distT="0" distB="0" distL="0" distR="0">
            <wp:extent cx="5274310" cy="928370"/>
            <wp:effectExtent l="0" t="0" r="2540" b="508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274310" cy="928370"/>
                    </a:xfrm>
                    <a:prstGeom prst="rect">
                      <a:avLst/>
                    </a:prstGeom>
                    <a:noFill/>
                    <a:ln>
                      <a:noFill/>
                    </a:ln>
                  </pic:spPr>
                </pic:pic>
              </a:graphicData>
            </a:graphic>
          </wp:inline>
        </w:drawing>
      </w:r>
    </w:p>
    <w:p>
      <w:pPr>
        <w:pStyle w:val="4"/>
        <w:spacing w:before="120" w:beforeLines="50"/>
        <w:jc w:val="center"/>
        <w:rPr>
          <w:rFonts w:hint="eastAsia" w:eastAsia="宋体"/>
          <w:lang w:val="en-US" w:eastAsia="zh-CN"/>
        </w:rPr>
      </w:pPr>
      <w:r>
        <w:rPr>
          <w:rFonts w:hint="eastAsia" w:eastAsia="宋体"/>
          <w:lang w:val="en-US" w:eastAsia="zh-CN"/>
        </w:rPr>
        <w:t>Fig. 9: NPSS/NSSS/NPBCH pattern in simulation evaluation</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1"/>
          <w:szCs w:val="21"/>
          <w:lang w:val="en-US" w:eastAsia="zh-CN"/>
        </w:rPr>
      </w:pPr>
      <w:r>
        <w:rPr>
          <w:rFonts w:hint="eastAsia" w:eastAsia="宋体"/>
          <w:lang w:val="en-US" w:eastAsia="zh-CN"/>
        </w:rPr>
        <w:t xml:space="preserve">Our </w:t>
      </w:r>
      <w:r>
        <w:rPr>
          <w:rFonts w:hint="eastAsia" w:cs="Times New Roman" w:eastAsiaTheme="minorEastAsia"/>
          <w:b w:val="0"/>
          <w:bCs w:val="0"/>
          <w:sz w:val="21"/>
          <w:szCs w:val="21"/>
          <w:lang w:val="en-US" w:eastAsia="zh-CN"/>
        </w:rPr>
        <w:t>criteria to determine a correct detection are as follows:</w:t>
      </w:r>
    </w:p>
    <w:p>
      <w:pPr>
        <w:pStyle w:val="4"/>
        <w:keepNext w:val="0"/>
        <w:keepLines w:val="0"/>
        <w:pageBreakBefore w:val="0"/>
        <w:widowControl/>
        <w:numPr>
          <w:ilvl w:val="0"/>
          <w:numId w:val="13"/>
        </w:numPr>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1"/>
          <w:szCs w:val="21"/>
          <w:lang w:val="en-US" w:eastAsia="zh-CN"/>
        </w:rPr>
      </w:pPr>
      <w:r>
        <w:rPr>
          <w:rFonts w:hint="eastAsia" w:cs="Times New Roman" w:eastAsiaTheme="minorEastAsia"/>
          <w:b w:val="0"/>
          <w:bCs w:val="0"/>
          <w:sz w:val="21"/>
          <w:szCs w:val="21"/>
          <w:lang w:val="en-US" w:eastAsia="zh-CN"/>
        </w:rPr>
        <w:t>residual timing error is smaller than CP</w:t>
      </w:r>
    </w:p>
    <w:p>
      <w:pPr>
        <w:pStyle w:val="4"/>
        <w:keepNext w:val="0"/>
        <w:keepLines w:val="0"/>
        <w:pageBreakBefore w:val="0"/>
        <w:widowControl/>
        <w:numPr>
          <w:ilvl w:val="0"/>
          <w:numId w:val="13"/>
        </w:numPr>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1"/>
          <w:szCs w:val="21"/>
          <w:lang w:val="en-US" w:eastAsia="zh-CN"/>
        </w:rPr>
      </w:pPr>
      <w:r>
        <w:rPr>
          <w:rFonts w:hint="eastAsia" w:cs="Times New Roman" w:eastAsiaTheme="minorEastAsia"/>
          <w:b w:val="0"/>
          <w:bCs w:val="0"/>
          <w:sz w:val="21"/>
          <w:szCs w:val="21"/>
          <w:lang w:val="en-US" w:eastAsia="zh-CN"/>
        </w:rPr>
        <w:t>residual frequency error is smaller than 25% of subcarrier spacing</w:t>
      </w:r>
    </w:p>
    <w:p>
      <w:pPr>
        <w:pStyle w:val="4"/>
        <w:keepNext w:val="0"/>
        <w:keepLines w:val="0"/>
        <w:pageBreakBefore w:val="0"/>
        <w:widowControl/>
        <w:numPr>
          <w:ilvl w:val="0"/>
          <w:numId w:val="13"/>
        </w:numPr>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val="0"/>
          <w:bCs w:val="0"/>
          <w:sz w:val="21"/>
          <w:szCs w:val="21"/>
          <w:lang w:val="en-US" w:eastAsia="zh-CN"/>
        </w:rPr>
      </w:pPr>
      <w:r>
        <w:rPr>
          <w:rFonts w:hint="eastAsia" w:cs="Times New Roman" w:eastAsiaTheme="minorEastAsia"/>
          <w:b w:val="0"/>
          <w:bCs w:val="0"/>
          <w:sz w:val="21"/>
          <w:szCs w:val="21"/>
          <w:lang w:val="en-US" w:eastAsia="zh-CN"/>
        </w:rPr>
        <w:t xml:space="preserve">correct cell ID. </w:t>
      </w:r>
    </w:p>
    <w:p>
      <w:pPr>
        <w:pStyle w:val="4"/>
        <w:spacing w:before="120" w:beforeLines="50"/>
        <w:jc w:val="both"/>
        <w:rPr>
          <w:rFonts w:hint="eastAsia" w:eastAsia="宋体"/>
          <w:lang w:val="en-US" w:eastAsia="zh-CN"/>
        </w:rPr>
      </w:pPr>
      <w:r>
        <w:rPr>
          <w:rFonts w:hint="eastAsia" w:eastAsia="宋体"/>
          <w:lang w:val="en-US" w:eastAsia="zh-CN"/>
        </w:rPr>
        <w:t>The NPSS/NSSS detection performance is depicted in Fig. 10, where the required SNR to achieve 99% successful detection probability with 0.1% false alarm rate is -0.2 dB.</w:t>
      </w:r>
    </w:p>
    <w:p>
      <w:pPr>
        <w:pStyle w:val="4"/>
        <w:spacing w:before="120" w:beforeLines="50"/>
        <w:jc w:val="both"/>
        <w:rPr>
          <w:rFonts w:hint="eastAsia" w:eastAsia="宋体"/>
          <w:b/>
          <w:bCs/>
          <w:lang w:val="en-US" w:eastAsia="zh-CN"/>
        </w:rPr>
      </w:pPr>
      <w:r>
        <w:rPr>
          <w:rFonts w:hint="eastAsia" w:eastAsia="宋体"/>
          <w:b/>
          <w:bCs/>
          <w:lang w:val="en-US" w:eastAsia="zh-CN"/>
        </w:rPr>
        <w:t>Observation 12: For NPSS/NSSS detection, the required SNR to achieve 99% successful detection probability with 0.1% false alarm rate is -0.2 dB.</w:t>
      </w:r>
    </w:p>
    <w:p>
      <w:pPr>
        <w:pStyle w:val="4"/>
        <w:spacing w:before="120" w:beforeLines="50"/>
        <w:jc w:val="center"/>
        <w:rPr>
          <w:rFonts w:ascii="Times New Roman" w:hAnsi="Times New Roman" w:eastAsia="楷体" w:cs="Times New Roman"/>
          <w:b/>
          <w:bCs/>
        </w:rPr>
      </w:pPr>
      <w:r>
        <w:rPr>
          <w:rFonts w:ascii="Times New Roman" w:hAnsi="Times New Roman" w:eastAsia="楷体" w:cs="Times New Roman"/>
          <w:b/>
          <w:bCs/>
        </w:rPr>
        <w:drawing>
          <wp:inline distT="0" distB="0" distL="0" distR="0">
            <wp:extent cx="3608070" cy="2706370"/>
            <wp:effectExtent l="0" t="0" r="11430" b="1778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pic:cNvPicPr>
                  </pic:nvPicPr>
                  <pic:blipFill>
                    <a:blip r:embed="rId14"/>
                    <a:stretch>
                      <a:fillRect/>
                    </a:stretch>
                  </pic:blipFill>
                  <pic:spPr>
                    <a:xfrm>
                      <a:off x="0" y="0"/>
                      <a:ext cx="3608070" cy="2706370"/>
                    </a:xfrm>
                    <a:prstGeom prst="rect">
                      <a:avLst/>
                    </a:prstGeom>
                  </pic:spPr>
                </pic:pic>
              </a:graphicData>
            </a:graphic>
          </wp:inline>
        </w:drawing>
      </w:r>
    </w:p>
    <w:p>
      <w:pPr>
        <w:pStyle w:val="4"/>
        <w:spacing w:before="120" w:beforeLines="50"/>
        <w:jc w:val="center"/>
        <w:rPr>
          <w:rFonts w:hint="eastAsia" w:eastAsia="宋体"/>
          <w:lang w:val="en-US" w:eastAsia="zh-CN"/>
        </w:rPr>
      </w:pPr>
      <w:r>
        <w:rPr>
          <w:rFonts w:hint="eastAsia" w:eastAsia="宋体"/>
          <w:lang w:val="en-US" w:eastAsia="zh-CN"/>
        </w:rPr>
        <w:t>Fig. 10: NPSS/NSSS detection performance</w:t>
      </w:r>
    </w:p>
    <w:p>
      <w:pPr>
        <w:pStyle w:val="4"/>
        <w:spacing w:before="120" w:beforeLines="50"/>
        <w:jc w:val="both"/>
        <w:rPr>
          <w:rFonts w:hint="eastAsia" w:eastAsia="宋体"/>
          <w:lang w:val="en-US" w:eastAsia="zh-CN"/>
        </w:rPr>
      </w:pPr>
      <w:r>
        <w:rPr>
          <w:rFonts w:hint="eastAsia" w:eastAsia="宋体"/>
          <w:lang w:val="en-US" w:eastAsia="zh-CN"/>
        </w:rPr>
        <w:t xml:space="preserve">For NPBCH decoding, the info payload is assumed to be 34+24 CRC = 58 bits, which leads to the code rate being 58/200. The BLER performance is shown in Fig. 11, where the required SNR to achieve BLER 1% is 1.4 dB. </w:t>
      </w:r>
    </w:p>
    <w:p>
      <w:pPr>
        <w:pStyle w:val="4"/>
        <w:spacing w:before="120" w:beforeLines="50"/>
        <w:jc w:val="center"/>
        <w:rPr>
          <w:rFonts w:ascii="Times New Roman" w:hAnsi="Times New Roman" w:eastAsia="楷体" w:cs="Times New Roman"/>
          <w:b/>
          <w:bCs/>
        </w:rPr>
      </w:pPr>
      <w:r>
        <w:rPr>
          <w:rFonts w:ascii="Times New Roman" w:hAnsi="Times New Roman" w:eastAsia="楷体" w:cs="Times New Roman"/>
          <w:b/>
          <w:bCs/>
        </w:rPr>
        <w:drawing>
          <wp:inline distT="0" distB="0" distL="0" distR="0">
            <wp:extent cx="3554095" cy="2665730"/>
            <wp:effectExtent l="0" t="0" r="8255" b="127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pic:cNvPicPr>
                      <a:picLocks noChangeAspect="1"/>
                    </pic:cNvPicPr>
                  </pic:nvPicPr>
                  <pic:blipFill>
                    <a:blip r:embed="rId15"/>
                    <a:stretch>
                      <a:fillRect/>
                    </a:stretch>
                  </pic:blipFill>
                  <pic:spPr>
                    <a:xfrm>
                      <a:off x="0" y="0"/>
                      <a:ext cx="3554095" cy="2665730"/>
                    </a:xfrm>
                    <a:prstGeom prst="rect">
                      <a:avLst/>
                    </a:prstGeom>
                  </pic:spPr>
                </pic:pic>
              </a:graphicData>
            </a:graphic>
          </wp:inline>
        </w:drawing>
      </w:r>
    </w:p>
    <w:p>
      <w:pPr>
        <w:pStyle w:val="4"/>
        <w:spacing w:before="120" w:beforeLines="50"/>
        <w:jc w:val="center"/>
        <w:rPr>
          <w:rFonts w:hint="eastAsia" w:eastAsia="宋体"/>
          <w:lang w:val="en-US" w:eastAsia="zh-CN"/>
        </w:rPr>
      </w:pPr>
      <w:r>
        <w:rPr>
          <w:rFonts w:hint="eastAsia" w:eastAsia="宋体"/>
          <w:lang w:val="en-US" w:eastAsia="zh-CN"/>
        </w:rPr>
        <w:t>Fig. 11: NPBCH BLER performance</w:t>
      </w:r>
    </w:p>
    <w:p>
      <w:pPr>
        <w:pStyle w:val="4"/>
        <w:spacing w:before="120" w:beforeLines="50"/>
        <w:jc w:val="both"/>
        <w:rPr>
          <w:rFonts w:hint="eastAsia" w:eastAsia="宋体"/>
          <w:b/>
          <w:bCs/>
          <w:lang w:val="en-US" w:eastAsia="zh-CN"/>
        </w:rPr>
      </w:pPr>
      <w:r>
        <w:rPr>
          <w:rFonts w:hint="eastAsia" w:eastAsia="宋体"/>
          <w:b/>
          <w:bCs/>
          <w:lang w:val="en-US" w:eastAsia="zh-CN"/>
        </w:rPr>
        <w:t>Observation 13: For NPBCH decoding, the required SNR to achieve 1% BLER  is 1.4 dB.</w:t>
      </w:r>
    </w:p>
    <w:p>
      <w:pPr>
        <w:pStyle w:val="4"/>
        <w:spacing w:before="120" w:beforeLines="50"/>
        <w:jc w:val="both"/>
        <w:rPr>
          <w:rFonts w:hint="eastAsia" w:eastAsia="宋体"/>
          <w:lang w:val="en-US" w:eastAsia="zh-CN"/>
        </w:rPr>
      </w:pPr>
    </w:p>
    <w:p>
      <w:pPr>
        <w:pStyle w:val="2"/>
        <w:jc w:val="both"/>
        <w:rPr>
          <w:rFonts w:hint="default" w:ascii="Times New Roman" w:hAnsi="Times New Roman" w:cs="Times New Roman"/>
        </w:rPr>
      </w:pPr>
      <w:r>
        <w:rPr>
          <w:rFonts w:hint="default" w:ascii="Times New Roman" w:hAnsi="Times New Roman" w:cs="Times New Roman"/>
        </w:rPr>
        <w:t>Conclusion</w:t>
      </w:r>
    </w:p>
    <w:p>
      <w:pPr>
        <w:pStyle w:val="4"/>
        <w:keepNext w:val="0"/>
        <w:keepLines w:val="0"/>
        <w:pageBreakBefore w:val="0"/>
        <w:widowControl/>
        <w:kinsoku/>
        <w:wordWrap/>
        <w:overflowPunct/>
        <w:topLinePunct w:val="0"/>
        <w:autoSpaceDE/>
        <w:autoSpaceDN/>
        <w:bidi w:val="0"/>
        <w:adjustRightInd/>
        <w:snapToGrid/>
        <w:spacing w:before="120" w:beforeLines="50" w:after="120" w:line="240" w:lineRule="auto"/>
        <w:ind w:left="0" w:leftChars="0" w:right="0" w:rightChars="0" w:firstLine="0" w:firstLineChars="0"/>
        <w:jc w:val="both"/>
        <w:textAlignment w:val="auto"/>
        <w:outlineLvl w:val="9"/>
        <w:rPr>
          <w:rFonts w:hint="default" w:ascii="Times New Roman" w:hAnsi="Times New Roman" w:eastAsia="等线" w:cs="Times New Roman"/>
          <w:szCs w:val="20"/>
          <w:lang w:eastAsia="zh-CN"/>
        </w:rPr>
      </w:pPr>
      <w:r>
        <w:rPr>
          <w:rFonts w:hint="default" w:ascii="Times New Roman" w:hAnsi="Times New Roman" w:eastAsia="等线" w:cs="Times New Roman"/>
          <w:szCs w:val="20"/>
          <w:lang w:eastAsia="zh-CN"/>
        </w:rPr>
        <w:t xml:space="preserve">In this contribution, we provide </w:t>
      </w:r>
      <w:r>
        <w:rPr>
          <w:rFonts w:hint="default" w:ascii="Times New Roman" w:hAnsi="Times New Roman" w:eastAsia="等线" w:cs="Times New Roman"/>
          <w:szCs w:val="20"/>
          <w:lang w:val="en-US" w:eastAsia="zh-CN"/>
        </w:rPr>
        <w:t xml:space="preserve">an analysis on the potential issues on the downlink synchronization for NB-IoT TDD mode. Based on the analysis we give some observations and proposals for the future work.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eastAsia="等线" w:cs="Times New Roman"/>
          <w:b/>
          <w:bCs/>
          <w:szCs w:val="20"/>
          <w:lang w:val="en-US" w:eastAsia="zh-CN"/>
        </w:rPr>
      </w:pPr>
      <w:r>
        <w:rPr>
          <w:rFonts w:hint="eastAsia" w:cs="Times New Roman" w:eastAsiaTheme="minorEastAsia"/>
          <w:b/>
          <w:bCs/>
          <w:sz w:val="21"/>
          <w:szCs w:val="21"/>
          <w:lang w:val="en-US" w:eastAsia="zh-CN"/>
        </w:rPr>
        <w:t xml:space="preserve">Observation 1: </w:t>
      </w:r>
      <w:r>
        <w:rPr>
          <w:rFonts w:hint="eastAsia" w:eastAsia="等线" w:cs="Times New Roman"/>
          <w:b/>
          <w:bCs/>
          <w:szCs w:val="20"/>
          <w:lang w:val="en-US" w:eastAsia="zh-CN"/>
        </w:rPr>
        <w:t>the WID scope does not explicitly mention the requirement of the coexistence, more clarification of WID scope is needed from RAN plenary.</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eastAsia="等线" w:cs="Times New Roman"/>
          <w:b/>
          <w:bCs/>
          <w:szCs w:val="20"/>
          <w:lang w:val="en-US" w:eastAsia="zh-CN"/>
        </w:rPr>
      </w:pPr>
      <w:r>
        <w:rPr>
          <w:rFonts w:hint="eastAsia" w:eastAsia="等线" w:cs="Times New Roman"/>
          <w:b/>
          <w:bCs/>
          <w:szCs w:val="20"/>
          <w:lang w:val="en-US" w:eastAsia="zh-CN"/>
        </w:rPr>
        <w:t>Observation 2: according to Iridium</w:t>
      </w:r>
      <w:r>
        <w:rPr>
          <w:rFonts w:hint="default" w:eastAsia="等线" w:cs="Times New Roman"/>
          <w:b/>
          <w:bCs/>
          <w:szCs w:val="20"/>
          <w:lang w:val="en-US" w:eastAsia="zh-CN"/>
        </w:rPr>
        <w:t>’</w:t>
      </w:r>
      <w:r>
        <w:rPr>
          <w:rFonts w:hint="eastAsia" w:eastAsia="等线" w:cs="Times New Roman"/>
          <w:b/>
          <w:bCs/>
          <w:szCs w:val="20"/>
          <w:lang w:val="en-US" w:eastAsia="zh-CN"/>
        </w:rPr>
        <w:t>s clarification, for coexistence with Iridium</w:t>
      </w:r>
      <w:r>
        <w:rPr>
          <w:rFonts w:hint="default" w:eastAsia="等线" w:cs="Times New Roman"/>
          <w:b/>
          <w:bCs/>
          <w:szCs w:val="20"/>
          <w:lang w:val="en-US" w:eastAsia="zh-CN"/>
        </w:rPr>
        <w:t>’</w:t>
      </w:r>
      <w:r>
        <w:rPr>
          <w:rFonts w:hint="eastAsia" w:eastAsia="等线" w:cs="Times New Roman"/>
          <w:b/>
          <w:bCs/>
          <w:szCs w:val="20"/>
          <w:lang w:val="en-US" w:eastAsia="zh-CN"/>
        </w:rPr>
        <w:t>s existing service, the design restriction for IoT NTN TDD is as follows:</w:t>
      </w:r>
    </w:p>
    <w:p>
      <w:pPr>
        <w:pStyle w:val="4"/>
        <w:keepNext w:val="0"/>
        <w:keepLines w:val="0"/>
        <w:pageBreakBefore w:val="0"/>
        <w:widowControl/>
        <w:numPr>
          <w:ilvl w:val="0"/>
          <w:numId w:val="14"/>
        </w:numPr>
        <w:kinsoku/>
        <w:wordWrap/>
        <w:overflowPunct/>
        <w:topLinePunct w:val="0"/>
        <w:autoSpaceDE/>
        <w:autoSpaceDN/>
        <w:bidi w:val="0"/>
        <w:adjustRightInd/>
        <w:snapToGrid/>
        <w:spacing w:after="120" w:line="240" w:lineRule="auto"/>
        <w:ind w:left="420" w:leftChars="0" w:right="0" w:rightChars="0" w:firstLine="0" w:firstLineChars="0"/>
        <w:jc w:val="both"/>
        <w:textAlignment w:val="auto"/>
        <w:outlineLvl w:val="9"/>
        <w:rPr>
          <w:rFonts w:hint="eastAsia" w:eastAsia="宋体"/>
          <w:b/>
          <w:bCs/>
          <w:lang w:val="en-US" w:eastAsia="zh-CN"/>
        </w:rPr>
      </w:pPr>
      <w:r>
        <w:rPr>
          <w:rFonts w:hint="eastAsia" w:eastAsia="等线" w:cs="Times New Roman"/>
          <w:b/>
          <w:bCs/>
          <w:szCs w:val="20"/>
          <w:lang w:val="en-US" w:eastAsia="zh-CN"/>
        </w:rPr>
        <w:t xml:space="preserve"> </w:t>
      </w:r>
      <w:r>
        <w:rPr>
          <w:rFonts w:hint="eastAsia" w:eastAsia="宋体"/>
          <w:b/>
          <w:bCs/>
          <w:lang w:val="en-US" w:eastAsia="zh-CN"/>
        </w:rPr>
        <w:t>TDMA period is 90 ms</w:t>
      </w:r>
    </w:p>
    <w:p>
      <w:pPr>
        <w:pStyle w:val="4"/>
        <w:keepNext w:val="0"/>
        <w:keepLines w:val="0"/>
        <w:pageBreakBefore w:val="0"/>
        <w:widowControl/>
        <w:numPr>
          <w:ilvl w:val="0"/>
          <w:numId w:val="14"/>
        </w:numPr>
        <w:kinsoku/>
        <w:wordWrap/>
        <w:overflowPunct/>
        <w:topLinePunct w:val="0"/>
        <w:autoSpaceDE/>
        <w:autoSpaceDN/>
        <w:bidi w:val="0"/>
        <w:adjustRightInd/>
        <w:snapToGrid/>
        <w:spacing w:after="120" w:line="240" w:lineRule="auto"/>
        <w:ind w:left="420" w:leftChars="0" w:right="0" w:rightChars="0" w:firstLine="0" w:firstLineChars="0"/>
        <w:jc w:val="both"/>
        <w:textAlignment w:val="auto"/>
        <w:outlineLvl w:val="9"/>
        <w:rPr>
          <w:rFonts w:hint="eastAsia" w:eastAsia="宋体"/>
          <w:b/>
          <w:bCs/>
          <w:lang w:val="en-US" w:eastAsia="zh-CN"/>
        </w:rPr>
      </w:pPr>
      <w:r>
        <w:rPr>
          <w:rFonts w:hint="eastAsia" w:eastAsia="宋体"/>
          <w:b/>
          <w:bCs/>
          <w:lang w:val="en-US" w:eastAsia="zh-CN"/>
        </w:rPr>
        <w:t>IoT NTN uplink transmissions can only be restricted in the UL slot of Iridium TDMA structure, where the UL slot has a duration of 8.28 ms</w:t>
      </w:r>
    </w:p>
    <w:p>
      <w:pPr>
        <w:pStyle w:val="4"/>
        <w:keepNext w:val="0"/>
        <w:keepLines w:val="0"/>
        <w:pageBreakBefore w:val="0"/>
        <w:widowControl/>
        <w:numPr>
          <w:ilvl w:val="0"/>
          <w:numId w:val="14"/>
        </w:numPr>
        <w:kinsoku/>
        <w:wordWrap/>
        <w:overflowPunct/>
        <w:topLinePunct w:val="0"/>
        <w:autoSpaceDE/>
        <w:autoSpaceDN/>
        <w:bidi w:val="0"/>
        <w:adjustRightInd/>
        <w:snapToGrid/>
        <w:spacing w:after="120" w:line="240" w:lineRule="auto"/>
        <w:ind w:left="420" w:leftChars="0" w:right="0" w:rightChars="0" w:firstLine="0" w:firstLineChars="0"/>
        <w:jc w:val="both"/>
        <w:textAlignment w:val="auto"/>
        <w:outlineLvl w:val="9"/>
        <w:rPr>
          <w:rFonts w:hint="eastAsia" w:eastAsia="宋体"/>
          <w:b/>
          <w:bCs/>
          <w:lang w:val="en-US" w:eastAsia="zh-CN"/>
        </w:rPr>
      </w:pPr>
      <w:r>
        <w:rPr>
          <w:rFonts w:hint="eastAsia" w:eastAsia="宋体"/>
          <w:b/>
          <w:bCs/>
          <w:lang w:val="en-US" w:eastAsia="zh-CN"/>
        </w:rPr>
        <w:t>IoT NTN downlink transmissions can only be restricted in the DL slot of Iridium TDMA structure, where the DL slot has a duration of 8.28 ms</w:t>
      </w:r>
    </w:p>
    <w:p>
      <w:pPr>
        <w:pStyle w:val="4"/>
        <w:keepNext w:val="0"/>
        <w:keepLines w:val="0"/>
        <w:pageBreakBefore w:val="0"/>
        <w:widowControl/>
        <w:numPr>
          <w:ilvl w:val="0"/>
          <w:numId w:val="14"/>
        </w:numPr>
        <w:kinsoku/>
        <w:wordWrap/>
        <w:overflowPunct/>
        <w:topLinePunct w:val="0"/>
        <w:autoSpaceDE/>
        <w:autoSpaceDN/>
        <w:bidi w:val="0"/>
        <w:adjustRightInd/>
        <w:snapToGrid/>
        <w:spacing w:after="120" w:line="240" w:lineRule="auto"/>
        <w:ind w:left="420" w:leftChars="0" w:right="0" w:rightChars="0" w:firstLine="0" w:firstLineChars="0"/>
        <w:jc w:val="both"/>
        <w:textAlignment w:val="auto"/>
        <w:outlineLvl w:val="9"/>
        <w:rPr>
          <w:rFonts w:hint="default" w:eastAsia="等线" w:cs="Times New Roman"/>
          <w:szCs w:val="20"/>
          <w:lang w:val="en-US" w:eastAsia="zh-CN"/>
        </w:rPr>
      </w:pPr>
      <w:r>
        <w:rPr>
          <w:rFonts w:hint="eastAsia" w:eastAsia="宋体"/>
          <w:b/>
          <w:bCs/>
          <w:lang w:val="en-US" w:eastAsia="zh-CN"/>
        </w:rPr>
        <w:t xml:space="preserve">No transmission is allowed within any of the guard period of the Iridium TDMA structure, where the duration of each of the guard period is not disclosed to 3GPP.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eastAsia" w:cs="Times New Roman"/>
          <w:b/>
          <w:bCs/>
          <w:lang w:val="en-US" w:eastAsia="zh-CN"/>
        </w:rPr>
      </w:pPr>
      <w:r>
        <w:rPr>
          <w:rStyle w:val="96"/>
          <w:rFonts w:hint="eastAsia" w:cs="Times New Roman"/>
          <w:b/>
          <w:bCs/>
          <w:lang w:val="en-US" w:eastAsia="zh-CN"/>
        </w:rPr>
        <w:t>Observation 3: The of N=9 is intended for the co-exsitence case, according to above mentioned design restriction (3), the consecutive downlink subframes should be within a DL slot, which is 8.28 ms. Thus, for D=20 and D=30 cases, not all the DL subframes are available for IoT NTN transmission.</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eastAsia" w:cs="Times New Roman"/>
          <w:b/>
          <w:bCs/>
          <w:lang w:val="en-US" w:eastAsia="zh-CN"/>
        </w:rPr>
      </w:pPr>
      <w:r>
        <w:rPr>
          <w:rStyle w:val="96"/>
          <w:rFonts w:hint="eastAsia" w:cs="Times New Roman"/>
          <w:b/>
          <w:bCs/>
          <w:lang w:val="en-US" w:eastAsia="zh-CN"/>
        </w:rPr>
        <w:t xml:space="preserve">Observation 4: Due to the design restriction (4), the concrete guard period duration is transparent to 3GPP. Therefore, for UE performing initial DL synchronization, the UE should assume that D=8. The eNB should be responsible to ensure that the D subframes are within a Iridium DL slot.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eastAsia" w:cs="Times New Roman"/>
          <w:b/>
          <w:bCs/>
          <w:lang w:val="en-US" w:eastAsia="zh-CN"/>
        </w:rPr>
      </w:pPr>
      <w:r>
        <w:rPr>
          <w:rStyle w:val="96"/>
          <w:rFonts w:hint="eastAsia" w:cs="Times New Roman"/>
          <w:b/>
          <w:bCs/>
          <w:lang w:val="en-US" w:eastAsia="zh-CN"/>
        </w:rPr>
        <w:t xml:space="preserve">Observation 5: If D=8 and N=9 are assumed for the initial DL synchronization, the D location with respect to SFN framing can be of 4 possible choices. One option is to assume a default D location, or the other option is that not to assume default D location and leave for eNB implementation. But for NSSS detection, option 2 may lead to increased UE blind detection power consumption.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ascii="Times New Roman" w:hAnsi="Times New Roman" w:eastAsia="等线" w:cs="Times New Roman"/>
          <w:szCs w:val="20"/>
          <w:lang w:val="en-US" w:eastAsia="zh-CN"/>
        </w:rPr>
      </w:pPr>
      <w:r>
        <w:rPr>
          <w:rStyle w:val="96"/>
          <w:rFonts w:hint="eastAsia" w:cs="Times New Roman"/>
          <w:b/>
          <w:bCs/>
          <w:lang w:val="en-US" w:eastAsia="zh-CN"/>
        </w:rPr>
        <w:t>Observation 6: I</w:t>
      </w:r>
      <w:r>
        <w:rPr>
          <w:rFonts w:hint="eastAsia" w:ascii="Times New Roman" w:hAnsi="Times New Roman" w:eastAsia="等线" w:cs="Times New Roman"/>
          <w:b/>
          <w:bCs/>
          <w:szCs w:val="20"/>
          <w:lang w:val="en-US" w:eastAsia="zh-CN"/>
        </w:rPr>
        <w:t xml:space="preserve">f only set-1 satellite is considered for future deployment, the NPBCH coverage seems good enough even without any repetition. Thus, NPBCH does not need further enhancement.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eastAsia" w:cs="Times New Roman"/>
          <w:b/>
          <w:bCs/>
          <w:lang w:val="en-US" w:eastAsia="zh-CN"/>
        </w:rPr>
      </w:pPr>
      <w:r>
        <w:rPr>
          <w:rStyle w:val="96"/>
          <w:rFonts w:hint="eastAsia" w:cs="Times New Roman"/>
          <w:b/>
          <w:bCs/>
          <w:lang w:val="en-US" w:eastAsia="zh-CN"/>
        </w:rPr>
        <w:t xml:space="preserve">Observation 7: In order to fully accomplish DL synchronization, it is expected that the periodic TDD pattern remains the same cross different H-SFN. Thus, we can reuse the legacy interpretation of SFN index indication/H-SFN index indication in MIB. </w:t>
      </w:r>
    </w:p>
    <w:p>
      <w:pPr>
        <w:pStyle w:val="4"/>
        <w:spacing w:before="120" w:beforeLines="50"/>
        <w:jc w:val="both"/>
        <w:rPr>
          <w:rFonts w:hint="default" w:ascii="Times New Roman" w:hAnsi="Times New Roman" w:eastAsia="等线" w:cs="Times New Roman"/>
          <w:b/>
          <w:bCs/>
          <w:szCs w:val="20"/>
          <w:lang w:val="en-US" w:eastAsia="zh-CN"/>
        </w:rPr>
      </w:pPr>
      <w:r>
        <w:rPr>
          <w:rFonts w:hint="eastAsia" w:eastAsia="等线" w:cs="Times New Roman"/>
          <w:b/>
          <w:bCs/>
          <w:szCs w:val="20"/>
          <w:lang w:val="en-US" w:eastAsia="zh-CN"/>
        </w:rPr>
        <w:t xml:space="preserve">Observation 8: </w:t>
      </w:r>
      <w:r>
        <w:rPr>
          <w:rFonts w:hint="default" w:ascii="Times New Roman" w:hAnsi="Times New Roman" w:eastAsia="等线" w:cs="Times New Roman"/>
          <w:b/>
          <w:bCs/>
          <w:szCs w:val="20"/>
          <w:lang w:val="en-US" w:eastAsia="zh-CN"/>
        </w:rPr>
        <w:t xml:space="preserve">In legacy system, the SIB1-NB transmission period is 2560 ms, where one SIB1-NB is transmitted over 160 ms (i.e., 16 radio frames). Over the 160 ms, the actual SIB1-NB transmission is over 8 alternate radio frames. This SIB1-NB transmission may not compatible with periodic pattern </w:t>
      </w:r>
      <w:r>
        <w:rPr>
          <w:rFonts w:hint="eastAsia" w:ascii="Times New Roman" w:hAnsi="Times New Roman" w:eastAsia="等线" w:cs="Times New Roman"/>
          <w:b/>
          <w:bCs/>
          <w:szCs w:val="20"/>
          <w:lang w:val="en-US" w:eastAsia="zh-CN"/>
        </w:rPr>
        <w:t>and</w:t>
      </w:r>
      <w:r>
        <w:rPr>
          <w:rFonts w:hint="default" w:ascii="Times New Roman" w:hAnsi="Times New Roman" w:eastAsia="等线" w:cs="Times New Roman"/>
          <w:b/>
          <w:bCs/>
          <w:szCs w:val="20"/>
          <w:lang w:val="en-US" w:eastAsia="zh-CN"/>
        </w:rPr>
        <w:t xml:space="preserve"> would lead to a shortage of SIB1-NB resources. </w:t>
      </w:r>
    </w:p>
    <w:p>
      <w:pPr>
        <w:pStyle w:val="4"/>
        <w:spacing w:before="120" w:beforeLines="50"/>
        <w:jc w:val="both"/>
        <w:rPr>
          <w:rFonts w:hint="eastAsia" w:ascii="Times New Roman" w:hAnsi="Times New Roman" w:eastAsia="等线" w:cs="Times New Roman"/>
          <w:b/>
          <w:bCs/>
          <w:szCs w:val="20"/>
          <w:lang w:val="en-US" w:eastAsia="zh-CN"/>
        </w:rPr>
      </w:pPr>
      <w:r>
        <w:rPr>
          <w:rFonts w:hint="eastAsia" w:eastAsia="等线" w:cs="Times New Roman"/>
          <w:b/>
          <w:bCs/>
          <w:szCs w:val="20"/>
          <w:lang w:val="en-US" w:eastAsia="zh-CN"/>
        </w:rPr>
        <w:t>Observation 9: I</w:t>
      </w:r>
      <w:r>
        <w:rPr>
          <w:rFonts w:hint="eastAsia"/>
          <w:b/>
          <w:bCs/>
          <w:sz w:val="20"/>
          <w:lang w:val="en-US" w:eastAsia="zh-CN"/>
        </w:rPr>
        <w:t>n legacy NB-IoT system, the SI window length, and period is defined under power of 2 (2^n) constraint, which is co-prime of 90 ms. In this case, the legacy design will result in issue that the UE may not get SIB within periodic D subframe.</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1"/>
          <w:szCs w:val="21"/>
          <w:lang w:val="en-US" w:eastAsia="zh-CN"/>
        </w:rPr>
      </w:pPr>
      <w:r>
        <w:rPr>
          <w:rFonts w:hint="eastAsia" w:eastAsia="宋体"/>
          <w:b/>
          <w:bCs/>
          <w:lang w:val="en-US" w:eastAsia="zh-CN"/>
        </w:rPr>
        <w:t xml:space="preserve">Observation 10: </w:t>
      </w:r>
      <w:r>
        <w:rPr>
          <w:rFonts w:hint="eastAsia" w:cs="Times New Roman" w:eastAsiaTheme="minorEastAsia"/>
          <w:b/>
          <w:bCs/>
          <w:sz w:val="21"/>
          <w:szCs w:val="21"/>
          <w:lang w:val="en-US" w:eastAsia="zh-CN"/>
        </w:rPr>
        <w:t>When the UE receives SIB1-NB, eNB can configure larger value of D for better system throughput. However, due to the actual guard period of Iridium</w:t>
      </w:r>
      <w:r>
        <w:rPr>
          <w:rFonts w:hint="default" w:cs="Times New Roman" w:eastAsiaTheme="minorEastAsia"/>
          <w:b/>
          <w:bCs/>
          <w:sz w:val="21"/>
          <w:szCs w:val="21"/>
          <w:lang w:val="en-US" w:eastAsia="zh-CN"/>
        </w:rPr>
        <w:t>’</w:t>
      </w:r>
      <w:r>
        <w:rPr>
          <w:rFonts w:hint="eastAsia" w:cs="Times New Roman" w:eastAsiaTheme="minorEastAsia"/>
          <w:b/>
          <w:bCs/>
          <w:sz w:val="21"/>
          <w:szCs w:val="21"/>
          <w:lang w:val="en-US" w:eastAsia="zh-CN"/>
        </w:rPr>
        <w:t>s TDMA structure is transparent to 3GPP, the network can configure a guard period in D subframes that separates it into multiple sets of consecutive subframes (D subframe sets). The guard period location and length can be provided by SIB1-NB and the eNB ensures that the guard period is conform to Iridium TDMA structure.</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1"/>
          <w:szCs w:val="21"/>
          <w:lang w:val="en-US" w:eastAsia="zh-CN"/>
        </w:rPr>
      </w:pPr>
      <w:r>
        <w:rPr>
          <w:rFonts w:hint="eastAsia" w:cs="Times New Roman" w:eastAsiaTheme="minorEastAsia"/>
          <w:b/>
          <w:bCs/>
          <w:sz w:val="21"/>
          <w:szCs w:val="21"/>
          <w:lang w:val="en-US" w:eastAsia="zh-CN"/>
        </w:rPr>
        <w:t xml:space="preserve">Observation 11: The DL sync can be performed only in default D subframe, in which no guard period is assumed. Moreover, in D subframe set, it is not assumed to transmit NPSS/NSSS/NPBCH/SIB1-NB, so that eNB can have more degree of freedom to configure the guard period, which does not impact the DL synchronization. </w:t>
      </w:r>
    </w:p>
    <w:p>
      <w:pPr>
        <w:pStyle w:val="4"/>
        <w:spacing w:before="120" w:beforeLines="50"/>
        <w:jc w:val="both"/>
        <w:rPr>
          <w:rFonts w:hint="eastAsia" w:eastAsia="宋体"/>
          <w:b/>
          <w:bCs/>
          <w:lang w:val="en-US" w:eastAsia="zh-CN"/>
        </w:rPr>
      </w:pPr>
      <w:r>
        <w:rPr>
          <w:rFonts w:hint="eastAsia" w:eastAsia="宋体"/>
          <w:b/>
          <w:bCs/>
          <w:lang w:val="en-US" w:eastAsia="zh-CN"/>
        </w:rPr>
        <w:t>Observation 12: For NPSS/NSSS detection, the required SNR to achieve 99% successful detection probability with 0.1% false alarm rate is -0.2 dB.</w:t>
      </w:r>
    </w:p>
    <w:p>
      <w:pPr>
        <w:pStyle w:val="4"/>
        <w:spacing w:before="120" w:beforeLines="50"/>
        <w:jc w:val="both"/>
        <w:rPr>
          <w:rFonts w:hint="eastAsia" w:eastAsia="宋体"/>
          <w:b/>
          <w:bCs/>
          <w:lang w:val="en-US" w:eastAsia="zh-CN"/>
        </w:rPr>
      </w:pPr>
      <w:r>
        <w:rPr>
          <w:rFonts w:hint="eastAsia" w:eastAsia="宋体"/>
          <w:b/>
          <w:bCs/>
          <w:lang w:val="en-US" w:eastAsia="zh-CN"/>
        </w:rPr>
        <w:t>Observation 13: For NPBCH decoding, the required SNR to achieve 1% BLER  is 1.4 dB.</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1"/>
          <w:szCs w:val="21"/>
          <w:lang w:val="en-US" w:eastAsia="zh-CN"/>
        </w:rPr>
      </w:pP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eastAsia="宋体"/>
          <w:b/>
          <w:bCs/>
          <w:lang w:val="en-US" w:eastAsia="zh-CN"/>
        </w:rPr>
      </w:pPr>
      <w:r>
        <w:rPr>
          <w:rFonts w:hint="eastAsia" w:eastAsia="等线" w:cs="Times New Roman"/>
          <w:b/>
          <w:bCs/>
          <w:szCs w:val="20"/>
          <w:lang w:val="en-US" w:eastAsia="zh-CN"/>
        </w:rPr>
        <w:t>Proposal 1: RAN1 could continue discussing the design details for IoT NTN TDD to achieve the coexistence with Iridium</w:t>
      </w:r>
      <w:r>
        <w:rPr>
          <w:rFonts w:hint="default" w:eastAsia="等线" w:cs="Times New Roman"/>
          <w:b/>
          <w:bCs/>
          <w:szCs w:val="20"/>
          <w:lang w:val="en-US" w:eastAsia="zh-CN"/>
        </w:rPr>
        <w:t>’</w:t>
      </w:r>
      <w:r>
        <w:rPr>
          <w:rFonts w:hint="eastAsia" w:eastAsia="等线" w:cs="Times New Roman"/>
          <w:b/>
          <w:bCs/>
          <w:szCs w:val="20"/>
          <w:lang w:val="en-US" w:eastAsia="zh-CN"/>
        </w:rPr>
        <w:t xml:space="preserve">s existing service in </w:t>
      </w:r>
      <w:r>
        <w:rPr>
          <w:b/>
          <w:bCs/>
        </w:rPr>
        <w:t>1616-1626.5 MHz MSS allocated band</w:t>
      </w:r>
      <w:r>
        <w:rPr>
          <w:rFonts w:hint="eastAsia" w:eastAsia="宋体"/>
          <w:b/>
          <w:bCs/>
          <w:lang w:val="en-US" w:eastAsia="zh-CN"/>
        </w:rPr>
        <w:t>. But RAN1 draws a recommendation to RAN plenary to clarify the WID scope during the checkpoint in RAN#106.</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eastAsia" w:cs="Times New Roman"/>
          <w:b/>
          <w:bCs/>
          <w:lang w:val="en-US" w:eastAsia="zh-CN"/>
        </w:rPr>
      </w:pPr>
      <w:r>
        <w:rPr>
          <w:rStyle w:val="96"/>
          <w:rFonts w:hint="eastAsia" w:cs="Times New Roman"/>
          <w:b/>
          <w:bCs/>
          <w:lang w:val="en-US" w:eastAsia="zh-CN"/>
        </w:rPr>
        <w:t xml:space="preserve">Proposal 2: For initial DL synchronization, UE assumes D=8, N=9 and a default D location respect to SFN framing.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eastAsia" w:cs="Times New Roman"/>
          <w:b/>
          <w:bCs/>
          <w:lang w:val="en-US" w:eastAsia="zh-CN"/>
        </w:rPr>
      </w:pPr>
      <w:r>
        <w:rPr>
          <w:rStyle w:val="96"/>
          <w:rFonts w:hint="eastAsia" w:cs="Times New Roman"/>
          <w:b/>
          <w:bCs/>
          <w:lang w:val="en-US" w:eastAsia="zh-CN"/>
        </w:rPr>
        <w:t xml:space="preserve">Proposal 3: Consider to shorten H-SFN length by cutting off 16 radio frames. </w:t>
      </w:r>
    </w:p>
    <w:p>
      <w:pPr>
        <w:pStyle w:val="4"/>
        <w:spacing w:before="120" w:beforeLines="50"/>
        <w:jc w:val="both"/>
        <w:rPr>
          <w:rFonts w:hint="default" w:eastAsia="等线" w:cs="Times New Roman"/>
          <w:b/>
          <w:bCs/>
          <w:szCs w:val="20"/>
          <w:lang w:val="en-US" w:eastAsia="zh-CN"/>
        </w:rPr>
      </w:pPr>
      <w:r>
        <w:rPr>
          <w:rFonts w:hint="eastAsia" w:eastAsia="等线" w:cs="Times New Roman"/>
          <w:b/>
          <w:bCs/>
          <w:szCs w:val="20"/>
          <w:lang w:val="en-US" w:eastAsia="zh-CN"/>
        </w:rPr>
        <w:t xml:space="preserve">Proposal 4: RAN1 </w:t>
      </w:r>
      <w:r>
        <w:rPr>
          <w:rFonts w:hint="default" w:ascii="Times New Roman" w:hAnsi="Times New Roman" w:eastAsia="等线" w:cs="Times New Roman"/>
          <w:b/>
          <w:bCs/>
          <w:szCs w:val="20"/>
          <w:lang w:val="en-US" w:eastAsia="zh-CN"/>
        </w:rPr>
        <w:t>consider</w:t>
      </w:r>
      <w:r>
        <w:rPr>
          <w:rFonts w:hint="eastAsia" w:ascii="Times New Roman" w:hAnsi="Times New Roman" w:eastAsia="等线" w:cs="Times New Roman"/>
          <w:b/>
          <w:bCs/>
          <w:szCs w:val="20"/>
          <w:lang w:val="en-US" w:eastAsia="zh-CN"/>
        </w:rPr>
        <w:t>s</w:t>
      </w:r>
      <w:r>
        <w:rPr>
          <w:rFonts w:hint="default" w:ascii="Times New Roman" w:hAnsi="Times New Roman" w:eastAsia="等线" w:cs="Times New Roman"/>
          <w:b/>
          <w:bCs/>
          <w:szCs w:val="20"/>
          <w:lang w:val="en-US" w:eastAsia="zh-CN"/>
        </w:rPr>
        <w:t xml:space="preserve"> to extend the SIB1-NB transmission period as well as the one SIB1-NB transmission duration</w:t>
      </w:r>
      <w:r>
        <w:rPr>
          <w:rFonts w:hint="eastAsia" w:ascii="Times New Roman" w:hAnsi="Times New Roman" w:eastAsia="等线" w:cs="Times New Roman"/>
          <w:b/>
          <w:bCs/>
          <w:szCs w:val="20"/>
          <w:lang w:val="en-US" w:eastAsia="zh-CN"/>
        </w:rPr>
        <w:t xml:space="preserve"> by a factor of N=9</w:t>
      </w:r>
      <w:r>
        <w:rPr>
          <w:rFonts w:hint="default" w:ascii="Times New Roman" w:hAnsi="Times New Roman" w:eastAsia="等线" w:cs="Times New Roman"/>
          <w:b/>
          <w:bCs/>
          <w:szCs w:val="20"/>
          <w:lang w:val="en-US" w:eastAsia="zh-CN"/>
        </w:rPr>
        <w:t xml:space="preserve">. </w:t>
      </w:r>
    </w:p>
    <w:p>
      <w:pPr>
        <w:pStyle w:val="4"/>
        <w:spacing w:before="120" w:beforeLines="50"/>
        <w:jc w:val="both"/>
        <w:rPr>
          <w:rFonts w:hint="eastAsia" w:cs="Times New Roman" w:eastAsiaTheme="minorEastAsia"/>
          <w:b/>
          <w:bCs/>
          <w:sz w:val="21"/>
          <w:szCs w:val="21"/>
          <w:lang w:val="en-US" w:eastAsia="zh-CN"/>
        </w:rPr>
      </w:pPr>
      <w:r>
        <w:rPr>
          <w:rFonts w:hint="eastAsia" w:eastAsia="等线" w:cs="Times New Roman"/>
          <w:b/>
          <w:bCs/>
          <w:szCs w:val="20"/>
          <w:lang w:val="en-US" w:eastAsia="zh-CN"/>
        </w:rPr>
        <w:t xml:space="preserve">Proposal 5: RAN1 considers to align the SI window with period D subframe start, and change the SI window length and period to multiple of 90 ms.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1"/>
          <w:szCs w:val="21"/>
          <w:lang w:val="en-US" w:eastAsia="zh-CN"/>
        </w:rPr>
      </w:pPr>
      <w:r>
        <w:rPr>
          <w:rFonts w:hint="eastAsia" w:cs="Times New Roman" w:eastAsiaTheme="minorEastAsia"/>
          <w:b/>
          <w:bCs/>
          <w:sz w:val="21"/>
          <w:szCs w:val="21"/>
          <w:lang w:val="en-US" w:eastAsia="zh-CN"/>
        </w:rPr>
        <w:t>Proposal 6: DL synchronization is performed only in default D subframe.</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1"/>
          <w:szCs w:val="21"/>
          <w:lang w:val="en-US" w:eastAsia="zh-CN"/>
        </w:rPr>
      </w:pPr>
      <w:r>
        <w:rPr>
          <w:rFonts w:hint="eastAsia" w:cs="Times New Roman" w:eastAsiaTheme="minorEastAsia"/>
          <w:b/>
          <w:bCs/>
          <w:sz w:val="21"/>
          <w:szCs w:val="21"/>
          <w:lang w:val="en-US" w:eastAsia="zh-CN"/>
        </w:rPr>
        <w:t>Proposal 7: eNB can configure larger number of subframes for D in SIB1-NB and guard period in D, so that the system can benefit from enhanced throughput.</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Style w:val="96"/>
          <w:rFonts w:hint="eastAsia" w:cs="Times New Roman"/>
          <w:b/>
          <w:bCs/>
          <w:lang w:val="en-US" w:eastAsia="zh-CN"/>
        </w:rPr>
      </w:pPr>
      <w:r>
        <w:rPr>
          <w:rFonts w:hint="eastAsia" w:cs="Times New Roman" w:eastAsiaTheme="minorEastAsia"/>
          <w:b/>
          <w:bCs/>
          <w:sz w:val="21"/>
          <w:szCs w:val="21"/>
          <w:lang w:val="en-US" w:eastAsia="zh-CN"/>
        </w:rPr>
        <w:t>Proposal 8: No guard period is expected in default D subframe, and NPSS/NSSS/NPBCH/SIB1-NB are not expected outside default D subframe.</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1"/>
          <w:szCs w:val="21"/>
          <w:lang w:val="en-US" w:eastAsia="zh-CN"/>
        </w:rPr>
      </w:pPr>
      <w:r>
        <w:rPr>
          <w:rFonts w:hint="eastAsia" w:cs="Times New Roman" w:eastAsiaTheme="minorEastAsia"/>
          <w:b/>
          <w:bCs/>
          <w:sz w:val="21"/>
          <w:szCs w:val="21"/>
          <w:lang w:val="en-US" w:eastAsia="zh-CN"/>
        </w:rPr>
        <w:t xml:space="preserve">Proposal 9: The definition of uplink time synchronization reference point remains the same, i.e., DL and UL are at least subframe aligned at reference point.  </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eastAsia" w:cs="Times New Roman" w:eastAsiaTheme="minorEastAsia"/>
          <w:b/>
          <w:bCs/>
          <w:sz w:val="21"/>
          <w:szCs w:val="21"/>
          <w:lang w:val="en-US" w:eastAsia="zh-CN"/>
        </w:rPr>
      </w:pPr>
      <w:r>
        <w:rPr>
          <w:rFonts w:hint="eastAsia" w:cs="Times New Roman" w:eastAsiaTheme="minorEastAsia"/>
          <w:b/>
          <w:bCs/>
          <w:sz w:val="21"/>
          <w:szCs w:val="21"/>
          <w:lang w:val="en-US" w:eastAsia="zh-CN"/>
        </w:rPr>
        <w:t>Proposal 10: eNB configures an offset to determine the starting U subframe based on the location of the D subframe.</w:t>
      </w:r>
    </w:p>
    <w:p>
      <w:pPr>
        <w:pStyle w:val="4"/>
        <w:keepNext w:val="0"/>
        <w:keepLines w:val="0"/>
        <w:pageBreakBefore w:val="0"/>
        <w:widowControl/>
        <w:kinsoku/>
        <w:wordWrap/>
        <w:overflowPunct/>
        <w:topLinePunct w:val="0"/>
        <w:autoSpaceDE/>
        <w:autoSpaceDN/>
        <w:bidi w:val="0"/>
        <w:adjustRightInd/>
        <w:snapToGrid/>
        <w:spacing w:after="120" w:line="240" w:lineRule="auto"/>
        <w:ind w:left="0" w:leftChars="0" w:right="0" w:rightChars="0" w:firstLine="0" w:firstLineChars="0"/>
        <w:jc w:val="both"/>
        <w:textAlignment w:val="auto"/>
        <w:outlineLvl w:val="9"/>
        <w:rPr>
          <w:rFonts w:hint="default" w:cs="Times New Roman" w:eastAsiaTheme="minorEastAsia"/>
          <w:b/>
          <w:bCs/>
          <w:sz w:val="21"/>
          <w:szCs w:val="21"/>
          <w:lang w:val="en-GB" w:eastAsia="zh-CN"/>
        </w:rPr>
      </w:pPr>
    </w:p>
    <w:p>
      <w:pPr>
        <w:pStyle w:val="2"/>
        <w:jc w:val="both"/>
        <w:rPr>
          <w:rFonts w:hint="default" w:ascii="Times New Roman" w:hAnsi="Times New Roman" w:cs="Times New Roman"/>
        </w:rPr>
      </w:pPr>
      <w:r>
        <w:rPr>
          <w:rFonts w:hint="default" w:ascii="Times New Roman" w:hAnsi="Times New Roman" w:cs="Times New Roman"/>
        </w:rPr>
        <w:t>Reference</w:t>
      </w:r>
    </w:p>
    <w:p>
      <w:pPr>
        <w:numPr>
          <w:ilvl w:val="0"/>
          <w:numId w:val="15"/>
        </w:numPr>
        <w:spacing w:after="120"/>
        <w:jc w:val="both"/>
        <w:rPr>
          <w:rFonts w:hint="default" w:ascii="Times New Roman" w:hAnsi="Times New Roman" w:eastAsia="宋体" w:cs="Times New Roman"/>
          <w:color w:val="000000"/>
          <w:szCs w:val="20"/>
          <w:lang w:eastAsia="zh-CN"/>
        </w:rPr>
      </w:pPr>
      <w:r>
        <w:rPr>
          <w:rFonts w:hint="default" w:ascii="Times New Roman" w:hAnsi="Times New Roman" w:eastAsia="宋体" w:cs="Times New Roman"/>
          <w:color w:val="000000"/>
          <w:szCs w:val="20"/>
          <w:lang w:eastAsia="zh-CN"/>
        </w:rPr>
        <w:t>RP-24</w:t>
      </w:r>
      <w:r>
        <w:rPr>
          <w:rFonts w:hint="default" w:ascii="Times New Roman" w:hAnsi="Times New Roman" w:eastAsia="宋体" w:cs="Times New Roman"/>
          <w:color w:val="000000"/>
          <w:szCs w:val="20"/>
          <w:lang w:val="en-US" w:eastAsia="zh-CN"/>
        </w:rPr>
        <w:t>2415</w:t>
      </w:r>
      <w:r>
        <w:rPr>
          <w:rFonts w:hint="default" w:ascii="Times New Roman" w:hAnsi="Times New Roman" w:eastAsia="宋体" w:cs="Times New Roman"/>
          <w:color w:val="000000"/>
          <w:szCs w:val="20"/>
          <w:lang w:eastAsia="zh-CN"/>
        </w:rPr>
        <w:t xml:space="preserve">, </w:t>
      </w:r>
      <w:r>
        <w:rPr>
          <w:rFonts w:hint="default" w:ascii="Times New Roman" w:hAnsi="Times New Roman" w:eastAsia="宋体" w:cs="Times New Roman"/>
          <w:color w:val="000000"/>
          <w:szCs w:val="20"/>
          <w:lang w:val="en-US" w:eastAsia="zh-CN"/>
        </w:rPr>
        <w:t>Introduction of IoT-NTN TDD mode</w:t>
      </w:r>
      <w:r>
        <w:rPr>
          <w:rFonts w:hint="default" w:ascii="Times New Roman" w:hAnsi="Times New Roman" w:eastAsia="宋体" w:cs="Times New Roman"/>
          <w:color w:val="000000"/>
          <w:szCs w:val="20"/>
          <w:lang w:eastAsia="zh-CN"/>
        </w:rPr>
        <w:t xml:space="preserve">, </w:t>
      </w:r>
      <w:r>
        <w:rPr>
          <w:rFonts w:hint="default" w:ascii="Times New Roman" w:hAnsi="Times New Roman" w:eastAsia="宋体" w:cs="Times New Roman"/>
          <w:color w:val="000000"/>
          <w:szCs w:val="20"/>
          <w:lang w:val="en-US" w:eastAsia="zh-CN"/>
        </w:rPr>
        <w:t>Moderator (RAN1 Vice-Chair)</w:t>
      </w:r>
    </w:p>
    <w:p>
      <w:pPr>
        <w:pStyle w:val="4"/>
        <w:spacing w:before="120" w:beforeLines="50"/>
        <w:jc w:val="both"/>
        <w:rPr>
          <w:rFonts w:hint="default" w:ascii="Times New Roman" w:hAnsi="Times New Roman" w:eastAsia="宋体" w:cs="Times New Roman"/>
          <w:lang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楷体_GB2312">
    <w:altName w:val="楷体"/>
    <w:panose1 w:val="02010609030101010101"/>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Aptos">
    <w:altName w:val="Calibri"/>
    <w:panose1 w:val="00000000000000000000"/>
    <w:charset w:val="00"/>
    <w:family w:val="swiss"/>
    <w:pitch w:val="default"/>
    <w:sig w:usb0="00000000" w:usb1="00000000" w:usb2="00000000" w:usb3="00000000" w:csb0="0000019F" w:csb1="00000000"/>
  </w:font>
  <w:font w:name="Aptos Display">
    <w:altName w:val="Segoe Print"/>
    <w:panose1 w:val="00000000000000000000"/>
    <w:charset w:val="00"/>
    <w:family w:val="swiss"/>
    <w:pitch w:val="default"/>
    <w:sig w:usb0="00000000" w:usb1="00000000" w:usb2="00000000" w:usb3="00000000" w:csb0="000001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4D"/>
    <w:family w:val="decorative"/>
    <w:pitch w:val="default"/>
    <w:sig w:usb0="00000000" w:usb1="00000000" w:usb2="00000000" w:usb3="00000000" w:csb0="80000000" w:csb1="00000000"/>
  </w:font>
  <w:font w:name="Wingdings 3">
    <w:panose1 w:val="05040102010807070707"/>
    <w:charset w:val="4D"/>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Qualcomm Office">
    <w:altName w:val="Segoe Print"/>
    <w:panose1 w:val="020B0604020202020204"/>
    <w:charset w:val="00"/>
    <w:family w:val="swiss"/>
    <w:pitch w:val="default"/>
    <w:sig w:usb0="00000000" w:usb1="00000000" w:usb2="00000000" w:usb3="00000000" w:csb0="00000001" w:csb1="00000000"/>
  </w:font>
  <w:font w:name="Yu Mincho">
    <w:altName w:val="Yu Gothic UI Semilight"/>
    <w:panose1 w:val="02020400000000000000"/>
    <w:charset w:val="80"/>
    <w:family w:val="roman"/>
    <w:pitch w:val="default"/>
    <w:sig w:usb0="00000000" w:usb1="00000000" w:usb2="00000012" w:usb3="00000000" w:csb0="0002009F" w:csb1="00000000"/>
  </w:font>
  <w:font w:name="Helvetica Neue">
    <w:altName w:val="Corbel"/>
    <w:panose1 w:val="02000503000000020004"/>
    <w:charset w:val="00"/>
    <w:family w:val="auto"/>
    <w:pitch w:val="default"/>
    <w:sig w:usb0="00000000" w:usb1="00000000" w:usb2="00000010" w:usb3="00000000" w:csb0="00000001" w:csb1="00000000"/>
  </w:font>
  <w:font w:name="Corbel">
    <w:panose1 w:val="020B0503020204020204"/>
    <w:charset w:val="00"/>
    <w:family w:val="auto"/>
    <w:pitch w:val="default"/>
    <w:sig w:usb0="A00002EF" w:usb1="4000A44B" w:usb2="00000000" w:usb3="00000000" w:csb0="2000019F" w:csb1="00000000"/>
  </w:font>
  <w:font w:name="Yu Gothic UI Semilight">
    <w:panose1 w:val="020B04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Calibri Light">
    <w:panose1 w:val="020F0302020204030204"/>
    <w:charset w:val="00"/>
    <w:family w:val="swiss"/>
    <w:pitch w:val="default"/>
    <w:sig w:usb0="E4002EFF" w:usb1="C200247B" w:usb2="00000009" w:usb3="00000000" w:csb0="200001FF" w:csb1="00000000"/>
  </w:font>
  <w:font w:name="바탕">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MS Mincho">
    <w:altName w:val="Segoe Print"/>
    <w:panose1 w:val="00000000000000000000"/>
    <w:charset w:val="00"/>
    <w:family w:val="auto"/>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Times New Roman Bold">
    <w:altName w:val="Times New Roman"/>
    <w:panose1 w:val="02020803070505020304"/>
    <w:charset w:val="00"/>
    <w:family w:val="auto"/>
    <w:pitch w:val="default"/>
    <w:sig w:usb0="00000000" w:usb1="00000000" w:usb2="00000001" w:usb3="00000000" w:csb0="400001BF" w:csb1="DFF70000"/>
  </w:font>
  <w:font w:name="PMingLiU-ExtB">
    <w:panose1 w:val="02020500000000000000"/>
    <w:charset w:val="88"/>
    <w:family w:val="auto"/>
    <w:pitch w:val="default"/>
    <w:sig w:usb0="8000002F" w:usb1="02000008" w:usb2="00000000" w:usb3="00000000" w:csb0="00100001" w:csb1="00000000"/>
  </w:font>
  <w:font w:name="Police système">
    <w:altName w:val="Times New Roman"/>
    <w:panose1 w:val="00000000000000000000"/>
    <w:charset w:val="00"/>
    <w:family w:val="roman"/>
    <w:pitch w:val="default"/>
    <w:sig w:usb0="00000000" w:usb1="00000000" w:usb2="00000000" w:usb3="00000000" w:csb0="00000000" w:csb1="00000000"/>
  </w:font>
  <w:font w:name="Yu Gothic">
    <w:panose1 w:val="020B0400000000000000"/>
    <w:charset w:val="80"/>
    <w:family w:val="swiss"/>
    <w:pitch w:val="default"/>
    <w:sig w:usb0="E00002FF" w:usb1="2AC7FDFF" w:usb2="00000016" w:usb3="00000000" w:csb0="2002009F" w:csb1="00000000"/>
  </w:font>
  <w:font w:name="Nirmala UI">
    <w:panose1 w:val="020B0502040204020203"/>
    <w:charset w:val="00"/>
    <w:family w:val="swiss"/>
    <w:pitch w:val="default"/>
    <w:sig w:usb0="80FF8023" w:usb1="0200004A" w:usb2="00000200" w:usb3="00040000" w:csb0="00000001" w:csb1="00000000"/>
  </w:font>
  <w:font w:name="Microsoft Sans Serif">
    <w:panose1 w:val="020B0604020202020204"/>
    <w:charset w:val="00"/>
    <w:family w:val="swiss"/>
    <w:pitch w:val="default"/>
    <w:sig w:usb0="E5002EFF" w:usb1="C000605B" w:usb2="00000029" w:usb3="00000000" w:csb0="200101FF" w:csb1="20280000"/>
  </w:font>
  <w:font w:name="Gulim">
    <w:altName w:val="Malgun Gothic"/>
    <w:panose1 w:val="020B0600000101010101"/>
    <w:charset w:val="81"/>
    <w:family w:val="swiss"/>
    <w:pitch w:val="default"/>
    <w:sig w:usb0="00000000" w:usb1="00000000" w:usb2="00000030" w:usb3="00000000" w:csb0="0008009F" w:csb1="00000000"/>
  </w:font>
  <w:font w:name="Microsoft YaHei UI">
    <w:panose1 w:val="020B0503020204020204"/>
    <w:charset w:val="86"/>
    <w:family w:val="swiss"/>
    <w:pitch w:val="default"/>
    <w:sig w:usb0="80000287" w:usb1="2ACF3C50" w:usb2="00000016" w:usb3="00000000" w:csb0="0004001F" w:csb1="00000000"/>
  </w:font>
  <w:font w:name="CourierNewPSMT">
    <w:altName w:val="宋体"/>
    <w:panose1 w:val="00000000000000000000"/>
    <w:charset w:val="00"/>
    <w:family w:val="auto"/>
    <w:pitch w:val="default"/>
    <w:sig w:usb0="00000000" w:usb1="00000000" w:usb2="00000000" w:usb3="00000000" w:csb0="00000000" w:csb1="00000000"/>
  </w:font>
  <w:font w:name="Sylfaen">
    <w:panose1 w:val="010A0502050306030303"/>
    <w:charset w:val="00"/>
    <w:family w:val="auto"/>
    <w:pitch w:val="default"/>
    <w:sig w:usb0="04000687" w:usb1="00000000" w:usb2="00000000" w:usb3="00000000" w:csb0="2000009F" w:csb1="00000000"/>
  </w:font>
  <w:font w:name="TimesNewRomanPSMT">
    <w:altName w:val="Times New Roman"/>
    <w:panose1 w:val="00000000000000000000"/>
    <w:charset w:val="00"/>
    <w:family w:val="roman"/>
    <w:pitch w:val="default"/>
    <w:sig w:usb0="00000000" w:usb1="00000000" w:usb2="00000000" w:usb3="00000000" w:csb0="00000000" w:csb1="00000000"/>
  </w:font>
  <w:font w:name="游明朝">
    <w:altName w:val="Segoe Print"/>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Times New Roman Italic">
    <w:altName w:val="Times New Roman"/>
    <w:panose1 w:val="02020503050405090304"/>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DotumChe">
    <w:altName w:val="Malgun Gothic"/>
    <w:panose1 w:val="00000000000000000000"/>
    <w:charset w:val="81"/>
    <w:family w:val="modern"/>
    <w:pitch w:val="default"/>
    <w:sig w:usb0="00000000" w:usb1="00000000" w:usb2="00000030" w:usb3="00000000" w:csb0="0008009F" w:csb1="00000000"/>
  </w:font>
  <w:font w:name="Arial Unicode MS">
    <w:altName w:val="Arial"/>
    <w:panose1 w:val="020B0604020202020204"/>
    <w:charset w:val="80"/>
    <w:family w:val="swiss"/>
    <w:pitch w:val="default"/>
    <w:sig w:usb0="00000000" w:usb1="00000000" w:usb2="0000003F" w:usb3="00000000" w:csb0="603F01FF" w:csb1="FFFF0000"/>
  </w:font>
  <w:font w:name="v4.2.0">
    <w:altName w:val="Times New Roman"/>
    <w:panose1 w:val="00000000000000000000"/>
    <w:charset w:val="00"/>
    <w:family w:val="roma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Times-Roman">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
    <w:altName w:val="MingLiU-ExtB"/>
    <w:panose1 w:val="00000000000000000000"/>
    <w:charset w:val="88"/>
    <w:family w:val="auto"/>
    <w:pitch w:val="default"/>
    <w:sig w:usb0="00000000" w:usb1="00000000" w:usb2="00000010" w:usb3="00000000" w:csb0="00100000" w:csb1="00000000"/>
  </w:font>
  <w:font w:name="Arial Unicode MS">
    <w:altName w:val="宋体"/>
    <w:panose1 w:val="020B0604020202020204"/>
    <w:charset w:val="86"/>
    <w:family w:val="auto"/>
    <w:pitch w:val="default"/>
    <w:sig w:usb0="00000000" w:usb1="00000000" w:usb2="0000003F" w:usb3="00000000" w:csb0="603F01FF" w:csb1="FFFF0000"/>
  </w:font>
  <w:font w:name="MingLiU-ExtB">
    <w:panose1 w:val="02020500000000000000"/>
    <w:charset w:val="88"/>
    <w:family w:val="auto"/>
    <w:pitch w:val="default"/>
    <w:sig w:usb0="8000002F" w:usb1="02000008" w:usb2="00000000" w:usb3="00000000" w:csb0="00100001" w:csb1="00000000"/>
  </w:font>
  <w:font w:name="Consolas">
    <w:panose1 w:val="020B0609020204030204"/>
    <w:charset w:val="00"/>
    <w:family w:val="modern"/>
    <w:pitch w:val="default"/>
    <w:sig w:usb0="E00006FF" w:usb1="0000FCFF" w:usb2="00000001" w:usb3="00000000" w:csb0="600001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tentative="0">
      <w:start w:val="0"/>
      <w:numFmt w:val="decimal"/>
      <w:lvlText w:val="*"/>
      <w:lvlJc w:val="left"/>
    </w:lvl>
  </w:abstractNum>
  <w:abstractNum w:abstractNumId="1">
    <w:nsid w:val="00000002"/>
    <w:multiLevelType w:val="singleLevel"/>
    <w:tmpl w:val="00000002"/>
    <w:lvl w:ilvl="0" w:tentative="0">
      <w:start w:val="1"/>
      <w:numFmt w:val="bullet"/>
      <w:lvlText w:val=""/>
      <w:lvlJc w:val="left"/>
      <w:pPr>
        <w:ind w:left="720" w:hanging="360"/>
      </w:pPr>
      <w:rPr>
        <w:rFonts w:hint="default" w:ascii="Symbol" w:hAnsi="Symbol"/>
      </w:rPr>
    </w:lvl>
  </w:abstractNum>
  <w:abstractNum w:abstractNumId="2">
    <w:nsid w:val="02ACB7F7"/>
    <w:multiLevelType w:val="singleLevel"/>
    <w:tmpl w:val="02ACB7F7"/>
    <w:lvl w:ilvl="0" w:tentative="0">
      <w:start w:val="1"/>
      <w:numFmt w:val="decimal"/>
      <w:suff w:val="space"/>
      <w:lvlText w:val="[%1]"/>
      <w:lvlJc w:val="left"/>
    </w:lvl>
  </w:abstractNum>
  <w:abstractNum w:abstractNumId="3">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3402789"/>
    <w:multiLevelType w:val="multilevel"/>
    <w:tmpl w:val="13402789"/>
    <w:lvl w:ilvl="0" w:tentative="0">
      <w:start w:val="2"/>
      <w:numFmt w:val="bullet"/>
      <w:lvlText w:val="-"/>
      <w:lvlJc w:val="left"/>
      <w:pPr>
        <w:ind w:left="1440" w:hanging="360"/>
      </w:pPr>
      <w:rPr>
        <w:rFonts w:hint="default" w:ascii="Times New Roman" w:hAnsi="Times New Roman" w:eastAsia="Times New Roman" w:cs="Times New Roman"/>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5">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2C87AE4"/>
    <w:multiLevelType w:val="multilevel"/>
    <w:tmpl w:val="52C87AE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532722C"/>
    <w:multiLevelType w:val="multilevel"/>
    <w:tmpl w:val="6532722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72B4E03"/>
    <w:multiLevelType w:val="singleLevel"/>
    <w:tmpl w:val="672B4E03"/>
    <w:lvl w:ilvl="0" w:tentative="0">
      <w:start w:val="1"/>
      <w:numFmt w:val="decimal"/>
      <w:suff w:val="space"/>
      <w:lvlText w:val="%1)"/>
      <w:lvlJc w:val="left"/>
    </w:lvl>
  </w:abstractNum>
  <w:abstractNum w:abstractNumId="11">
    <w:nsid w:val="672B65B6"/>
    <w:multiLevelType w:val="singleLevel"/>
    <w:tmpl w:val="672B65B6"/>
    <w:lvl w:ilvl="0" w:tentative="0">
      <w:start w:val="1"/>
      <w:numFmt w:val="decimal"/>
      <w:suff w:val="space"/>
      <w:lvlText w:val="%1)"/>
      <w:lvlJc w:val="left"/>
    </w:lvl>
  </w:abstractNum>
  <w:abstractNum w:abstractNumId="12">
    <w:nsid w:val="672C8AA4"/>
    <w:multiLevelType w:val="singleLevel"/>
    <w:tmpl w:val="672C8AA4"/>
    <w:lvl w:ilvl="0" w:tentative="0">
      <w:start w:val="1"/>
      <w:numFmt w:val="decimal"/>
      <w:suff w:val="space"/>
      <w:lvlText w:val="%1)"/>
      <w:lvlJc w:val="left"/>
    </w:lvl>
  </w:abstractNum>
  <w:abstractNum w:abstractNumId="13">
    <w:nsid w:val="672C8F37"/>
    <w:multiLevelType w:val="singleLevel"/>
    <w:tmpl w:val="672C8F37"/>
    <w:lvl w:ilvl="0" w:tentative="0">
      <w:start w:val="1"/>
      <w:numFmt w:val="decimal"/>
      <w:suff w:val="space"/>
      <w:lvlText w:val="%1)"/>
      <w:lvlJc w:val="left"/>
    </w:lvl>
  </w:abstractNum>
  <w:abstractNum w:abstractNumId="14">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3"/>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14"/>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8"/>
  </w:num>
  <w:num w:numId="4">
    <w:abstractNumId w:val="5"/>
  </w:num>
  <w:num w:numId="5">
    <w:abstractNumId w:val="3"/>
  </w:num>
  <w:num w:numId="6">
    <w:abstractNumId w:val="6"/>
  </w:num>
  <w:num w:numId="7">
    <w:abstractNumId w:val="1"/>
  </w:num>
  <w:num w:numId="8">
    <w:abstractNumId w:val="9"/>
  </w:num>
  <w:num w:numId="9">
    <w:abstractNumId w:val="10"/>
  </w:num>
  <w:num w:numId="10">
    <w:abstractNumId w:val="11"/>
  </w:num>
  <w:num w:numId="11">
    <w:abstractNumId w:val="7"/>
  </w:num>
  <w:num w:numId="12">
    <w:abstractNumId w:val="4"/>
  </w:num>
  <w:num w:numId="13">
    <w:abstractNumId w:val="13"/>
  </w:num>
  <w:num w:numId="14">
    <w:abstractNumId w:val="12"/>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24F7"/>
    <w:rsid w:val="00002C5D"/>
    <w:rsid w:val="00002DCC"/>
    <w:rsid w:val="000034E3"/>
    <w:rsid w:val="0000393C"/>
    <w:rsid w:val="00003D3D"/>
    <w:rsid w:val="00004175"/>
    <w:rsid w:val="000064C2"/>
    <w:rsid w:val="00006655"/>
    <w:rsid w:val="00010782"/>
    <w:rsid w:val="00011B2D"/>
    <w:rsid w:val="000122C0"/>
    <w:rsid w:val="0001252C"/>
    <w:rsid w:val="00012997"/>
    <w:rsid w:val="00012E43"/>
    <w:rsid w:val="00013FB0"/>
    <w:rsid w:val="00015378"/>
    <w:rsid w:val="000159B6"/>
    <w:rsid w:val="00016C1F"/>
    <w:rsid w:val="00017298"/>
    <w:rsid w:val="000175CE"/>
    <w:rsid w:val="00017F1A"/>
    <w:rsid w:val="00020597"/>
    <w:rsid w:val="00020BFD"/>
    <w:rsid w:val="00020DAE"/>
    <w:rsid w:val="00021597"/>
    <w:rsid w:val="0002224F"/>
    <w:rsid w:val="00023BB9"/>
    <w:rsid w:val="00023DD4"/>
    <w:rsid w:val="0002481B"/>
    <w:rsid w:val="000249A4"/>
    <w:rsid w:val="000251AF"/>
    <w:rsid w:val="00025675"/>
    <w:rsid w:val="00025E53"/>
    <w:rsid w:val="00025F10"/>
    <w:rsid w:val="00026DCD"/>
    <w:rsid w:val="00026E34"/>
    <w:rsid w:val="0002743B"/>
    <w:rsid w:val="00027772"/>
    <w:rsid w:val="0003036B"/>
    <w:rsid w:val="00032B75"/>
    <w:rsid w:val="00032B7A"/>
    <w:rsid w:val="00034BE6"/>
    <w:rsid w:val="00034D64"/>
    <w:rsid w:val="0003579A"/>
    <w:rsid w:val="00035840"/>
    <w:rsid w:val="0003585C"/>
    <w:rsid w:val="00036E0F"/>
    <w:rsid w:val="00037FD3"/>
    <w:rsid w:val="000400B7"/>
    <w:rsid w:val="000404F0"/>
    <w:rsid w:val="000409CB"/>
    <w:rsid w:val="00040C2A"/>
    <w:rsid w:val="00041524"/>
    <w:rsid w:val="00042218"/>
    <w:rsid w:val="000439FC"/>
    <w:rsid w:val="00043E71"/>
    <w:rsid w:val="00044953"/>
    <w:rsid w:val="00044EE0"/>
    <w:rsid w:val="000459DB"/>
    <w:rsid w:val="00050CF5"/>
    <w:rsid w:val="00052AFF"/>
    <w:rsid w:val="000545F1"/>
    <w:rsid w:val="00055212"/>
    <w:rsid w:val="000554B4"/>
    <w:rsid w:val="000555FD"/>
    <w:rsid w:val="00055936"/>
    <w:rsid w:val="00057018"/>
    <w:rsid w:val="0005724B"/>
    <w:rsid w:val="000604B9"/>
    <w:rsid w:val="00060FCC"/>
    <w:rsid w:val="00061DC7"/>
    <w:rsid w:val="000620A1"/>
    <w:rsid w:val="00063012"/>
    <w:rsid w:val="00064A2B"/>
    <w:rsid w:val="000659BA"/>
    <w:rsid w:val="000659BE"/>
    <w:rsid w:val="00066040"/>
    <w:rsid w:val="00066188"/>
    <w:rsid w:val="00066A6C"/>
    <w:rsid w:val="00066CC7"/>
    <w:rsid w:val="000675B7"/>
    <w:rsid w:val="00070940"/>
    <w:rsid w:val="0007312D"/>
    <w:rsid w:val="000735DA"/>
    <w:rsid w:val="0007362D"/>
    <w:rsid w:val="00073B62"/>
    <w:rsid w:val="00073B64"/>
    <w:rsid w:val="000741FB"/>
    <w:rsid w:val="000743D5"/>
    <w:rsid w:val="00074FF2"/>
    <w:rsid w:val="0007544B"/>
    <w:rsid w:val="00075973"/>
    <w:rsid w:val="00076063"/>
    <w:rsid w:val="00077114"/>
    <w:rsid w:val="000773D6"/>
    <w:rsid w:val="000829B6"/>
    <w:rsid w:val="00083D8A"/>
    <w:rsid w:val="0008401F"/>
    <w:rsid w:val="0008457F"/>
    <w:rsid w:val="000850E7"/>
    <w:rsid w:val="0008539E"/>
    <w:rsid w:val="000865B1"/>
    <w:rsid w:val="000867D5"/>
    <w:rsid w:val="00086808"/>
    <w:rsid w:val="00086DA8"/>
    <w:rsid w:val="00086F4C"/>
    <w:rsid w:val="000871A0"/>
    <w:rsid w:val="00087DDE"/>
    <w:rsid w:val="000901C1"/>
    <w:rsid w:val="0009037F"/>
    <w:rsid w:val="00090D27"/>
    <w:rsid w:val="00090F1F"/>
    <w:rsid w:val="00091D81"/>
    <w:rsid w:val="00092514"/>
    <w:rsid w:val="0009473C"/>
    <w:rsid w:val="00097296"/>
    <w:rsid w:val="00097AEC"/>
    <w:rsid w:val="00097E68"/>
    <w:rsid w:val="000A11A8"/>
    <w:rsid w:val="000A149D"/>
    <w:rsid w:val="000A159C"/>
    <w:rsid w:val="000A218D"/>
    <w:rsid w:val="000A2BEF"/>
    <w:rsid w:val="000A3D73"/>
    <w:rsid w:val="000A46AA"/>
    <w:rsid w:val="000A5153"/>
    <w:rsid w:val="000A566D"/>
    <w:rsid w:val="000A587D"/>
    <w:rsid w:val="000B009D"/>
    <w:rsid w:val="000B0466"/>
    <w:rsid w:val="000B0890"/>
    <w:rsid w:val="000B0DCC"/>
    <w:rsid w:val="000B105A"/>
    <w:rsid w:val="000B1623"/>
    <w:rsid w:val="000B18AE"/>
    <w:rsid w:val="000B32DE"/>
    <w:rsid w:val="000B56B3"/>
    <w:rsid w:val="000B6837"/>
    <w:rsid w:val="000C05AE"/>
    <w:rsid w:val="000C0FB6"/>
    <w:rsid w:val="000C1603"/>
    <w:rsid w:val="000C283F"/>
    <w:rsid w:val="000C2D7E"/>
    <w:rsid w:val="000C4326"/>
    <w:rsid w:val="000C4B35"/>
    <w:rsid w:val="000C584C"/>
    <w:rsid w:val="000C5A25"/>
    <w:rsid w:val="000C7930"/>
    <w:rsid w:val="000D1226"/>
    <w:rsid w:val="000D162F"/>
    <w:rsid w:val="000D1864"/>
    <w:rsid w:val="000D217D"/>
    <w:rsid w:val="000D7CAD"/>
    <w:rsid w:val="000E012F"/>
    <w:rsid w:val="000E0A50"/>
    <w:rsid w:val="000E0C43"/>
    <w:rsid w:val="000E13C5"/>
    <w:rsid w:val="000E1DD9"/>
    <w:rsid w:val="000E1F91"/>
    <w:rsid w:val="000E3E20"/>
    <w:rsid w:val="000E48ED"/>
    <w:rsid w:val="000E53CD"/>
    <w:rsid w:val="000E53E6"/>
    <w:rsid w:val="000E548B"/>
    <w:rsid w:val="000E5850"/>
    <w:rsid w:val="000E5CFD"/>
    <w:rsid w:val="000E67A2"/>
    <w:rsid w:val="000E7A50"/>
    <w:rsid w:val="000E7EA0"/>
    <w:rsid w:val="000F056C"/>
    <w:rsid w:val="000F0656"/>
    <w:rsid w:val="000F17F9"/>
    <w:rsid w:val="000F22FB"/>
    <w:rsid w:val="000F287A"/>
    <w:rsid w:val="000F43D1"/>
    <w:rsid w:val="000F4507"/>
    <w:rsid w:val="000F45AD"/>
    <w:rsid w:val="000F45DC"/>
    <w:rsid w:val="000F4893"/>
    <w:rsid w:val="000F4CFC"/>
    <w:rsid w:val="000F4D84"/>
    <w:rsid w:val="000F6AAE"/>
    <w:rsid w:val="000F7254"/>
    <w:rsid w:val="000F7D83"/>
    <w:rsid w:val="000F7E84"/>
    <w:rsid w:val="00101CFD"/>
    <w:rsid w:val="001020EC"/>
    <w:rsid w:val="0010289E"/>
    <w:rsid w:val="001028BB"/>
    <w:rsid w:val="001038F5"/>
    <w:rsid w:val="00104A5E"/>
    <w:rsid w:val="001060AD"/>
    <w:rsid w:val="00106637"/>
    <w:rsid w:val="001073B6"/>
    <w:rsid w:val="0011043F"/>
    <w:rsid w:val="001108D7"/>
    <w:rsid w:val="0011261A"/>
    <w:rsid w:val="001141D4"/>
    <w:rsid w:val="00114BFB"/>
    <w:rsid w:val="00114D33"/>
    <w:rsid w:val="00114F37"/>
    <w:rsid w:val="00115575"/>
    <w:rsid w:val="00117F57"/>
    <w:rsid w:val="0012020A"/>
    <w:rsid w:val="00120A54"/>
    <w:rsid w:val="00121154"/>
    <w:rsid w:val="00122329"/>
    <w:rsid w:val="00122CDB"/>
    <w:rsid w:val="00123A21"/>
    <w:rsid w:val="0012404F"/>
    <w:rsid w:val="001267D4"/>
    <w:rsid w:val="00126F60"/>
    <w:rsid w:val="0012764B"/>
    <w:rsid w:val="001309BC"/>
    <w:rsid w:val="00130D9A"/>
    <w:rsid w:val="00133722"/>
    <w:rsid w:val="00136606"/>
    <w:rsid w:val="00137BCF"/>
    <w:rsid w:val="00137D81"/>
    <w:rsid w:val="00137E9B"/>
    <w:rsid w:val="00140CB9"/>
    <w:rsid w:val="00141108"/>
    <w:rsid w:val="00141BDD"/>
    <w:rsid w:val="0014344A"/>
    <w:rsid w:val="0014392B"/>
    <w:rsid w:val="00143CE9"/>
    <w:rsid w:val="0014564A"/>
    <w:rsid w:val="00145655"/>
    <w:rsid w:val="0014617D"/>
    <w:rsid w:val="00146767"/>
    <w:rsid w:val="001467C5"/>
    <w:rsid w:val="00146E80"/>
    <w:rsid w:val="00147C1F"/>
    <w:rsid w:val="00147D23"/>
    <w:rsid w:val="00150597"/>
    <w:rsid w:val="00150A86"/>
    <w:rsid w:val="001510EB"/>
    <w:rsid w:val="00151BF1"/>
    <w:rsid w:val="00151F09"/>
    <w:rsid w:val="00152213"/>
    <w:rsid w:val="0015312C"/>
    <w:rsid w:val="00154D00"/>
    <w:rsid w:val="00155781"/>
    <w:rsid w:val="00156E73"/>
    <w:rsid w:val="00157CD2"/>
    <w:rsid w:val="00160C09"/>
    <w:rsid w:val="0016104C"/>
    <w:rsid w:val="00161E25"/>
    <w:rsid w:val="001620FA"/>
    <w:rsid w:val="001620FE"/>
    <w:rsid w:val="0016230E"/>
    <w:rsid w:val="001644E6"/>
    <w:rsid w:val="00164743"/>
    <w:rsid w:val="00164B9F"/>
    <w:rsid w:val="00166F6A"/>
    <w:rsid w:val="00167009"/>
    <w:rsid w:val="00167651"/>
    <w:rsid w:val="00167C1A"/>
    <w:rsid w:val="001700DA"/>
    <w:rsid w:val="00170D25"/>
    <w:rsid w:val="0017129A"/>
    <w:rsid w:val="0017148F"/>
    <w:rsid w:val="00171BD9"/>
    <w:rsid w:val="001726BE"/>
    <w:rsid w:val="00174B67"/>
    <w:rsid w:val="001754E4"/>
    <w:rsid w:val="00176175"/>
    <w:rsid w:val="00177E3B"/>
    <w:rsid w:val="001804CF"/>
    <w:rsid w:val="00180715"/>
    <w:rsid w:val="00180C2C"/>
    <w:rsid w:val="00181798"/>
    <w:rsid w:val="00181E12"/>
    <w:rsid w:val="001828EF"/>
    <w:rsid w:val="00182C39"/>
    <w:rsid w:val="001837D5"/>
    <w:rsid w:val="001839BC"/>
    <w:rsid w:val="0018416D"/>
    <w:rsid w:val="00184237"/>
    <w:rsid w:val="00184E8E"/>
    <w:rsid w:val="0018612B"/>
    <w:rsid w:val="00190520"/>
    <w:rsid w:val="00190AE7"/>
    <w:rsid w:val="00190C4D"/>
    <w:rsid w:val="00193370"/>
    <w:rsid w:val="00193B25"/>
    <w:rsid w:val="00193BCA"/>
    <w:rsid w:val="00193CD9"/>
    <w:rsid w:val="00193D7D"/>
    <w:rsid w:val="00193F8B"/>
    <w:rsid w:val="00193FFE"/>
    <w:rsid w:val="00194673"/>
    <w:rsid w:val="00195844"/>
    <w:rsid w:val="001958D2"/>
    <w:rsid w:val="00195E91"/>
    <w:rsid w:val="00196536"/>
    <w:rsid w:val="001A030C"/>
    <w:rsid w:val="001A0CBD"/>
    <w:rsid w:val="001A137A"/>
    <w:rsid w:val="001A1C32"/>
    <w:rsid w:val="001A21C8"/>
    <w:rsid w:val="001A29A1"/>
    <w:rsid w:val="001A3A4B"/>
    <w:rsid w:val="001A4E36"/>
    <w:rsid w:val="001A524D"/>
    <w:rsid w:val="001A5463"/>
    <w:rsid w:val="001A5511"/>
    <w:rsid w:val="001A56FC"/>
    <w:rsid w:val="001A5B0D"/>
    <w:rsid w:val="001A65C8"/>
    <w:rsid w:val="001A7956"/>
    <w:rsid w:val="001B12BE"/>
    <w:rsid w:val="001B234C"/>
    <w:rsid w:val="001B2CDA"/>
    <w:rsid w:val="001B2CE2"/>
    <w:rsid w:val="001B3760"/>
    <w:rsid w:val="001B38B5"/>
    <w:rsid w:val="001B48C7"/>
    <w:rsid w:val="001B4EA1"/>
    <w:rsid w:val="001B56BB"/>
    <w:rsid w:val="001B65BD"/>
    <w:rsid w:val="001B6AA1"/>
    <w:rsid w:val="001B79D1"/>
    <w:rsid w:val="001B7BA6"/>
    <w:rsid w:val="001C1868"/>
    <w:rsid w:val="001C1D3D"/>
    <w:rsid w:val="001C2217"/>
    <w:rsid w:val="001C3942"/>
    <w:rsid w:val="001C42B6"/>
    <w:rsid w:val="001C44FD"/>
    <w:rsid w:val="001C4C8E"/>
    <w:rsid w:val="001C4F58"/>
    <w:rsid w:val="001C5D99"/>
    <w:rsid w:val="001C5F06"/>
    <w:rsid w:val="001C5FCA"/>
    <w:rsid w:val="001C6DB5"/>
    <w:rsid w:val="001C7659"/>
    <w:rsid w:val="001D1529"/>
    <w:rsid w:val="001D18C4"/>
    <w:rsid w:val="001D324A"/>
    <w:rsid w:val="001D350B"/>
    <w:rsid w:val="001D448E"/>
    <w:rsid w:val="001D5282"/>
    <w:rsid w:val="001D5302"/>
    <w:rsid w:val="001D7390"/>
    <w:rsid w:val="001D7AE2"/>
    <w:rsid w:val="001D7C73"/>
    <w:rsid w:val="001D7CBD"/>
    <w:rsid w:val="001D7D5E"/>
    <w:rsid w:val="001E0D7A"/>
    <w:rsid w:val="001E207B"/>
    <w:rsid w:val="001E5A56"/>
    <w:rsid w:val="001E5ACF"/>
    <w:rsid w:val="001E5B3A"/>
    <w:rsid w:val="001E6C0C"/>
    <w:rsid w:val="001E7C81"/>
    <w:rsid w:val="001F0B2B"/>
    <w:rsid w:val="001F22E9"/>
    <w:rsid w:val="001F32AC"/>
    <w:rsid w:val="001F3F1A"/>
    <w:rsid w:val="001F4344"/>
    <w:rsid w:val="001F4A09"/>
    <w:rsid w:val="001F4BB3"/>
    <w:rsid w:val="001F4BD0"/>
    <w:rsid w:val="001F5E5D"/>
    <w:rsid w:val="001F64D8"/>
    <w:rsid w:val="001F6EE6"/>
    <w:rsid w:val="001F73AB"/>
    <w:rsid w:val="001F7CB4"/>
    <w:rsid w:val="0020073A"/>
    <w:rsid w:val="0020140C"/>
    <w:rsid w:val="0020185F"/>
    <w:rsid w:val="00201FD7"/>
    <w:rsid w:val="00202388"/>
    <w:rsid w:val="00202537"/>
    <w:rsid w:val="00203A86"/>
    <w:rsid w:val="00203DF5"/>
    <w:rsid w:val="002050D7"/>
    <w:rsid w:val="00205462"/>
    <w:rsid w:val="0020577B"/>
    <w:rsid w:val="00205B20"/>
    <w:rsid w:val="00205BAD"/>
    <w:rsid w:val="002061EB"/>
    <w:rsid w:val="00207F38"/>
    <w:rsid w:val="00207FC6"/>
    <w:rsid w:val="002105B2"/>
    <w:rsid w:val="00210A7F"/>
    <w:rsid w:val="002117A5"/>
    <w:rsid w:val="00211D38"/>
    <w:rsid w:val="00213D20"/>
    <w:rsid w:val="0021416F"/>
    <w:rsid w:val="0021722C"/>
    <w:rsid w:val="00217DC7"/>
    <w:rsid w:val="00220A76"/>
    <w:rsid w:val="00221316"/>
    <w:rsid w:val="00221C32"/>
    <w:rsid w:val="00222807"/>
    <w:rsid w:val="00222CDB"/>
    <w:rsid w:val="00223B41"/>
    <w:rsid w:val="00223CEA"/>
    <w:rsid w:val="00223D7E"/>
    <w:rsid w:val="002248B2"/>
    <w:rsid w:val="00225B6B"/>
    <w:rsid w:val="00227285"/>
    <w:rsid w:val="002276E3"/>
    <w:rsid w:val="00227846"/>
    <w:rsid w:val="0023031B"/>
    <w:rsid w:val="002309B4"/>
    <w:rsid w:val="00230BDC"/>
    <w:rsid w:val="0023111D"/>
    <w:rsid w:val="00231AFD"/>
    <w:rsid w:val="00232490"/>
    <w:rsid w:val="00232674"/>
    <w:rsid w:val="00233A7D"/>
    <w:rsid w:val="0023758F"/>
    <w:rsid w:val="00240735"/>
    <w:rsid w:val="00241E92"/>
    <w:rsid w:val="00242BD7"/>
    <w:rsid w:val="00242E70"/>
    <w:rsid w:val="0024337C"/>
    <w:rsid w:val="0024370E"/>
    <w:rsid w:val="00243A6E"/>
    <w:rsid w:val="00243DB6"/>
    <w:rsid w:val="00244E55"/>
    <w:rsid w:val="002452A0"/>
    <w:rsid w:val="00245C4C"/>
    <w:rsid w:val="00246534"/>
    <w:rsid w:val="0024659E"/>
    <w:rsid w:val="00246809"/>
    <w:rsid w:val="00247820"/>
    <w:rsid w:val="00250E92"/>
    <w:rsid w:val="0025103B"/>
    <w:rsid w:val="00251DE1"/>
    <w:rsid w:val="00252153"/>
    <w:rsid w:val="00252D72"/>
    <w:rsid w:val="0025439A"/>
    <w:rsid w:val="00254E00"/>
    <w:rsid w:val="00255586"/>
    <w:rsid w:val="00255916"/>
    <w:rsid w:val="00256A9A"/>
    <w:rsid w:val="00260F6A"/>
    <w:rsid w:val="00261082"/>
    <w:rsid w:val="00262038"/>
    <w:rsid w:val="00262F15"/>
    <w:rsid w:val="00263CA2"/>
    <w:rsid w:val="00263E1B"/>
    <w:rsid w:val="0026427E"/>
    <w:rsid w:val="00264720"/>
    <w:rsid w:val="0026474F"/>
    <w:rsid w:val="00264CE4"/>
    <w:rsid w:val="00264DEA"/>
    <w:rsid w:val="0026644D"/>
    <w:rsid w:val="0027091B"/>
    <w:rsid w:val="002715B9"/>
    <w:rsid w:val="002725F0"/>
    <w:rsid w:val="002730EC"/>
    <w:rsid w:val="00274075"/>
    <w:rsid w:val="002741EF"/>
    <w:rsid w:val="0027493F"/>
    <w:rsid w:val="00274C2E"/>
    <w:rsid w:val="00275735"/>
    <w:rsid w:val="0027662C"/>
    <w:rsid w:val="002779DC"/>
    <w:rsid w:val="00280B20"/>
    <w:rsid w:val="0028128B"/>
    <w:rsid w:val="00282D9C"/>
    <w:rsid w:val="002832E2"/>
    <w:rsid w:val="0028395E"/>
    <w:rsid w:val="00283CD3"/>
    <w:rsid w:val="00284A9F"/>
    <w:rsid w:val="002855CB"/>
    <w:rsid w:val="002862CE"/>
    <w:rsid w:val="002876E3"/>
    <w:rsid w:val="00287C7F"/>
    <w:rsid w:val="002905BC"/>
    <w:rsid w:val="00292438"/>
    <w:rsid w:val="00292B86"/>
    <w:rsid w:val="00293792"/>
    <w:rsid w:val="00293ACD"/>
    <w:rsid w:val="00294608"/>
    <w:rsid w:val="002954FB"/>
    <w:rsid w:val="00295720"/>
    <w:rsid w:val="00296A13"/>
    <w:rsid w:val="00296A16"/>
    <w:rsid w:val="00297252"/>
    <w:rsid w:val="002A2429"/>
    <w:rsid w:val="002A27FE"/>
    <w:rsid w:val="002A3A05"/>
    <w:rsid w:val="002A448D"/>
    <w:rsid w:val="002A51CB"/>
    <w:rsid w:val="002A55C7"/>
    <w:rsid w:val="002A56A5"/>
    <w:rsid w:val="002A5886"/>
    <w:rsid w:val="002A5BD2"/>
    <w:rsid w:val="002A6D3C"/>
    <w:rsid w:val="002A7E34"/>
    <w:rsid w:val="002B0D39"/>
    <w:rsid w:val="002B1571"/>
    <w:rsid w:val="002B1613"/>
    <w:rsid w:val="002B1B9C"/>
    <w:rsid w:val="002B1C34"/>
    <w:rsid w:val="002B1F6B"/>
    <w:rsid w:val="002B29E9"/>
    <w:rsid w:val="002B2CFB"/>
    <w:rsid w:val="002B31A6"/>
    <w:rsid w:val="002B3279"/>
    <w:rsid w:val="002B3CB5"/>
    <w:rsid w:val="002B3D3A"/>
    <w:rsid w:val="002B4A57"/>
    <w:rsid w:val="002B4D4A"/>
    <w:rsid w:val="002B6DAF"/>
    <w:rsid w:val="002B7B25"/>
    <w:rsid w:val="002C036C"/>
    <w:rsid w:val="002C13A3"/>
    <w:rsid w:val="002C1897"/>
    <w:rsid w:val="002C1AB2"/>
    <w:rsid w:val="002C218A"/>
    <w:rsid w:val="002C5348"/>
    <w:rsid w:val="002C5F9E"/>
    <w:rsid w:val="002C61B3"/>
    <w:rsid w:val="002C769F"/>
    <w:rsid w:val="002C7B96"/>
    <w:rsid w:val="002D1522"/>
    <w:rsid w:val="002D1DCB"/>
    <w:rsid w:val="002D24DD"/>
    <w:rsid w:val="002D29D6"/>
    <w:rsid w:val="002D3E21"/>
    <w:rsid w:val="002D465B"/>
    <w:rsid w:val="002D4CA4"/>
    <w:rsid w:val="002D58E0"/>
    <w:rsid w:val="002D5FC6"/>
    <w:rsid w:val="002D6CA5"/>
    <w:rsid w:val="002D74E5"/>
    <w:rsid w:val="002E025F"/>
    <w:rsid w:val="002E0E61"/>
    <w:rsid w:val="002E200E"/>
    <w:rsid w:val="002E2933"/>
    <w:rsid w:val="002E2D0F"/>
    <w:rsid w:val="002E305B"/>
    <w:rsid w:val="002E50A8"/>
    <w:rsid w:val="002E5826"/>
    <w:rsid w:val="002E6346"/>
    <w:rsid w:val="002E65B1"/>
    <w:rsid w:val="002E757F"/>
    <w:rsid w:val="002E7953"/>
    <w:rsid w:val="002F0A71"/>
    <w:rsid w:val="002F0C49"/>
    <w:rsid w:val="002F0FC5"/>
    <w:rsid w:val="002F13B6"/>
    <w:rsid w:val="002F1886"/>
    <w:rsid w:val="002F1995"/>
    <w:rsid w:val="002F1AC7"/>
    <w:rsid w:val="002F1B04"/>
    <w:rsid w:val="002F2100"/>
    <w:rsid w:val="002F3284"/>
    <w:rsid w:val="002F4C93"/>
    <w:rsid w:val="002F52AD"/>
    <w:rsid w:val="002F54CF"/>
    <w:rsid w:val="002F5D0D"/>
    <w:rsid w:val="002F6219"/>
    <w:rsid w:val="002F6323"/>
    <w:rsid w:val="002F6668"/>
    <w:rsid w:val="002F6BF3"/>
    <w:rsid w:val="002F7ACD"/>
    <w:rsid w:val="002F7E70"/>
    <w:rsid w:val="003002D6"/>
    <w:rsid w:val="00300778"/>
    <w:rsid w:val="00301422"/>
    <w:rsid w:val="00302F28"/>
    <w:rsid w:val="00303516"/>
    <w:rsid w:val="00303688"/>
    <w:rsid w:val="00303833"/>
    <w:rsid w:val="00304BD5"/>
    <w:rsid w:val="003053C2"/>
    <w:rsid w:val="003058DF"/>
    <w:rsid w:val="003059E0"/>
    <w:rsid w:val="00305B03"/>
    <w:rsid w:val="00306025"/>
    <w:rsid w:val="0030723B"/>
    <w:rsid w:val="003077B6"/>
    <w:rsid w:val="003078F2"/>
    <w:rsid w:val="00310ED6"/>
    <w:rsid w:val="00311070"/>
    <w:rsid w:val="003110CD"/>
    <w:rsid w:val="003112E5"/>
    <w:rsid w:val="003118CB"/>
    <w:rsid w:val="003129D5"/>
    <w:rsid w:val="003139F4"/>
    <w:rsid w:val="003156F3"/>
    <w:rsid w:val="003158CF"/>
    <w:rsid w:val="00315A9B"/>
    <w:rsid w:val="003218A0"/>
    <w:rsid w:val="00321FAF"/>
    <w:rsid w:val="003229BD"/>
    <w:rsid w:val="0032349E"/>
    <w:rsid w:val="00324767"/>
    <w:rsid w:val="003250F6"/>
    <w:rsid w:val="003257FE"/>
    <w:rsid w:val="00325BFC"/>
    <w:rsid w:val="00325FBF"/>
    <w:rsid w:val="0032732A"/>
    <w:rsid w:val="00327AB3"/>
    <w:rsid w:val="00327E3D"/>
    <w:rsid w:val="00331780"/>
    <w:rsid w:val="00331B72"/>
    <w:rsid w:val="00331B9D"/>
    <w:rsid w:val="00331D23"/>
    <w:rsid w:val="003320B9"/>
    <w:rsid w:val="0033217D"/>
    <w:rsid w:val="0033236C"/>
    <w:rsid w:val="00333EF3"/>
    <w:rsid w:val="0033425C"/>
    <w:rsid w:val="003346A6"/>
    <w:rsid w:val="00334781"/>
    <w:rsid w:val="003359C1"/>
    <w:rsid w:val="00335F9C"/>
    <w:rsid w:val="0033755D"/>
    <w:rsid w:val="0033778A"/>
    <w:rsid w:val="00340905"/>
    <w:rsid w:val="00340CD9"/>
    <w:rsid w:val="00340E75"/>
    <w:rsid w:val="00341788"/>
    <w:rsid w:val="00341F06"/>
    <w:rsid w:val="00343C12"/>
    <w:rsid w:val="00343C65"/>
    <w:rsid w:val="00343D13"/>
    <w:rsid w:val="0034400C"/>
    <w:rsid w:val="00344155"/>
    <w:rsid w:val="0034484F"/>
    <w:rsid w:val="0034488B"/>
    <w:rsid w:val="00344904"/>
    <w:rsid w:val="003457AB"/>
    <w:rsid w:val="00345D98"/>
    <w:rsid w:val="00347228"/>
    <w:rsid w:val="00350A20"/>
    <w:rsid w:val="00352327"/>
    <w:rsid w:val="00352C98"/>
    <w:rsid w:val="00353241"/>
    <w:rsid w:val="00353258"/>
    <w:rsid w:val="003537DD"/>
    <w:rsid w:val="00355517"/>
    <w:rsid w:val="00355634"/>
    <w:rsid w:val="0035590B"/>
    <w:rsid w:val="00355916"/>
    <w:rsid w:val="00356A5B"/>
    <w:rsid w:val="00356CB5"/>
    <w:rsid w:val="0035781E"/>
    <w:rsid w:val="003608B3"/>
    <w:rsid w:val="00360D4D"/>
    <w:rsid w:val="00362412"/>
    <w:rsid w:val="0036399C"/>
    <w:rsid w:val="003642FE"/>
    <w:rsid w:val="00364BFE"/>
    <w:rsid w:val="00364D0B"/>
    <w:rsid w:val="00365CB3"/>
    <w:rsid w:val="00366185"/>
    <w:rsid w:val="0036720E"/>
    <w:rsid w:val="00367925"/>
    <w:rsid w:val="003720B9"/>
    <w:rsid w:val="0037248B"/>
    <w:rsid w:val="00373557"/>
    <w:rsid w:val="0037604F"/>
    <w:rsid w:val="00376A77"/>
    <w:rsid w:val="003802A1"/>
    <w:rsid w:val="003806E8"/>
    <w:rsid w:val="00380A33"/>
    <w:rsid w:val="00380C42"/>
    <w:rsid w:val="00380CA5"/>
    <w:rsid w:val="00380CE3"/>
    <w:rsid w:val="00380F64"/>
    <w:rsid w:val="0038120A"/>
    <w:rsid w:val="00381456"/>
    <w:rsid w:val="00385293"/>
    <w:rsid w:val="0038551F"/>
    <w:rsid w:val="0038600A"/>
    <w:rsid w:val="0038747C"/>
    <w:rsid w:val="00387F72"/>
    <w:rsid w:val="0039105B"/>
    <w:rsid w:val="00392CD9"/>
    <w:rsid w:val="003931D5"/>
    <w:rsid w:val="0039371B"/>
    <w:rsid w:val="00393FC0"/>
    <w:rsid w:val="0039627D"/>
    <w:rsid w:val="0039689B"/>
    <w:rsid w:val="00397053"/>
    <w:rsid w:val="003972BE"/>
    <w:rsid w:val="00397346"/>
    <w:rsid w:val="00397814"/>
    <w:rsid w:val="00397DCD"/>
    <w:rsid w:val="003A11FC"/>
    <w:rsid w:val="003A165D"/>
    <w:rsid w:val="003A22D0"/>
    <w:rsid w:val="003A2960"/>
    <w:rsid w:val="003A3312"/>
    <w:rsid w:val="003A5649"/>
    <w:rsid w:val="003A59ED"/>
    <w:rsid w:val="003A63F0"/>
    <w:rsid w:val="003A69F2"/>
    <w:rsid w:val="003B0262"/>
    <w:rsid w:val="003B0662"/>
    <w:rsid w:val="003B067A"/>
    <w:rsid w:val="003B09F2"/>
    <w:rsid w:val="003B1082"/>
    <w:rsid w:val="003B1795"/>
    <w:rsid w:val="003B22E7"/>
    <w:rsid w:val="003B46AD"/>
    <w:rsid w:val="003B4D6A"/>
    <w:rsid w:val="003B5210"/>
    <w:rsid w:val="003B6473"/>
    <w:rsid w:val="003B77A6"/>
    <w:rsid w:val="003B7B1F"/>
    <w:rsid w:val="003C0706"/>
    <w:rsid w:val="003C156C"/>
    <w:rsid w:val="003C194F"/>
    <w:rsid w:val="003C1FAD"/>
    <w:rsid w:val="003C2A7C"/>
    <w:rsid w:val="003C2C7C"/>
    <w:rsid w:val="003C39EA"/>
    <w:rsid w:val="003C3C42"/>
    <w:rsid w:val="003C4051"/>
    <w:rsid w:val="003C48E9"/>
    <w:rsid w:val="003C4C44"/>
    <w:rsid w:val="003C5CDA"/>
    <w:rsid w:val="003C668C"/>
    <w:rsid w:val="003C6C18"/>
    <w:rsid w:val="003C6ED0"/>
    <w:rsid w:val="003C6F9D"/>
    <w:rsid w:val="003D0FEE"/>
    <w:rsid w:val="003D1711"/>
    <w:rsid w:val="003D1ADA"/>
    <w:rsid w:val="003D1FEA"/>
    <w:rsid w:val="003D3F27"/>
    <w:rsid w:val="003D4228"/>
    <w:rsid w:val="003D47B0"/>
    <w:rsid w:val="003D4DB8"/>
    <w:rsid w:val="003D55F2"/>
    <w:rsid w:val="003E053E"/>
    <w:rsid w:val="003E070E"/>
    <w:rsid w:val="003E070F"/>
    <w:rsid w:val="003E0916"/>
    <w:rsid w:val="003E1677"/>
    <w:rsid w:val="003E2640"/>
    <w:rsid w:val="003E298F"/>
    <w:rsid w:val="003E4DB4"/>
    <w:rsid w:val="003E57D9"/>
    <w:rsid w:val="003E5B8A"/>
    <w:rsid w:val="003E7A0E"/>
    <w:rsid w:val="003F054D"/>
    <w:rsid w:val="003F0C6B"/>
    <w:rsid w:val="003F15B5"/>
    <w:rsid w:val="003F2750"/>
    <w:rsid w:val="003F2A4F"/>
    <w:rsid w:val="003F32AB"/>
    <w:rsid w:val="003F54A6"/>
    <w:rsid w:val="003F5DD0"/>
    <w:rsid w:val="003F6698"/>
    <w:rsid w:val="003F7439"/>
    <w:rsid w:val="00400DD2"/>
    <w:rsid w:val="00401196"/>
    <w:rsid w:val="00401412"/>
    <w:rsid w:val="00401830"/>
    <w:rsid w:val="00401A8E"/>
    <w:rsid w:val="004029BC"/>
    <w:rsid w:val="00402B0E"/>
    <w:rsid w:val="00402C54"/>
    <w:rsid w:val="00403C65"/>
    <w:rsid w:val="00403E3C"/>
    <w:rsid w:val="00403FBE"/>
    <w:rsid w:val="00404A9D"/>
    <w:rsid w:val="00404C1A"/>
    <w:rsid w:val="004052EB"/>
    <w:rsid w:val="004062A1"/>
    <w:rsid w:val="00407803"/>
    <w:rsid w:val="00407C35"/>
    <w:rsid w:val="00410268"/>
    <w:rsid w:val="0041143B"/>
    <w:rsid w:val="00412205"/>
    <w:rsid w:val="0041278B"/>
    <w:rsid w:val="00412905"/>
    <w:rsid w:val="004140DE"/>
    <w:rsid w:val="00414229"/>
    <w:rsid w:val="00414B9C"/>
    <w:rsid w:val="00414DC4"/>
    <w:rsid w:val="0041577F"/>
    <w:rsid w:val="00415811"/>
    <w:rsid w:val="00415ABF"/>
    <w:rsid w:val="00415D7B"/>
    <w:rsid w:val="00415E0B"/>
    <w:rsid w:val="004177C7"/>
    <w:rsid w:val="00421A01"/>
    <w:rsid w:val="00421C23"/>
    <w:rsid w:val="00421F5B"/>
    <w:rsid w:val="00422BA8"/>
    <w:rsid w:val="00422EE1"/>
    <w:rsid w:val="00423CF9"/>
    <w:rsid w:val="0042529B"/>
    <w:rsid w:val="00426219"/>
    <w:rsid w:val="004314D8"/>
    <w:rsid w:val="00432E25"/>
    <w:rsid w:val="00433C1F"/>
    <w:rsid w:val="00433CBE"/>
    <w:rsid w:val="004347EC"/>
    <w:rsid w:val="004357C7"/>
    <w:rsid w:val="00436396"/>
    <w:rsid w:val="00436697"/>
    <w:rsid w:val="00437037"/>
    <w:rsid w:val="00437B5C"/>
    <w:rsid w:val="00437C8F"/>
    <w:rsid w:val="00437E52"/>
    <w:rsid w:val="00440EEA"/>
    <w:rsid w:val="0044166F"/>
    <w:rsid w:val="00442BF8"/>
    <w:rsid w:val="0044662F"/>
    <w:rsid w:val="00447516"/>
    <w:rsid w:val="00447698"/>
    <w:rsid w:val="00447DEB"/>
    <w:rsid w:val="0045081D"/>
    <w:rsid w:val="00450A4A"/>
    <w:rsid w:val="00451B40"/>
    <w:rsid w:val="004528B2"/>
    <w:rsid w:val="004529B1"/>
    <w:rsid w:val="00452FBA"/>
    <w:rsid w:val="00454862"/>
    <w:rsid w:val="00455177"/>
    <w:rsid w:val="004566E0"/>
    <w:rsid w:val="00456A14"/>
    <w:rsid w:val="0045704F"/>
    <w:rsid w:val="004600D8"/>
    <w:rsid w:val="004630D6"/>
    <w:rsid w:val="00463DDD"/>
    <w:rsid w:val="00463FAF"/>
    <w:rsid w:val="004661EE"/>
    <w:rsid w:val="004665AA"/>
    <w:rsid w:val="004715A4"/>
    <w:rsid w:val="00472165"/>
    <w:rsid w:val="0047237A"/>
    <w:rsid w:val="00472419"/>
    <w:rsid w:val="0047299E"/>
    <w:rsid w:val="00472AB0"/>
    <w:rsid w:val="00472CB6"/>
    <w:rsid w:val="0047489A"/>
    <w:rsid w:val="00475237"/>
    <w:rsid w:val="00476AAF"/>
    <w:rsid w:val="00476E6A"/>
    <w:rsid w:val="00477849"/>
    <w:rsid w:val="004801D4"/>
    <w:rsid w:val="004804F5"/>
    <w:rsid w:val="004809E1"/>
    <w:rsid w:val="00481B3E"/>
    <w:rsid w:val="0048281B"/>
    <w:rsid w:val="004841F7"/>
    <w:rsid w:val="00484463"/>
    <w:rsid w:val="00484838"/>
    <w:rsid w:val="00484B58"/>
    <w:rsid w:val="004850BB"/>
    <w:rsid w:val="00485C02"/>
    <w:rsid w:val="00485E5B"/>
    <w:rsid w:val="00485F40"/>
    <w:rsid w:val="004873EA"/>
    <w:rsid w:val="004904FB"/>
    <w:rsid w:val="0049123A"/>
    <w:rsid w:val="00493429"/>
    <w:rsid w:val="004946D2"/>
    <w:rsid w:val="004947F8"/>
    <w:rsid w:val="00494EFA"/>
    <w:rsid w:val="004956EE"/>
    <w:rsid w:val="00495AD0"/>
    <w:rsid w:val="00495D0E"/>
    <w:rsid w:val="004968ED"/>
    <w:rsid w:val="004A2A08"/>
    <w:rsid w:val="004A397F"/>
    <w:rsid w:val="004A468B"/>
    <w:rsid w:val="004A498C"/>
    <w:rsid w:val="004A4CAE"/>
    <w:rsid w:val="004A569C"/>
    <w:rsid w:val="004A6EB2"/>
    <w:rsid w:val="004A75B8"/>
    <w:rsid w:val="004A7614"/>
    <w:rsid w:val="004A7B80"/>
    <w:rsid w:val="004A7F61"/>
    <w:rsid w:val="004B02D5"/>
    <w:rsid w:val="004B2BC2"/>
    <w:rsid w:val="004B2C74"/>
    <w:rsid w:val="004B465F"/>
    <w:rsid w:val="004B5E6D"/>
    <w:rsid w:val="004B6650"/>
    <w:rsid w:val="004B7AD8"/>
    <w:rsid w:val="004C1366"/>
    <w:rsid w:val="004C1AC4"/>
    <w:rsid w:val="004C2791"/>
    <w:rsid w:val="004C2819"/>
    <w:rsid w:val="004C2A82"/>
    <w:rsid w:val="004C344E"/>
    <w:rsid w:val="004C3DB0"/>
    <w:rsid w:val="004C6ABC"/>
    <w:rsid w:val="004C745C"/>
    <w:rsid w:val="004D16C0"/>
    <w:rsid w:val="004D187B"/>
    <w:rsid w:val="004D202F"/>
    <w:rsid w:val="004D24AF"/>
    <w:rsid w:val="004D2927"/>
    <w:rsid w:val="004D29A1"/>
    <w:rsid w:val="004D2A18"/>
    <w:rsid w:val="004D2F65"/>
    <w:rsid w:val="004D3236"/>
    <w:rsid w:val="004D4582"/>
    <w:rsid w:val="004D4687"/>
    <w:rsid w:val="004D4B39"/>
    <w:rsid w:val="004D6243"/>
    <w:rsid w:val="004D76DE"/>
    <w:rsid w:val="004D7AFD"/>
    <w:rsid w:val="004E115F"/>
    <w:rsid w:val="004E1571"/>
    <w:rsid w:val="004E22AB"/>
    <w:rsid w:val="004E267C"/>
    <w:rsid w:val="004E2AAF"/>
    <w:rsid w:val="004E3297"/>
    <w:rsid w:val="004E3494"/>
    <w:rsid w:val="004E3609"/>
    <w:rsid w:val="004E3B5B"/>
    <w:rsid w:val="004E4A12"/>
    <w:rsid w:val="004E505C"/>
    <w:rsid w:val="004E5ACB"/>
    <w:rsid w:val="004E6345"/>
    <w:rsid w:val="004E6EA2"/>
    <w:rsid w:val="004E773B"/>
    <w:rsid w:val="004E7B23"/>
    <w:rsid w:val="004F0B21"/>
    <w:rsid w:val="004F1AF6"/>
    <w:rsid w:val="004F26DE"/>
    <w:rsid w:val="004F35F4"/>
    <w:rsid w:val="004F36F1"/>
    <w:rsid w:val="004F370D"/>
    <w:rsid w:val="004F3DFA"/>
    <w:rsid w:val="004F49B8"/>
    <w:rsid w:val="004F60EE"/>
    <w:rsid w:val="004F6749"/>
    <w:rsid w:val="004F6F3C"/>
    <w:rsid w:val="005007B6"/>
    <w:rsid w:val="00501571"/>
    <w:rsid w:val="00501DDB"/>
    <w:rsid w:val="00502652"/>
    <w:rsid w:val="00502D67"/>
    <w:rsid w:val="00502DF3"/>
    <w:rsid w:val="00504A66"/>
    <w:rsid w:val="00504D7F"/>
    <w:rsid w:val="005063FE"/>
    <w:rsid w:val="00507033"/>
    <w:rsid w:val="00510753"/>
    <w:rsid w:val="00510B02"/>
    <w:rsid w:val="00510B5D"/>
    <w:rsid w:val="00512040"/>
    <w:rsid w:val="00513CC1"/>
    <w:rsid w:val="00514230"/>
    <w:rsid w:val="00516681"/>
    <w:rsid w:val="0052005E"/>
    <w:rsid w:val="00520551"/>
    <w:rsid w:val="005208A3"/>
    <w:rsid w:val="00521490"/>
    <w:rsid w:val="00522DC1"/>
    <w:rsid w:val="00524518"/>
    <w:rsid w:val="00525770"/>
    <w:rsid w:val="00525A4C"/>
    <w:rsid w:val="00525AE3"/>
    <w:rsid w:val="005263C9"/>
    <w:rsid w:val="00527130"/>
    <w:rsid w:val="00527563"/>
    <w:rsid w:val="005275C7"/>
    <w:rsid w:val="00527BE6"/>
    <w:rsid w:val="00527E64"/>
    <w:rsid w:val="00530393"/>
    <w:rsid w:val="00530A8F"/>
    <w:rsid w:val="005314CF"/>
    <w:rsid w:val="00531AB2"/>
    <w:rsid w:val="005323CB"/>
    <w:rsid w:val="00536255"/>
    <w:rsid w:val="005370D7"/>
    <w:rsid w:val="005375F9"/>
    <w:rsid w:val="0053772A"/>
    <w:rsid w:val="00540891"/>
    <w:rsid w:val="00540EB6"/>
    <w:rsid w:val="00542FE3"/>
    <w:rsid w:val="00543C0E"/>
    <w:rsid w:val="00543E9E"/>
    <w:rsid w:val="00544312"/>
    <w:rsid w:val="00544418"/>
    <w:rsid w:val="00545015"/>
    <w:rsid w:val="00545ED9"/>
    <w:rsid w:val="005463EB"/>
    <w:rsid w:val="00546520"/>
    <w:rsid w:val="00546727"/>
    <w:rsid w:val="00546F78"/>
    <w:rsid w:val="0054731B"/>
    <w:rsid w:val="005473F2"/>
    <w:rsid w:val="0055083B"/>
    <w:rsid w:val="005509E8"/>
    <w:rsid w:val="00550B1D"/>
    <w:rsid w:val="00551464"/>
    <w:rsid w:val="005517F1"/>
    <w:rsid w:val="005525D4"/>
    <w:rsid w:val="00553270"/>
    <w:rsid w:val="00553BCB"/>
    <w:rsid w:val="00554992"/>
    <w:rsid w:val="00554E3F"/>
    <w:rsid w:val="00554F61"/>
    <w:rsid w:val="00555EF9"/>
    <w:rsid w:val="00560027"/>
    <w:rsid w:val="00560210"/>
    <w:rsid w:val="00561447"/>
    <w:rsid w:val="005618A4"/>
    <w:rsid w:val="0056366B"/>
    <w:rsid w:val="00563694"/>
    <w:rsid w:val="005637E8"/>
    <w:rsid w:val="005643E8"/>
    <w:rsid w:val="00564A9C"/>
    <w:rsid w:val="00565EF3"/>
    <w:rsid w:val="00566568"/>
    <w:rsid w:val="00566ABE"/>
    <w:rsid w:val="00567A4F"/>
    <w:rsid w:val="00567A7D"/>
    <w:rsid w:val="00571A23"/>
    <w:rsid w:val="00572E79"/>
    <w:rsid w:val="00573924"/>
    <w:rsid w:val="00573D8A"/>
    <w:rsid w:val="005744D4"/>
    <w:rsid w:val="00574E30"/>
    <w:rsid w:val="005761C5"/>
    <w:rsid w:val="0057726B"/>
    <w:rsid w:val="005804B5"/>
    <w:rsid w:val="005816C4"/>
    <w:rsid w:val="00581A3A"/>
    <w:rsid w:val="005836C1"/>
    <w:rsid w:val="00586A7B"/>
    <w:rsid w:val="00590F75"/>
    <w:rsid w:val="005912DF"/>
    <w:rsid w:val="00592DF2"/>
    <w:rsid w:val="00593108"/>
    <w:rsid w:val="00593589"/>
    <w:rsid w:val="005943CC"/>
    <w:rsid w:val="005955AE"/>
    <w:rsid w:val="00595CF2"/>
    <w:rsid w:val="00595DD6"/>
    <w:rsid w:val="00596358"/>
    <w:rsid w:val="00596C1B"/>
    <w:rsid w:val="00597599"/>
    <w:rsid w:val="0059792D"/>
    <w:rsid w:val="00597B20"/>
    <w:rsid w:val="005A0464"/>
    <w:rsid w:val="005A0F85"/>
    <w:rsid w:val="005A109D"/>
    <w:rsid w:val="005A1AB9"/>
    <w:rsid w:val="005A2DEA"/>
    <w:rsid w:val="005A4070"/>
    <w:rsid w:val="005A467F"/>
    <w:rsid w:val="005A6171"/>
    <w:rsid w:val="005A62FF"/>
    <w:rsid w:val="005A6452"/>
    <w:rsid w:val="005A7B44"/>
    <w:rsid w:val="005B17E4"/>
    <w:rsid w:val="005B2010"/>
    <w:rsid w:val="005B2C25"/>
    <w:rsid w:val="005B3762"/>
    <w:rsid w:val="005B3C8F"/>
    <w:rsid w:val="005B4EA7"/>
    <w:rsid w:val="005B64F4"/>
    <w:rsid w:val="005B7038"/>
    <w:rsid w:val="005B7248"/>
    <w:rsid w:val="005B7A22"/>
    <w:rsid w:val="005C14E1"/>
    <w:rsid w:val="005C1EA7"/>
    <w:rsid w:val="005C2134"/>
    <w:rsid w:val="005C3224"/>
    <w:rsid w:val="005C46B9"/>
    <w:rsid w:val="005C4B75"/>
    <w:rsid w:val="005C4FC9"/>
    <w:rsid w:val="005C53D8"/>
    <w:rsid w:val="005C58C3"/>
    <w:rsid w:val="005C5CA3"/>
    <w:rsid w:val="005C7591"/>
    <w:rsid w:val="005C7CD6"/>
    <w:rsid w:val="005D5A46"/>
    <w:rsid w:val="005D7BF0"/>
    <w:rsid w:val="005E0C71"/>
    <w:rsid w:val="005E3740"/>
    <w:rsid w:val="005E3DB9"/>
    <w:rsid w:val="005E4FE3"/>
    <w:rsid w:val="005E6A8D"/>
    <w:rsid w:val="005E6EA0"/>
    <w:rsid w:val="005E6F56"/>
    <w:rsid w:val="005E7714"/>
    <w:rsid w:val="005F02F8"/>
    <w:rsid w:val="005F06CC"/>
    <w:rsid w:val="005F1D35"/>
    <w:rsid w:val="005F1F09"/>
    <w:rsid w:val="005F2085"/>
    <w:rsid w:val="005F2661"/>
    <w:rsid w:val="005F2894"/>
    <w:rsid w:val="005F32DF"/>
    <w:rsid w:val="005F37E6"/>
    <w:rsid w:val="005F3DB1"/>
    <w:rsid w:val="005F496C"/>
    <w:rsid w:val="005F4CE3"/>
    <w:rsid w:val="005F55E0"/>
    <w:rsid w:val="005F6065"/>
    <w:rsid w:val="005F62F2"/>
    <w:rsid w:val="005F66F9"/>
    <w:rsid w:val="005F7CD0"/>
    <w:rsid w:val="0060195A"/>
    <w:rsid w:val="0060226F"/>
    <w:rsid w:val="006043CA"/>
    <w:rsid w:val="00604B29"/>
    <w:rsid w:val="00606BA0"/>
    <w:rsid w:val="00607BB3"/>
    <w:rsid w:val="00607F29"/>
    <w:rsid w:val="00610076"/>
    <w:rsid w:val="006106DC"/>
    <w:rsid w:val="00610DEB"/>
    <w:rsid w:val="00611CDF"/>
    <w:rsid w:val="0061200A"/>
    <w:rsid w:val="006123A5"/>
    <w:rsid w:val="006130AA"/>
    <w:rsid w:val="00613BBD"/>
    <w:rsid w:val="00613D79"/>
    <w:rsid w:val="00614C12"/>
    <w:rsid w:val="0061588E"/>
    <w:rsid w:val="00615C64"/>
    <w:rsid w:val="00616C30"/>
    <w:rsid w:val="00616D03"/>
    <w:rsid w:val="0061711E"/>
    <w:rsid w:val="00617443"/>
    <w:rsid w:val="0062030F"/>
    <w:rsid w:val="006208DC"/>
    <w:rsid w:val="00620F04"/>
    <w:rsid w:val="006223D7"/>
    <w:rsid w:val="006236DE"/>
    <w:rsid w:val="00626AEE"/>
    <w:rsid w:val="00627664"/>
    <w:rsid w:val="00627BA5"/>
    <w:rsid w:val="00630834"/>
    <w:rsid w:val="00630925"/>
    <w:rsid w:val="00630E17"/>
    <w:rsid w:val="0063144C"/>
    <w:rsid w:val="00631861"/>
    <w:rsid w:val="006329F2"/>
    <w:rsid w:val="00632EC1"/>
    <w:rsid w:val="006330D3"/>
    <w:rsid w:val="00633171"/>
    <w:rsid w:val="00633322"/>
    <w:rsid w:val="00633A3C"/>
    <w:rsid w:val="006343EE"/>
    <w:rsid w:val="00634802"/>
    <w:rsid w:val="00634C2C"/>
    <w:rsid w:val="006358B3"/>
    <w:rsid w:val="00635A09"/>
    <w:rsid w:val="006369D4"/>
    <w:rsid w:val="00637216"/>
    <w:rsid w:val="00637C83"/>
    <w:rsid w:val="00641CFB"/>
    <w:rsid w:val="00643A94"/>
    <w:rsid w:val="00643B68"/>
    <w:rsid w:val="00645039"/>
    <w:rsid w:val="0064517F"/>
    <w:rsid w:val="0064532E"/>
    <w:rsid w:val="00645FB3"/>
    <w:rsid w:val="006461FB"/>
    <w:rsid w:val="006465AD"/>
    <w:rsid w:val="006465F4"/>
    <w:rsid w:val="006471C3"/>
    <w:rsid w:val="0064733A"/>
    <w:rsid w:val="006508AD"/>
    <w:rsid w:val="0065196A"/>
    <w:rsid w:val="00652045"/>
    <w:rsid w:val="006520A4"/>
    <w:rsid w:val="0065214C"/>
    <w:rsid w:val="006521A2"/>
    <w:rsid w:val="00652EB2"/>
    <w:rsid w:val="00653048"/>
    <w:rsid w:val="00653767"/>
    <w:rsid w:val="00654255"/>
    <w:rsid w:val="00654AEA"/>
    <w:rsid w:val="00654C62"/>
    <w:rsid w:val="00654F04"/>
    <w:rsid w:val="00655919"/>
    <w:rsid w:val="00655A7D"/>
    <w:rsid w:val="00656D56"/>
    <w:rsid w:val="006575E3"/>
    <w:rsid w:val="0066003B"/>
    <w:rsid w:val="0066122B"/>
    <w:rsid w:val="00661429"/>
    <w:rsid w:val="006614C5"/>
    <w:rsid w:val="00661F69"/>
    <w:rsid w:val="0066300E"/>
    <w:rsid w:val="00663A3D"/>
    <w:rsid w:val="00665CF6"/>
    <w:rsid w:val="006667BB"/>
    <w:rsid w:val="00666B5D"/>
    <w:rsid w:val="00667225"/>
    <w:rsid w:val="006672D2"/>
    <w:rsid w:val="0066740B"/>
    <w:rsid w:val="00671083"/>
    <w:rsid w:val="006726A6"/>
    <w:rsid w:val="00672C86"/>
    <w:rsid w:val="00673FE6"/>
    <w:rsid w:val="00673FF6"/>
    <w:rsid w:val="00675899"/>
    <w:rsid w:val="00676970"/>
    <w:rsid w:val="0067780D"/>
    <w:rsid w:val="006819C7"/>
    <w:rsid w:val="00682AA9"/>
    <w:rsid w:val="00682F5E"/>
    <w:rsid w:val="00684E50"/>
    <w:rsid w:val="006850F1"/>
    <w:rsid w:val="006852EA"/>
    <w:rsid w:val="0068544B"/>
    <w:rsid w:val="00685452"/>
    <w:rsid w:val="006859CE"/>
    <w:rsid w:val="00685CE1"/>
    <w:rsid w:val="00686685"/>
    <w:rsid w:val="006866C5"/>
    <w:rsid w:val="00687259"/>
    <w:rsid w:val="00687318"/>
    <w:rsid w:val="00687A24"/>
    <w:rsid w:val="0069103D"/>
    <w:rsid w:val="0069193F"/>
    <w:rsid w:val="00691BED"/>
    <w:rsid w:val="00692CBD"/>
    <w:rsid w:val="00695A38"/>
    <w:rsid w:val="00695D1A"/>
    <w:rsid w:val="006971F8"/>
    <w:rsid w:val="00697F86"/>
    <w:rsid w:val="006A01B8"/>
    <w:rsid w:val="006A0335"/>
    <w:rsid w:val="006A0E23"/>
    <w:rsid w:val="006A16B4"/>
    <w:rsid w:val="006A188C"/>
    <w:rsid w:val="006A2A82"/>
    <w:rsid w:val="006A3104"/>
    <w:rsid w:val="006A340B"/>
    <w:rsid w:val="006A3C04"/>
    <w:rsid w:val="006A40E9"/>
    <w:rsid w:val="006A47FC"/>
    <w:rsid w:val="006A6725"/>
    <w:rsid w:val="006A68E9"/>
    <w:rsid w:val="006A73D5"/>
    <w:rsid w:val="006A78C7"/>
    <w:rsid w:val="006A796E"/>
    <w:rsid w:val="006B11B9"/>
    <w:rsid w:val="006B1A91"/>
    <w:rsid w:val="006B2E80"/>
    <w:rsid w:val="006B41BF"/>
    <w:rsid w:val="006B4D79"/>
    <w:rsid w:val="006C14C3"/>
    <w:rsid w:val="006C1A00"/>
    <w:rsid w:val="006C1B80"/>
    <w:rsid w:val="006C2398"/>
    <w:rsid w:val="006C2B2E"/>
    <w:rsid w:val="006C355A"/>
    <w:rsid w:val="006C54F3"/>
    <w:rsid w:val="006C65F7"/>
    <w:rsid w:val="006D0D9B"/>
    <w:rsid w:val="006D1B3C"/>
    <w:rsid w:val="006D1D44"/>
    <w:rsid w:val="006D67BC"/>
    <w:rsid w:val="006D6C9A"/>
    <w:rsid w:val="006D7126"/>
    <w:rsid w:val="006D735C"/>
    <w:rsid w:val="006E0A9E"/>
    <w:rsid w:val="006E1953"/>
    <w:rsid w:val="006E3896"/>
    <w:rsid w:val="006E49C3"/>
    <w:rsid w:val="006E4D09"/>
    <w:rsid w:val="006E5B15"/>
    <w:rsid w:val="006E72CC"/>
    <w:rsid w:val="006F2664"/>
    <w:rsid w:val="006F295E"/>
    <w:rsid w:val="006F3B71"/>
    <w:rsid w:val="006F5E06"/>
    <w:rsid w:val="006F6C1D"/>
    <w:rsid w:val="006F6F3D"/>
    <w:rsid w:val="006F730A"/>
    <w:rsid w:val="00700B9E"/>
    <w:rsid w:val="00702CF2"/>
    <w:rsid w:val="00702E64"/>
    <w:rsid w:val="00703B49"/>
    <w:rsid w:val="0070539F"/>
    <w:rsid w:val="00706688"/>
    <w:rsid w:val="00706B71"/>
    <w:rsid w:val="00707188"/>
    <w:rsid w:val="00712CD2"/>
    <w:rsid w:val="00713469"/>
    <w:rsid w:val="007139F0"/>
    <w:rsid w:val="00714517"/>
    <w:rsid w:val="00715296"/>
    <w:rsid w:val="007159F3"/>
    <w:rsid w:val="00715D37"/>
    <w:rsid w:val="00716419"/>
    <w:rsid w:val="00716FD0"/>
    <w:rsid w:val="00717266"/>
    <w:rsid w:val="00717779"/>
    <w:rsid w:val="0072011E"/>
    <w:rsid w:val="007203FF"/>
    <w:rsid w:val="00721DEE"/>
    <w:rsid w:val="00722143"/>
    <w:rsid w:val="0072300C"/>
    <w:rsid w:val="007233C7"/>
    <w:rsid w:val="007237EF"/>
    <w:rsid w:val="00723897"/>
    <w:rsid w:val="00724879"/>
    <w:rsid w:val="00724CB3"/>
    <w:rsid w:val="00724D60"/>
    <w:rsid w:val="0072575A"/>
    <w:rsid w:val="00725E9C"/>
    <w:rsid w:val="007264D8"/>
    <w:rsid w:val="0072733E"/>
    <w:rsid w:val="00727F8E"/>
    <w:rsid w:val="00730296"/>
    <w:rsid w:val="00730C3F"/>
    <w:rsid w:val="007317CA"/>
    <w:rsid w:val="007326AB"/>
    <w:rsid w:val="007326EE"/>
    <w:rsid w:val="007327A5"/>
    <w:rsid w:val="00732B7B"/>
    <w:rsid w:val="00732C10"/>
    <w:rsid w:val="00732E89"/>
    <w:rsid w:val="00732E9E"/>
    <w:rsid w:val="007330F3"/>
    <w:rsid w:val="0073383D"/>
    <w:rsid w:val="00733C0C"/>
    <w:rsid w:val="0073625D"/>
    <w:rsid w:val="00740F00"/>
    <w:rsid w:val="007425B4"/>
    <w:rsid w:val="00742E19"/>
    <w:rsid w:val="00743BB6"/>
    <w:rsid w:val="007447BE"/>
    <w:rsid w:val="00747476"/>
    <w:rsid w:val="007474BD"/>
    <w:rsid w:val="00747837"/>
    <w:rsid w:val="007500D8"/>
    <w:rsid w:val="00750610"/>
    <w:rsid w:val="00750B65"/>
    <w:rsid w:val="00750F18"/>
    <w:rsid w:val="007511C2"/>
    <w:rsid w:val="007511E3"/>
    <w:rsid w:val="007516AF"/>
    <w:rsid w:val="007521C2"/>
    <w:rsid w:val="00752D46"/>
    <w:rsid w:val="007537DB"/>
    <w:rsid w:val="00753A37"/>
    <w:rsid w:val="0075429C"/>
    <w:rsid w:val="007561F7"/>
    <w:rsid w:val="007563FD"/>
    <w:rsid w:val="00756409"/>
    <w:rsid w:val="0075689A"/>
    <w:rsid w:val="007604C9"/>
    <w:rsid w:val="00760F15"/>
    <w:rsid w:val="00761E9F"/>
    <w:rsid w:val="00762F53"/>
    <w:rsid w:val="00763CDC"/>
    <w:rsid w:val="007641E2"/>
    <w:rsid w:val="007652F7"/>
    <w:rsid w:val="00765442"/>
    <w:rsid w:val="00765D0D"/>
    <w:rsid w:val="007674D4"/>
    <w:rsid w:val="00767B22"/>
    <w:rsid w:val="007708F0"/>
    <w:rsid w:val="0077149B"/>
    <w:rsid w:val="00772532"/>
    <w:rsid w:val="007732B1"/>
    <w:rsid w:val="007738E5"/>
    <w:rsid w:val="00774C6B"/>
    <w:rsid w:val="00774D67"/>
    <w:rsid w:val="00775919"/>
    <w:rsid w:val="00775AB2"/>
    <w:rsid w:val="0078019F"/>
    <w:rsid w:val="00781017"/>
    <w:rsid w:val="00781A7B"/>
    <w:rsid w:val="007833B8"/>
    <w:rsid w:val="0078351A"/>
    <w:rsid w:val="0078444A"/>
    <w:rsid w:val="00784A77"/>
    <w:rsid w:val="00784C69"/>
    <w:rsid w:val="00784F26"/>
    <w:rsid w:val="007852F0"/>
    <w:rsid w:val="00785370"/>
    <w:rsid w:val="00785656"/>
    <w:rsid w:val="00785923"/>
    <w:rsid w:val="00786A99"/>
    <w:rsid w:val="007873EC"/>
    <w:rsid w:val="00787931"/>
    <w:rsid w:val="00790952"/>
    <w:rsid w:val="00791195"/>
    <w:rsid w:val="007917DF"/>
    <w:rsid w:val="00791DCD"/>
    <w:rsid w:val="0079213B"/>
    <w:rsid w:val="007927F5"/>
    <w:rsid w:val="00793A48"/>
    <w:rsid w:val="00793D29"/>
    <w:rsid w:val="00795B6A"/>
    <w:rsid w:val="00797C0B"/>
    <w:rsid w:val="007A05B0"/>
    <w:rsid w:val="007A0875"/>
    <w:rsid w:val="007A0B23"/>
    <w:rsid w:val="007A14C6"/>
    <w:rsid w:val="007A1BE1"/>
    <w:rsid w:val="007A214C"/>
    <w:rsid w:val="007A2152"/>
    <w:rsid w:val="007A3548"/>
    <w:rsid w:val="007A5090"/>
    <w:rsid w:val="007A5BA6"/>
    <w:rsid w:val="007A5F82"/>
    <w:rsid w:val="007A668E"/>
    <w:rsid w:val="007A7277"/>
    <w:rsid w:val="007B102D"/>
    <w:rsid w:val="007B146C"/>
    <w:rsid w:val="007B1674"/>
    <w:rsid w:val="007B1BA1"/>
    <w:rsid w:val="007B22DC"/>
    <w:rsid w:val="007B28D9"/>
    <w:rsid w:val="007B30F4"/>
    <w:rsid w:val="007B52FA"/>
    <w:rsid w:val="007B5BD3"/>
    <w:rsid w:val="007B5DA2"/>
    <w:rsid w:val="007B6BAA"/>
    <w:rsid w:val="007C0CBE"/>
    <w:rsid w:val="007C1F2D"/>
    <w:rsid w:val="007C207D"/>
    <w:rsid w:val="007C2259"/>
    <w:rsid w:val="007C34D4"/>
    <w:rsid w:val="007C3F35"/>
    <w:rsid w:val="007C49F2"/>
    <w:rsid w:val="007C5566"/>
    <w:rsid w:val="007C7425"/>
    <w:rsid w:val="007D03DC"/>
    <w:rsid w:val="007D25EF"/>
    <w:rsid w:val="007D288D"/>
    <w:rsid w:val="007D29EB"/>
    <w:rsid w:val="007D31E0"/>
    <w:rsid w:val="007D34F1"/>
    <w:rsid w:val="007D3BE8"/>
    <w:rsid w:val="007D4262"/>
    <w:rsid w:val="007D4BC6"/>
    <w:rsid w:val="007D5A65"/>
    <w:rsid w:val="007D63F6"/>
    <w:rsid w:val="007D719A"/>
    <w:rsid w:val="007D7A11"/>
    <w:rsid w:val="007D7B5D"/>
    <w:rsid w:val="007E0188"/>
    <w:rsid w:val="007E15AF"/>
    <w:rsid w:val="007E220B"/>
    <w:rsid w:val="007E22F0"/>
    <w:rsid w:val="007E4272"/>
    <w:rsid w:val="007E48DD"/>
    <w:rsid w:val="007E4D0C"/>
    <w:rsid w:val="007E6F4B"/>
    <w:rsid w:val="007E7024"/>
    <w:rsid w:val="007E7BB4"/>
    <w:rsid w:val="007F0952"/>
    <w:rsid w:val="007F097F"/>
    <w:rsid w:val="007F1D02"/>
    <w:rsid w:val="007F1F3A"/>
    <w:rsid w:val="007F223B"/>
    <w:rsid w:val="007F2BA6"/>
    <w:rsid w:val="007F2BA8"/>
    <w:rsid w:val="007F39AC"/>
    <w:rsid w:val="007F3A6A"/>
    <w:rsid w:val="007F3DD0"/>
    <w:rsid w:val="007F66C3"/>
    <w:rsid w:val="007F6AFF"/>
    <w:rsid w:val="00801935"/>
    <w:rsid w:val="00801E01"/>
    <w:rsid w:val="00801F28"/>
    <w:rsid w:val="008024C3"/>
    <w:rsid w:val="008033CA"/>
    <w:rsid w:val="00803DD9"/>
    <w:rsid w:val="0080439F"/>
    <w:rsid w:val="00804D30"/>
    <w:rsid w:val="008055E1"/>
    <w:rsid w:val="00807126"/>
    <w:rsid w:val="00810536"/>
    <w:rsid w:val="008107CC"/>
    <w:rsid w:val="0081110E"/>
    <w:rsid w:val="00811264"/>
    <w:rsid w:val="0081143F"/>
    <w:rsid w:val="008125B3"/>
    <w:rsid w:val="00812770"/>
    <w:rsid w:val="008140B3"/>
    <w:rsid w:val="00815160"/>
    <w:rsid w:val="00815FAB"/>
    <w:rsid w:val="008171E9"/>
    <w:rsid w:val="008172C6"/>
    <w:rsid w:val="008179D7"/>
    <w:rsid w:val="00817D8F"/>
    <w:rsid w:val="00820A7B"/>
    <w:rsid w:val="00821284"/>
    <w:rsid w:val="00821B3B"/>
    <w:rsid w:val="00821E13"/>
    <w:rsid w:val="00821ECB"/>
    <w:rsid w:val="008238A5"/>
    <w:rsid w:val="0082481B"/>
    <w:rsid w:val="00824E61"/>
    <w:rsid w:val="00824ECF"/>
    <w:rsid w:val="00825268"/>
    <w:rsid w:val="00825E25"/>
    <w:rsid w:val="00825F21"/>
    <w:rsid w:val="008265F2"/>
    <w:rsid w:val="0083082B"/>
    <w:rsid w:val="00832698"/>
    <w:rsid w:val="00832D19"/>
    <w:rsid w:val="00833165"/>
    <w:rsid w:val="008339CA"/>
    <w:rsid w:val="00833B81"/>
    <w:rsid w:val="00834301"/>
    <w:rsid w:val="008343A4"/>
    <w:rsid w:val="00835325"/>
    <w:rsid w:val="00836029"/>
    <w:rsid w:val="008369B5"/>
    <w:rsid w:val="00836BA0"/>
    <w:rsid w:val="00836E5B"/>
    <w:rsid w:val="00837108"/>
    <w:rsid w:val="00837757"/>
    <w:rsid w:val="00840905"/>
    <w:rsid w:val="00840C37"/>
    <w:rsid w:val="00841997"/>
    <w:rsid w:val="00841F6B"/>
    <w:rsid w:val="00842A9F"/>
    <w:rsid w:val="008431D7"/>
    <w:rsid w:val="008442F2"/>
    <w:rsid w:val="008443CA"/>
    <w:rsid w:val="00844755"/>
    <w:rsid w:val="00845082"/>
    <w:rsid w:val="0084629B"/>
    <w:rsid w:val="00847120"/>
    <w:rsid w:val="00847EAF"/>
    <w:rsid w:val="00851B75"/>
    <w:rsid w:val="00851C16"/>
    <w:rsid w:val="0085259C"/>
    <w:rsid w:val="0085524E"/>
    <w:rsid w:val="0085571D"/>
    <w:rsid w:val="00856542"/>
    <w:rsid w:val="008578B5"/>
    <w:rsid w:val="00860803"/>
    <w:rsid w:val="00860FA9"/>
    <w:rsid w:val="00861049"/>
    <w:rsid w:val="00861952"/>
    <w:rsid w:val="00861B99"/>
    <w:rsid w:val="00863D0B"/>
    <w:rsid w:val="00864172"/>
    <w:rsid w:val="008642FA"/>
    <w:rsid w:val="008644BC"/>
    <w:rsid w:val="008645FD"/>
    <w:rsid w:val="00864DA5"/>
    <w:rsid w:val="00866336"/>
    <w:rsid w:val="00866443"/>
    <w:rsid w:val="008664A0"/>
    <w:rsid w:val="0086686A"/>
    <w:rsid w:val="00867CD4"/>
    <w:rsid w:val="008708C7"/>
    <w:rsid w:val="00870EC6"/>
    <w:rsid w:val="0087117E"/>
    <w:rsid w:val="0087154D"/>
    <w:rsid w:val="00871894"/>
    <w:rsid w:val="008737F5"/>
    <w:rsid w:val="00873BC5"/>
    <w:rsid w:val="008742D1"/>
    <w:rsid w:val="00874BDC"/>
    <w:rsid w:val="008751A3"/>
    <w:rsid w:val="00875B02"/>
    <w:rsid w:val="00876E3C"/>
    <w:rsid w:val="008774EC"/>
    <w:rsid w:val="0087786A"/>
    <w:rsid w:val="008778DE"/>
    <w:rsid w:val="00877B6F"/>
    <w:rsid w:val="00877F24"/>
    <w:rsid w:val="00880679"/>
    <w:rsid w:val="008806CD"/>
    <w:rsid w:val="00884CE0"/>
    <w:rsid w:val="008855F5"/>
    <w:rsid w:val="0088573D"/>
    <w:rsid w:val="008859EE"/>
    <w:rsid w:val="00885C12"/>
    <w:rsid w:val="00885DF1"/>
    <w:rsid w:val="008878E6"/>
    <w:rsid w:val="00890C66"/>
    <w:rsid w:val="008916E2"/>
    <w:rsid w:val="0089171C"/>
    <w:rsid w:val="00892681"/>
    <w:rsid w:val="00892CA1"/>
    <w:rsid w:val="00893489"/>
    <w:rsid w:val="00893DD3"/>
    <w:rsid w:val="00894241"/>
    <w:rsid w:val="00894952"/>
    <w:rsid w:val="00894CCE"/>
    <w:rsid w:val="00895148"/>
    <w:rsid w:val="00895AE0"/>
    <w:rsid w:val="008A0237"/>
    <w:rsid w:val="008A0DD7"/>
    <w:rsid w:val="008A0E51"/>
    <w:rsid w:val="008A1880"/>
    <w:rsid w:val="008A276C"/>
    <w:rsid w:val="008A3B45"/>
    <w:rsid w:val="008A41A6"/>
    <w:rsid w:val="008A4858"/>
    <w:rsid w:val="008A53F7"/>
    <w:rsid w:val="008A5450"/>
    <w:rsid w:val="008A5480"/>
    <w:rsid w:val="008A5BA4"/>
    <w:rsid w:val="008A7730"/>
    <w:rsid w:val="008A79CA"/>
    <w:rsid w:val="008B0C74"/>
    <w:rsid w:val="008B1718"/>
    <w:rsid w:val="008B1E59"/>
    <w:rsid w:val="008B38AC"/>
    <w:rsid w:val="008B46CE"/>
    <w:rsid w:val="008B4A5B"/>
    <w:rsid w:val="008B5057"/>
    <w:rsid w:val="008B5E6A"/>
    <w:rsid w:val="008B613E"/>
    <w:rsid w:val="008B6359"/>
    <w:rsid w:val="008B6AFD"/>
    <w:rsid w:val="008B713A"/>
    <w:rsid w:val="008B769D"/>
    <w:rsid w:val="008B79E0"/>
    <w:rsid w:val="008C0B68"/>
    <w:rsid w:val="008C0C2B"/>
    <w:rsid w:val="008C0CEB"/>
    <w:rsid w:val="008C174A"/>
    <w:rsid w:val="008C301F"/>
    <w:rsid w:val="008C49A2"/>
    <w:rsid w:val="008C560B"/>
    <w:rsid w:val="008C5924"/>
    <w:rsid w:val="008C5957"/>
    <w:rsid w:val="008C6190"/>
    <w:rsid w:val="008C61C0"/>
    <w:rsid w:val="008C7017"/>
    <w:rsid w:val="008C745F"/>
    <w:rsid w:val="008C75A1"/>
    <w:rsid w:val="008C7823"/>
    <w:rsid w:val="008D03AB"/>
    <w:rsid w:val="008D0ABB"/>
    <w:rsid w:val="008D0CE1"/>
    <w:rsid w:val="008D1705"/>
    <w:rsid w:val="008D194E"/>
    <w:rsid w:val="008D1B66"/>
    <w:rsid w:val="008D2526"/>
    <w:rsid w:val="008D25BB"/>
    <w:rsid w:val="008D34EB"/>
    <w:rsid w:val="008D453B"/>
    <w:rsid w:val="008D76C3"/>
    <w:rsid w:val="008E0C0B"/>
    <w:rsid w:val="008E305B"/>
    <w:rsid w:val="008E3B10"/>
    <w:rsid w:val="008E4A89"/>
    <w:rsid w:val="008E4D54"/>
    <w:rsid w:val="008E5905"/>
    <w:rsid w:val="008E6310"/>
    <w:rsid w:val="008E6B76"/>
    <w:rsid w:val="008E6F48"/>
    <w:rsid w:val="008E736D"/>
    <w:rsid w:val="008E7556"/>
    <w:rsid w:val="008E7A1F"/>
    <w:rsid w:val="008E7CFA"/>
    <w:rsid w:val="008E7DE9"/>
    <w:rsid w:val="008E7DEC"/>
    <w:rsid w:val="008E7F29"/>
    <w:rsid w:val="008E7FC0"/>
    <w:rsid w:val="008F0CB1"/>
    <w:rsid w:val="008F1E8C"/>
    <w:rsid w:val="008F3A61"/>
    <w:rsid w:val="008F40B8"/>
    <w:rsid w:val="008F4DCF"/>
    <w:rsid w:val="008F55C2"/>
    <w:rsid w:val="008F59A0"/>
    <w:rsid w:val="008F5C2C"/>
    <w:rsid w:val="008F7A8D"/>
    <w:rsid w:val="00900042"/>
    <w:rsid w:val="00900795"/>
    <w:rsid w:val="00900CE3"/>
    <w:rsid w:val="00900DC0"/>
    <w:rsid w:val="00900E1D"/>
    <w:rsid w:val="00901F2B"/>
    <w:rsid w:val="0090309D"/>
    <w:rsid w:val="009030C7"/>
    <w:rsid w:val="0090361D"/>
    <w:rsid w:val="00905238"/>
    <w:rsid w:val="00905579"/>
    <w:rsid w:val="00905674"/>
    <w:rsid w:val="00905B10"/>
    <w:rsid w:val="0090643A"/>
    <w:rsid w:val="0090663C"/>
    <w:rsid w:val="00907507"/>
    <w:rsid w:val="00907C59"/>
    <w:rsid w:val="00910E5D"/>
    <w:rsid w:val="0091171F"/>
    <w:rsid w:val="0091330D"/>
    <w:rsid w:val="0091347A"/>
    <w:rsid w:val="00914EC8"/>
    <w:rsid w:val="00915878"/>
    <w:rsid w:val="009179EE"/>
    <w:rsid w:val="0092114D"/>
    <w:rsid w:val="0092140C"/>
    <w:rsid w:val="00922A7A"/>
    <w:rsid w:val="00923450"/>
    <w:rsid w:val="00924690"/>
    <w:rsid w:val="00925C76"/>
    <w:rsid w:val="00926A5A"/>
    <w:rsid w:val="00926B4A"/>
    <w:rsid w:val="00927BE1"/>
    <w:rsid w:val="00930915"/>
    <w:rsid w:val="009309F2"/>
    <w:rsid w:val="00931F41"/>
    <w:rsid w:val="00932276"/>
    <w:rsid w:val="00932993"/>
    <w:rsid w:val="00934B13"/>
    <w:rsid w:val="00935051"/>
    <w:rsid w:val="0093524A"/>
    <w:rsid w:val="009355C9"/>
    <w:rsid w:val="00935AD2"/>
    <w:rsid w:val="00936544"/>
    <w:rsid w:val="00936FB0"/>
    <w:rsid w:val="00937B93"/>
    <w:rsid w:val="009402FB"/>
    <w:rsid w:val="00941516"/>
    <w:rsid w:val="00942788"/>
    <w:rsid w:val="009436A9"/>
    <w:rsid w:val="00944796"/>
    <w:rsid w:val="00944850"/>
    <w:rsid w:val="00946C56"/>
    <w:rsid w:val="00947487"/>
    <w:rsid w:val="00951182"/>
    <w:rsid w:val="009523F1"/>
    <w:rsid w:val="009536E6"/>
    <w:rsid w:val="009541DF"/>
    <w:rsid w:val="0095492C"/>
    <w:rsid w:val="00955200"/>
    <w:rsid w:val="00956588"/>
    <w:rsid w:val="00956752"/>
    <w:rsid w:val="00956CC0"/>
    <w:rsid w:val="00957B21"/>
    <w:rsid w:val="00957F16"/>
    <w:rsid w:val="00960067"/>
    <w:rsid w:val="00960108"/>
    <w:rsid w:val="009602A6"/>
    <w:rsid w:val="009612DA"/>
    <w:rsid w:val="0096147E"/>
    <w:rsid w:val="009615D4"/>
    <w:rsid w:val="00961812"/>
    <w:rsid w:val="00961DDB"/>
    <w:rsid w:val="00962284"/>
    <w:rsid w:val="009633DE"/>
    <w:rsid w:val="00964312"/>
    <w:rsid w:val="00965B39"/>
    <w:rsid w:val="0096644E"/>
    <w:rsid w:val="009668C1"/>
    <w:rsid w:val="009677B2"/>
    <w:rsid w:val="00967EAD"/>
    <w:rsid w:val="0097489A"/>
    <w:rsid w:val="009748DC"/>
    <w:rsid w:val="0097587D"/>
    <w:rsid w:val="00976A4F"/>
    <w:rsid w:val="00976AEC"/>
    <w:rsid w:val="009772E4"/>
    <w:rsid w:val="00977E6E"/>
    <w:rsid w:val="00980254"/>
    <w:rsid w:val="00980446"/>
    <w:rsid w:val="00981505"/>
    <w:rsid w:val="00981595"/>
    <w:rsid w:val="0098280E"/>
    <w:rsid w:val="009836AA"/>
    <w:rsid w:val="00983C20"/>
    <w:rsid w:val="009845F3"/>
    <w:rsid w:val="00984CEB"/>
    <w:rsid w:val="009862FA"/>
    <w:rsid w:val="00990667"/>
    <w:rsid w:val="009908AB"/>
    <w:rsid w:val="00990AEC"/>
    <w:rsid w:val="00990C84"/>
    <w:rsid w:val="009917C2"/>
    <w:rsid w:val="00991A5C"/>
    <w:rsid w:val="00991DE4"/>
    <w:rsid w:val="00993F5B"/>
    <w:rsid w:val="00994292"/>
    <w:rsid w:val="00994DC4"/>
    <w:rsid w:val="00994DDE"/>
    <w:rsid w:val="00995470"/>
    <w:rsid w:val="00995576"/>
    <w:rsid w:val="009955F1"/>
    <w:rsid w:val="0099579E"/>
    <w:rsid w:val="00995F06"/>
    <w:rsid w:val="00996A0C"/>
    <w:rsid w:val="00997369"/>
    <w:rsid w:val="00997DE4"/>
    <w:rsid w:val="00997ECB"/>
    <w:rsid w:val="009A0075"/>
    <w:rsid w:val="009A02EB"/>
    <w:rsid w:val="009A09C8"/>
    <w:rsid w:val="009A0F0D"/>
    <w:rsid w:val="009A1CD4"/>
    <w:rsid w:val="009A2B06"/>
    <w:rsid w:val="009A359B"/>
    <w:rsid w:val="009A4475"/>
    <w:rsid w:val="009A52E9"/>
    <w:rsid w:val="009A5492"/>
    <w:rsid w:val="009A71BA"/>
    <w:rsid w:val="009A7758"/>
    <w:rsid w:val="009B32E0"/>
    <w:rsid w:val="009B49AA"/>
    <w:rsid w:val="009B5365"/>
    <w:rsid w:val="009B5B0B"/>
    <w:rsid w:val="009B5F7A"/>
    <w:rsid w:val="009B68D9"/>
    <w:rsid w:val="009B69FD"/>
    <w:rsid w:val="009B7EF8"/>
    <w:rsid w:val="009C0631"/>
    <w:rsid w:val="009C1258"/>
    <w:rsid w:val="009C1FA5"/>
    <w:rsid w:val="009C4099"/>
    <w:rsid w:val="009C4478"/>
    <w:rsid w:val="009C4617"/>
    <w:rsid w:val="009C6458"/>
    <w:rsid w:val="009C6CF7"/>
    <w:rsid w:val="009D000E"/>
    <w:rsid w:val="009D22C5"/>
    <w:rsid w:val="009D34ED"/>
    <w:rsid w:val="009D3F48"/>
    <w:rsid w:val="009D3FFC"/>
    <w:rsid w:val="009D4BD6"/>
    <w:rsid w:val="009D66E3"/>
    <w:rsid w:val="009D7F78"/>
    <w:rsid w:val="009E0C13"/>
    <w:rsid w:val="009E12E9"/>
    <w:rsid w:val="009E1EE8"/>
    <w:rsid w:val="009E26B1"/>
    <w:rsid w:val="009E2E5B"/>
    <w:rsid w:val="009E3615"/>
    <w:rsid w:val="009E65E9"/>
    <w:rsid w:val="009E6ADD"/>
    <w:rsid w:val="009F0749"/>
    <w:rsid w:val="009F0B51"/>
    <w:rsid w:val="009F0D58"/>
    <w:rsid w:val="009F193E"/>
    <w:rsid w:val="009F1DC2"/>
    <w:rsid w:val="009F1FE7"/>
    <w:rsid w:val="009F342F"/>
    <w:rsid w:val="009F3661"/>
    <w:rsid w:val="009F389C"/>
    <w:rsid w:val="009F3A91"/>
    <w:rsid w:val="009F3C54"/>
    <w:rsid w:val="009F3CA1"/>
    <w:rsid w:val="009F4241"/>
    <w:rsid w:val="009F46CD"/>
    <w:rsid w:val="009F4B10"/>
    <w:rsid w:val="009F54C2"/>
    <w:rsid w:val="009F55E5"/>
    <w:rsid w:val="009F5D79"/>
    <w:rsid w:val="009F69AB"/>
    <w:rsid w:val="009F6EBD"/>
    <w:rsid w:val="009F7269"/>
    <w:rsid w:val="009F747D"/>
    <w:rsid w:val="009F7B94"/>
    <w:rsid w:val="00A0028C"/>
    <w:rsid w:val="00A0059E"/>
    <w:rsid w:val="00A005E8"/>
    <w:rsid w:val="00A00B1B"/>
    <w:rsid w:val="00A013E8"/>
    <w:rsid w:val="00A02576"/>
    <w:rsid w:val="00A03A1E"/>
    <w:rsid w:val="00A03E63"/>
    <w:rsid w:val="00A0507F"/>
    <w:rsid w:val="00A067A2"/>
    <w:rsid w:val="00A06AF0"/>
    <w:rsid w:val="00A06E6B"/>
    <w:rsid w:val="00A10939"/>
    <w:rsid w:val="00A11D3C"/>
    <w:rsid w:val="00A11EF7"/>
    <w:rsid w:val="00A128EA"/>
    <w:rsid w:val="00A12C6D"/>
    <w:rsid w:val="00A12D1B"/>
    <w:rsid w:val="00A1331D"/>
    <w:rsid w:val="00A1394E"/>
    <w:rsid w:val="00A147C3"/>
    <w:rsid w:val="00A14C45"/>
    <w:rsid w:val="00A152C0"/>
    <w:rsid w:val="00A15349"/>
    <w:rsid w:val="00A16B4B"/>
    <w:rsid w:val="00A171E1"/>
    <w:rsid w:val="00A17BAF"/>
    <w:rsid w:val="00A17FB0"/>
    <w:rsid w:val="00A21388"/>
    <w:rsid w:val="00A21C46"/>
    <w:rsid w:val="00A22798"/>
    <w:rsid w:val="00A22FD8"/>
    <w:rsid w:val="00A231FE"/>
    <w:rsid w:val="00A23445"/>
    <w:rsid w:val="00A235B8"/>
    <w:rsid w:val="00A239F5"/>
    <w:rsid w:val="00A23BA3"/>
    <w:rsid w:val="00A244E6"/>
    <w:rsid w:val="00A24E0B"/>
    <w:rsid w:val="00A26739"/>
    <w:rsid w:val="00A26B28"/>
    <w:rsid w:val="00A30854"/>
    <w:rsid w:val="00A30DBD"/>
    <w:rsid w:val="00A30E24"/>
    <w:rsid w:val="00A31697"/>
    <w:rsid w:val="00A3283B"/>
    <w:rsid w:val="00A3314D"/>
    <w:rsid w:val="00A33298"/>
    <w:rsid w:val="00A34CC1"/>
    <w:rsid w:val="00A34E68"/>
    <w:rsid w:val="00A3509A"/>
    <w:rsid w:val="00A353D0"/>
    <w:rsid w:val="00A35B11"/>
    <w:rsid w:val="00A3601E"/>
    <w:rsid w:val="00A368B4"/>
    <w:rsid w:val="00A37787"/>
    <w:rsid w:val="00A377C7"/>
    <w:rsid w:val="00A4034C"/>
    <w:rsid w:val="00A40CD7"/>
    <w:rsid w:val="00A410CA"/>
    <w:rsid w:val="00A416CB"/>
    <w:rsid w:val="00A42CEB"/>
    <w:rsid w:val="00A44B27"/>
    <w:rsid w:val="00A44C2D"/>
    <w:rsid w:val="00A45030"/>
    <w:rsid w:val="00A45094"/>
    <w:rsid w:val="00A467A6"/>
    <w:rsid w:val="00A47919"/>
    <w:rsid w:val="00A52A9E"/>
    <w:rsid w:val="00A52E0F"/>
    <w:rsid w:val="00A52E37"/>
    <w:rsid w:val="00A537B5"/>
    <w:rsid w:val="00A53C06"/>
    <w:rsid w:val="00A53C07"/>
    <w:rsid w:val="00A53D2F"/>
    <w:rsid w:val="00A6049B"/>
    <w:rsid w:val="00A60C8D"/>
    <w:rsid w:val="00A61262"/>
    <w:rsid w:val="00A61B0B"/>
    <w:rsid w:val="00A61D7E"/>
    <w:rsid w:val="00A63304"/>
    <w:rsid w:val="00A638A1"/>
    <w:rsid w:val="00A63FAD"/>
    <w:rsid w:val="00A6469B"/>
    <w:rsid w:val="00A64B30"/>
    <w:rsid w:val="00A64EE2"/>
    <w:rsid w:val="00A6525C"/>
    <w:rsid w:val="00A662F6"/>
    <w:rsid w:val="00A67411"/>
    <w:rsid w:val="00A6755F"/>
    <w:rsid w:val="00A67583"/>
    <w:rsid w:val="00A7078F"/>
    <w:rsid w:val="00A70913"/>
    <w:rsid w:val="00A70955"/>
    <w:rsid w:val="00A70E7C"/>
    <w:rsid w:val="00A71724"/>
    <w:rsid w:val="00A73222"/>
    <w:rsid w:val="00A74A25"/>
    <w:rsid w:val="00A74CE2"/>
    <w:rsid w:val="00A74FEF"/>
    <w:rsid w:val="00A75E36"/>
    <w:rsid w:val="00A80152"/>
    <w:rsid w:val="00A808DC"/>
    <w:rsid w:val="00A81918"/>
    <w:rsid w:val="00A8206B"/>
    <w:rsid w:val="00A850D4"/>
    <w:rsid w:val="00A8548B"/>
    <w:rsid w:val="00A85FA5"/>
    <w:rsid w:val="00A862A3"/>
    <w:rsid w:val="00A86C99"/>
    <w:rsid w:val="00A86FF2"/>
    <w:rsid w:val="00A9084A"/>
    <w:rsid w:val="00A90CCC"/>
    <w:rsid w:val="00A90E11"/>
    <w:rsid w:val="00A91389"/>
    <w:rsid w:val="00A9321E"/>
    <w:rsid w:val="00A93D6A"/>
    <w:rsid w:val="00A96282"/>
    <w:rsid w:val="00A9676A"/>
    <w:rsid w:val="00A97888"/>
    <w:rsid w:val="00AA091B"/>
    <w:rsid w:val="00AA0B6B"/>
    <w:rsid w:val="00AA0BFB"/>
    <w:rsid w:val="00AA0F67"/>
    <w:rsid w:val="00AA10AD"/>
    <w:rsid w:val="00AA1648"/>
    <w:rsid w:val="00AA2A5A"/>
    <w:rsid w:val="00AA450C"/>
    <w:rsid w:val="00AA5442"/>
    <w:rsid w:val="00AA6629"/>
    <w:rsid w:val="00AA6905"/>
    <w:rsid w:val="00AA6BF8"/>
    <w:rsid w:val="00AA7C6B"/>
    <w:rsid w:val="00AA7FAC"/>
    <w:rsid w:val="00AB00FF"/>
    <w:rsid w:val="00AB0B2C"/>
    <w:rsid w:val="00AB0BDA"/>
    <w:rsid w:val="00AB1754"/>
    <w:rsid w:val="00AB276F"/>
    <w:rsid w:val="00AB3A80"/>
    <w:rsid w:val="00AB3C3E"/>
    <w:rsid w:val="00AB6835"/>
    <w:rsid w:val="00AB7679"/>
    <w:rsid w:val="00AB79B7"/>
    <w:rsid w:val="00AC0D81"/>
    <w:rsid w:val="00AC237F"/>
    <w:rsid w:val="00AC2EBF"/>
    <w:rsid w:val="00AC37DB"/>
    <w:rsid w:val="00AC43EB"/>
    <w:rsid w:val="00AC4821"/>
    <w:rsid w:val="00AC4918"/>
    <w:rsid w:val="00AC4C44"/>
    <w:rsid w:val="00AC53EE"/>
    <w:rsid w:val="00AC5CE3"/>
    <w:rsid w:val="00AC5D98"/>
    <w:rsid w:val="00AC5E81"/>
    <w:rsid w:val="00AC610D"/>
    <w:rsid w:val="00AC6355"/>
    <w:rsid w:val="00AC63B1"/>
    <w:rsid w:val="00AC729C"/>
    <w:rsid w:val="00AC7906"/>
    <w:rsid w:val="00AD0A03"/>
    <w:rsid w:val="00AD1CB9"/>
    <w:rsid w:val="00AD1D9A"/>
    <w:rsid w:val="00AD3174"/>
    <w:rsid w:val="00AD3622"/>
    <w:rsid w:val="00AD41DA"/>
    <w:rsid w:val="00AD4C1D"/>
    <w:rsid w:val="00AD571B"/>
    <w:rsid w:val="00AD5CC8"/>
    <w:rsid w:val="00AD5FC1"/>
    <w:rsid w:val="00AD7781"/>
    <w:rsid w:val="00AD7BE2"/>
    <w:rsid w:val="00AD7D11"/>
    <w:rsid w:val="00AD7E4B"/>
    <w:rsid w:val="00AE2C35"/>
    <w:rsid w:val="00AE3877"/>
    <w:rsid w:val="00AE39B5"/>
    <w:rsid w:val="00AE47F9"/>
    <w:rsid w:val="00AE4BFD"/>
    <w:rsid w:val="00AE6D0A"/>
    <w:rsid w:val="00AE6E6A"/>
    <w:rsid w:val="00AE73F6"/>
    <w:rsid w:val="00AE76A9"/>
    <w:rsid w:val="00AF07DB"/>
    <w:rsid w:val="00AF09E0"/>
    <w:rsid w:val="00AF0CB1"/>
    <w:rsid w:val="00AF0F5C"/>
    <w:rsid w:val="00AF25A3"/>
    <w:rsid w:val="00AF26BE"/>
    <w:rsid w:val="00AF273D"/>
    <w:rsid w:val="00AF2818"/>
    <w:rsid w:val="00AF4D73"/>
    <w:rsid w:val="00AF4F0F"/>
    <w:rsid w:val="00AF4FBF"/>
    <w:rsid w:val="00AF5546"/>
    <w:rsid w:val="00AF5826"/>
    <w:rsid w:val="00AF60A5"/>
    <w:rsid w:val="00AF6E0B"/>
    <w:rsid w:val="00AF71AA"/>
    <w:rsid w:val="00AF7499"/>
    <w:rsid w:val="00B00B36"/>
    <w:rsid w:val="00B00F80"/>
    <w:rsid w:val="00B01B18"/>
    <w:rsid w:val="00B0250D"/>
    <w:rsid w:val="00B0266E"/>
    <w:rsid w:val="00B030DF"/>
    <w:rsid w:val="00B03524"/>
    <w:rsid w:val="00B0463E"/>
    <w:rsid w:val="00B04C0C"/>
    <w:rsid w:val="00B05B92"/>
    <w:rsid w:val="00B05DC2"/>
    <w:rsid w:val="00B05E10"/>
    <w:rsid w:val="00B064AD"/>
    <w:rsid w:val="00B07708"/>
    <w:rsid w:val="00B1058F"/>
    <w:rsid w:val="00B10C30"/>
    <w:rsid w:val="00B11069"/>
    <w:rsid w:val="00B11402"/>
    <w:rsid w:val="00B11809"/>
    <w:rsid w:val="00B11B2F"/>
    <w:rsid w:val="00B12536"/>
    <w:rsid w:val="00B126DD"/>
    <w:rsid w:val="00B139FB"/>
    <w:rsid w:val="00B14282"/>
    <w:rsid w:val="00B14D4C"/>
    <w:rsid w:val="00B15861"/>
    <w:rsid w:val="00B15ADC"/>
    <w:rsid w:val="00B1677D"/>
    <w:rsid w:val="00B16F93"/>
    <w:rsid w:val="00B17F08"/>
    <w:rsid w:val="00B2046B"/>
    <w:rsid w:val="00B21B77"/>
    <w:rsid w:val="00B21D49"/>
    <w:rsid w:val="00B21EF7"/>
    <w:rsid w:val="00B229AA"/>
    <w:rsid w:val="00B22B42"/>
    <w:rsid w:val="00B22F71"/>
    <w:rsid w:val="00B24176"/>
    <w:rsid w:val="00B251E4"/>
    <w:rsid w:val="00B256A1"/>
    <w:rsid w:val="00B25B24"/>
    <w:rsid w:val="00B25C34"/>
    <w:rsid w:val="00B2695D"/>
    <w:rsid w:val="00B27924"/>
    <w:rsid w:val="00B303CD"/>
    <w:rsid w:val="00B3062B"/>
    <w:rsid w:val="00B30C01"/>
    <w:rsid w:val="00B31AF4"/>
    <w:rsid w:val="00B321AD"/>
    <w:rsid w:val="00B3239F"/>
    <w:rsid w:val="00B32F95"/>
    <w:rsid w:val="00B33A45"/>
    <w:rsid w:val="00B3456E"/>
    <w:rsid w:val="00B36345"/>
    <w:rsid w:val="00B36853"/>
    <w:rsid w:val="00B368A5"/>
    <w:rsid w:val="00B368E9"/>
    <w:rsid w:val="00B369B5"/>
    <w:rsid w:val="00B40BA9"/>
    <w:rsid w:val="00B41A98"/>
    <w:rsid w:val="00B41BEB"/>
    <w:rsid w:val="00B41E68"/>
    <w:rsid w:val="00B4299A"/>
    <w:rsid w:val="00B42E78"/>
    <w:rsid w:val="00B44225"/>
    <w:rsid w:val="00B44C91"/>
    <w:rsid w:val="00B45FA4"/>
    <w:rsid w:val="00B4664A"/>
    <w:rsid w:val="00B47965"/>
    <w:rsid w:val="00B50789"/>
    <w:rsid w:val="00B513D8"/>
    <w:rsid w:val="00B517F0"/>
    <w:rsid w:val="00B526F4"/>
    <w:rsid w:val="00B5404E"/>
    <w:rsid w:val="00B540B2"/>
    <w:rsid w:val="00B5481B"/>
    <w:rsid w:val="00B54CC8"/>
    <w:rsid w:val="00B56825"/>
    <w:rsid w:val="00B56FEF"/>
    <w:rsid w:val="00B571D6"/>
    <w:rsid w:val="00B5733C"/>
    <w:rsid w:val="00B57883"/>
    <w:rsid w:val="00B6099B"/>
    <w:rsid w:val="00B60EDD"/>
    <w:rsid w:val="00B61E2D"/>
    <w:rsid w:val="00B61EF9"/>
    <w:rsid w:val="00B61FA8"/>
    <w:rsid w:val="00B62C3E"/>
    <w:rsid w:val="00B6336C"/>
    <w:rsid w:val="00B66923"/>
    <w:rsid w:val="00B708AE"/>
    <w:rsid w:val="00B70AE7"/>
    <w:rsid w:val="00B7126D"/>
    <w:rsid w:val="00B71B8E"/>
    <w:rsid w:val="00B71FE6"/>
    <w:rsid w:val="00B72255"/>
    <w:rsid w:val="00B72517"/>
    <w:rsid w:val="00B729D5"/>
    <w:rsid w:val="00B72CA6"/>
    <w:rsid w:val="00B72F11"/>
    <w:rsid w:val="00B73F98"/>
    <w:rsid w:val="00B769BF"/>
    <w:rsid w:val="00B76ED0"/>
    <w:rsid w:val="00B777C7"/>
    <w:rsid w:val="00B80CE8"/>
    <w:rsid w:val="00B80D5A"/>
    <w:rsid w:val="00B81F88"/>
    <w:rsid w:val="00B828A0"/>
    <w:rsid w:val="00B834C5"/>
    <w:rsid w:val="00B84041"/>
    <w:rsid w:val="00B84454"/>
    <w:rsid w:val="00B84BF5"/>
    <w:rsid w:val="00B84FE4"/>
    <w:rsid w:val="00B85B6B"/>
    <w:rsid w:val="00B86030"/>
    <w:rsid w:val="00B869DA"/>
    <w:rsid w:val="00B86AA5"/>
    <w:rsid w:val="00B87340"/>
    <w:rsid w:val="00B87576"/>
    <w:rsid w:val="00B87C57"/>
    <w:rsid w:val="00B90241"/>
    <w:rsid w:val="00B9047B"/>
    <w:rsid w:val="00B90814"/>
    <w:rsid w:val="00B917D6"/>
    <w:rsid w:val="00B92041"/>
    <w:rsid w:val="00B92287"/>
    <w:rsid w:val="00B969F7"/>
    <w:rsid w:val="00B9720A"/>
    <w:rsid w:val="00BA218E"/>
    <w:rsid w:val="00BA2905"/>
    <w:rsid w:val="00BA29A0"/>
    <w:rsid w:val="00BA44A3"/>
    <w:rsid w:val="00BA49AE"/>
    <w:rsid w:val="00BA4BCA"/>
    <w:rsid w:val="00BA4CA7"/>
    <w:rsid w:val="00BA568B"/>
    <w:rsid w:val="00BA5CAC"/>
    <w:rsid w:val="00BA643C"/>
    <w:rsid w:val="00BA7B0C"/>
    <w:rsid w:val="00BB0B3F"/>
    <w:rsid w:val="00BB11FE"/>
    <w:rsid w:val="00BB1993"/>
    <w:rsid w:val="00BB1D20"/>
    <w:rsid w:val="00BB1F2D"/>
    <w:rsid w:val="00BB3221"/>
    <w:rsid w:val="00BB392C"/>
    <w:rsid w:val="00BB3976"/>
    <w:rsid w:val="00BB3F8C"/>
    <w:rsid w:val="00BB4007"/>
    <w:rsid w:val="00BB4BB0"/>
    <w:rsid w:val="00BC0538"/>
    <w:rsid w:val="00BC228C"/>
    <w:rsid w:val="00BC2B16"/>
    <w:rsid w:val="00BC59AF"/>
    <w:rsid w:val="00BC5A30"/>
    <w:rsid w:val="00BC6004"/>
    <w:rsid w:val="00BC6180"/>
    <w:rsid w:val="00BC6BD7"/>
    <w:rsid w:val="00BD00A8"/>
    <w:rsid w:val="00BD1131"/>
    <w:rsid w:val="00BD1890"/>
    <w:rsid w:val="00BD1C0D"/>
    <w:rsid w:val="00BD1DBC"/>
    <w:rsid w:val="00BD1ED5"/>
    <w:rsid w:val="00BD258F"/>
    <w:rsid w:val="00BD319A"/>
    <w:rsid w:val="00BD398A"/>
    <w:rsid w:val="00BD3C1C"/>
    <w:rsid w:val="00BD3DA5"/>
    <w:rsid w:val="00BD56DE"/>
    <w:rsid w:val="00BD5961"/>
    <w:rsid w:val="00BD5C41"/>
    <w:rsid w:val="00BD5F24"/>
    <w:rsid w:val="00BD662C"/>
    <w:rsid w:val="00BD70AC"/>
    <w:rsid w:val="00BD7E3B"/>
    <w:rsid w:val="00BE018E"/>
    <w:rsid w:val="00BE0F8C"/>
    <w:rsid w:val="00BE19AE"/>
    <w:rsid w:val="00BE230B"/>
    <w:rsid w:val="00BE24EF"/>
    <w:rsid w:val="00BE2918"/>
    <w:rsid w:val="00BE3945"/>
    <w:rsid w:val="00BE39CE"/>
    <w:rsid w:val="00BE3F98"/>
    <w:rsid w:val="00BE6BCF"/>
    <w:rsid w:val="00BE70E9"/>
    <w:rsid w:val="00BE7213"/>
    <w:rsid w:val="00BF00EB"/>
    <w:rsid w:val="00BF0452"/>
    <w:rsid w:val="00BF0539"/>
    <w:rsid w:val="00BF0863"/>
    <w:rsid w:val="00BF1854"/>
    <w:rsid w:val="00BF1D86"/>
    <w:rsid w:val="00BF2BA2"/>
    <w:rsid w:val="00BF2C12"/>
    <w:rsid w:val="00BF348A"/>
    <w:rsid w:val="00BF3BDE"/>
    <w:rsid w:val="00BF4413"/>
    <w:rsid w:val="00BF61A4"/>
    <w:rsid w:val="00BF6637"/>
    <w:rsid w:val="00BF67FF"/>
    <w:rsid w:val="00BF726D"/>
    <w:rsid w:val="00BF77BF"/>
    <w:rsid w:val="00BF7EC2"/>
    <w:rsid w:val="00C0137A"/>
    <w:rsid w:val="00C04338"/>
    <w:rsid w:val="00C052C5"/>
    <w:rsid w:val="00C056BF"/>
    <w:rsid w:val="00C1047C"/>
    <w:rsid w:val="00C10577"/>
    <w:rsid w:val="00C1073C"/>
    <w:rsid w:val="00C113EF"/>
    <w:rsid w:val="00C11AA8"/>
    <w:rsid w:val="00C11ABA"/>
    <w:rsid w:val="00C135B5"/>
    <w:rsid w:val="00C14124"/>
    <w:rsid w:val="00C150E3"/>
    <w:rsid w:val="00C15873"/>
    <w:rsid w:val="00C15B28"/>
    <w:rsid w:val="00C168C6"/>
    <w:rsid w:val="00C16EC9"/>
    <w:rsid w:val="00C1713B"/>
    <w:rsid w:val="00C173BB"/>
    <w:rsid w:val="00C21DAC"/>
    <w:rsid w:val="00C22540"/>
    <w:rsid w:val="00C24A02"/>
    <w:rsid w:val="00C2614D"/>
    <w:rsid w:val="00C26852"/>
    <w:rsid w:val="00C26BE7"/>
    <w:rsid w:val="00C273E3"/>
    <w:rsid w:val="00C30E37"/>
    <w:rsid w:val="00C3179F"/>
    <w:rsid w:val="00C32ADB"/>
    <w:rsid w:val="00C32C8A"/>
    <w:rsid w:val="00C33321"/>
    <w:rsid w:val="00C33FAE"/>
    <w:rsid w:val="00C34380"/>
    <w:rsid w:val="00C34671"/>
    <w:rsid w:val="00C36650"/>
    <w:rsid w:val="00C378BD"/>
    <w:rsid w:val="00C42A49"/>
    <w:rsid w:val="00C4547A"/>
    <w:rsid w:val="00C466D8"/>
    <w:rsid w:val="00C46F75"/>
    <w:rsid w:val="00C477DC"/>
    <w:rsid w:val="00C503AC"/>
    <w:rsid w:val="00C50ADC"/>
    <w:rsid w:val="00C5163E"/>
    <w:rsid w:val="00C52129"/>
    <w:rsid w:val="00C5267A"/>
    <w:rsid w:val="00C52BE6"/>
    <w:rsid w:val="00C5314C"/>
    <w:rsid w:val="00C544FB"/>
    <w:rsid w:val="00C54E6D"/>
    <w:rsid w:val="00C55C2E"/>
    <w:rsid w:val="00C55C49"/>
    <w:rsid w:val="00C55E06"/>
    <w:rsid w:val="00C56BD7"/>
    <w:rsid w:val="00C56DED"/>
    <w:rsid w:val="00C570F6"/>
    <w:rsid w:val="00C57674"/>
    <w:rsid w:val="00C57E76"/>
    <w:rsid w:val="00C60EB2"/>
    <w:rsid w:val="00C61610"/>
    <w:rsid w:val="00C61A23"/>
    <w:rsid w:val="00C6250E"/>
    <w:rsid w:val="00C62577"/>
    <w:rsid w:val="00C62714"/>
    <w:rsid w:val="00C6375C"/>
    <w:rsid w:val="00C639DA"/>
    <w:rsid w:val="00C63DB0"/>
    <w:rsid w:val="00C6482B"/>
    <w:rsid w:val="00C65767"/>
    <w:rsid w:val="00C66BEC"/>
    <w:rsid w:val="00C6701C"/>
    <w:rsid w:val="00C67203"/>
    <w:rsid w:val="00C6754F"/>
    <w:rsid w:val="00C708A0"/>
    <w:rsid w:val="00C71982"/>
    <w:rsid w:val="00C71F2A"/>
    <w:rsid w:val="00C727D0"/>
    <w:rsid w:val="00C72ACE"/>
    <w:rsid w:val="00C72CD2"/>
    <w:rsid w:val="00C7345F"/>
    <w:rsid w:val="00C74284"/>
    <w:rsid w:val="00C745A2"/>
    <w:rsid w:val="00C74DB9"/>
    <w:rsid w:val="00C75BAC"/>
    <w:rsid w:val="00C75C41"/>
    <w:rsid w:val="00C77479"/>
    <w:rsid w:val="00C826CF"/>
    <w:rsid w:val="00C82A51"/>
    <w:rsid w:val="00C83FA3"/>
    <w:rsid w:val="00C845CF"/>
    <w:rsid w:val="00C85A57"/>
    <w:rsid w:val="00C85B2D"/>
    <w:rsid w:val="00C86EAB"/>
    <w:rsid w:val="00C87231"/>
    <w:rsid w:val="00C901B6"/>
    <w:rsid w:val="00C918B3"/>
    <w:rsid w:val="00C91CCC"/>
    <w:rsid w:val="00C927F4"/>
    <w:rsid w:val="00C92A63"/>
    <w:rsid w:val="00C93094"/>
    <w:rsid w:val="00C931E8"/>
    <w:rsid w:val="00C93B6D"/>
    <w:rsid w:val="00C93F89"/>
    <w:rsid w:val="00C944A6"/>
    <w:rsid w:val="00C94608"/>
    <w:rsid w:val="00C950B9"/>
    <w:rsid w:val="00C95671"/>
    <w:rsid w:val="00C95EFF"/>
    <w:rsid w:val="00C9622B"/>
    <w:rsid w:val="00C97B7A"/>
    <w:rsid w:val="00C97C89"/>
    <w:rsid w:val="00CA06E1"/>
    <w:rsid w:val="00CA20F3"/>
    <w:rsid w:val="00CA2227"/>
    <w:rsid w:val="00CA22AF"/>
    <w:rsid w:val="00CA27F3"/>
    <w:rsid w:val="00CA2821"/>
    <w:rsid w:val="00CA2ADB"/>
    <w:rsid w:val="00CA2CC4"/>
    <w:rsid w:val="00CA3869"/>
    <w:rsid w:val="00CA5C97"/>
    <w:rsid w:val="00CA5F6B"/>
    <w:rsid w:val="00CA6C20"/>
    <w:rsid w:val="00CA6DB2"/>
    <w:rsid w:val="00CA70CC"/>
    <w:rsid w:val="00CB0434"/>
    <w:rsid w:val="00CB077C"/>
    <w:rsid w:val="00CB078D"/>
    <w:rsid w:val="00CB1130"/>
    <w:rsid w:val="00CB169E"/>
    <w:rsid w:val="00CB1C73"/>
    <w:rsid w:val="00CB2DD3"/>
    <w:rsid w:val="00CB2F6C"/>
    <w:rsid w:val="00CB2FDA"/>
    <w:rsid w:val="00CB338F"/>
    <w:rsid w:val="00CB433E"/>
    <w:rsid w:val="00CB44EF"/>
    <w:rsid w:val="00CB4BB5"/>
    <w:rsid w:val="00CB56DB"/>
    <w:rsid w:val="00CB578E"/>
    <w:rsid w:val="00CB638B"/>
    <w:rsid w:val="00CB6B1D"/>
    <w:rsid w:val="00CC0A63"/>
    <w:rsid w:val="00CC1D16"/>
    <w:rsid w:val="00CC2752"/>
    <w:rsid w:val="00CC2AC0"/>
    <w:rsid w:val="00CC3A8D"/>
    <w:rsid w:val="00CC3CDD"/>
    <w:rsid w:val="00CC48C5"/>
    <w:rsid w:val="00CC64DF"/>
    <w:rsid w:val="00CC7D0A"/>
    <w:rsid w:val="00CD077D"/>
    <w:rsid w:val="00CD0795"/>
    <w:rsid w:val="00CD0911"/>
    <w:rsid w:val="00CD0F0A"/>
    <w:rsid w:val="00CD167A"/>
    <w:rsid w:val="00CD191B"/>
    <w:rsid w:val="00CD61C0"/>
    <w:rsid w:val="00CD63AA"/>
    <w:rsid w:val="00CD67C6"/>
    <w:rsid w:val="00CD6CCA"/>
    <w:rsid w:val="00CD762B"/>
    <w:rsid w:val="00CD7889"/>
    <w:rsid w:val="00CD7907"/>
    <w:rsid w:val="00CE0156"/>
    <w:rsid w:val="00CE02EA"/>
    <w:rsid w:val="00CE0489"/>
    <w:rsid w:val="00CE1400"/>
    <w:rsid w:val="00CE158A"/>
    <w:rsid w:val="00CE269F"/>
    <w:rsid w:val="00CE5F56"/>
    <w:rsid w:val="00CE6C5D"/>
    <w:rsid w:val="00CE6E8B"/>
    <w:rsid w:val="00CF0728"/>
    <w:rsid w:val="00CF0E5E"/>
    <w:rsid w:val="00CF164C"/>
    <w:rsid w:val="00CF27F8"/>
    <w:rsid w:val="00CF3A17"/>
    <w:rsid w:val="00CF3E60"/>
    <w:rsid w:val="00CF47C2"/>
    <w:rsid w:val="00CF4A9E"/>
    <w:rsid w:val="00CF536B"/>
    <w:rsid w:val="00CF5846"/>
    <w:rsid w:val="00CF5FB7"/>
    <w:rsid w:val="00CF5FC3"/>
    <w:rsid w:val="00CF6EAB"/>
    <w:rsid w:val="00CF7F27"/>
    <w:rsid w:val="00D00928"/>
    <w:rsid w:val="00D00E2F"/>
    <w:rsid w:val="00D01D7A"/>
    <w:rsid w:val="00D0246D"/>
    <w:rsid w:val="00D06974"/>
    <w:rsid w:val="00D06E34"/>
    <w:rsid w:val="00D0713E"/>
    <w:rsid w:val="00D07644"/>
    <w:rsid w:val="00D1066E"/>
    <w:rsid w:val="00D1094E"/>
    <w:rsid w:val="00D112AC"/>
    <w:rsid w:val="00D11C1E"/>
    <w:rsid w:val="00D11C38"/>
    <w:rsid w:val="00D11EEF"/>
    <w:rsid w:val="00D12B0E"/>
    <w:rsid w:val="00D13045"/>
    <w:rsid w:val="00D13606"/>
    <w:rsid w:val="00D152CA"/>
    <w:rsid w:val="00D155FF"/>
    <w:rsid w:val="00D1634C"/>
    <w:rsid w:val="00D16841"/>
    <w:rsid w:val="00D16B90"/>
    <w:rsid w:val="00D16DFE"/>
    <w:rsid w:val="00D1740D"/>
    <w:rsid w:val="00D179DB"/>
    <w:rsid w:val="00D17C44"/>
    <w:rsid w:val="00D2070E"/>
    <w:rsid w:val="00D21DC7"/>
    <w:rsid w:val="00D22A11"/>
    <w:rsid w:val="00D23A9A"/>
    <w:rsid w:val="00D24A65"/>
    <w:rsid w:val="00D24EAB"/>
    <w:rsid w:val="00D252F2"/>
    <w:rsid w:val="00D25AE7"/>
    <w:rsid w:val="00D26A3C"/>
    <w:rsid w:val="00D26DAF"/>
    <w:rsid w:val="00D30D93"/>
    <w:rsid w:val="00D32811"/>
    <w:rsid w:val="00D3302E"/>
    <w:rsid w:val="00D33F62"/>
    <w:rsid w:val="00D34001"/>
    <w:rsid w:val="00D3485F"/>
    <w:rsid w:val="00D35C30"/>
    <w:rsid w:val="00D36DE8"/>
    <w:rsid w:val="00D3731B"/>
    <w:rsid w:val="00D42780"/>
    <w:rsid w:val="00D42796"/>
    <w:rsid w:val="00D42ADE"/>
    <w:rsid w:val="00D42F56"/>
    <w:rsid w:val="00D4374A"/>
    <w:rsid w:val="00D4383C"/>
    <w:rsid w:val="00D50421"/>
    <w:rsid w:val="00D5159C"/>
    <w:rsid w:val="00D51C75"/>
    <w:rsid w:val="00D55941"/>
    <w:rsid w:val="00D56ACB"/>
    <w:rsid w:val="00D57433"/>
    <w:rsid w:val="00D574AE"/>
    <w:rsid w:val="00D61780"/>
    <w:rsid w:val="00D619E3"/>
    <w:rsid w:val="00D61C78"/>
    <w:rsid w:val="00D620C4"/>
    <w:rsid w:val="00D625D5"/>
    <w:rsid w:val="00D62A6A"/>
    <w:rsid w:val="00D62F59"/>
    <w:rsid w:val="00D62FA1"/>
    <w:rsid w:val="00D64315"/>
    <w:rsid w:val="00D64813"/>
    <w:rsid w:val="00D64AA9"/>
    <w:rsid w:val="00D64BD5"/>
    <w:rsid w:val="00D6565F"/>
    <w:rsid w:val="00D656D0"/>
    <w:rsid w:val="00D66257"/>
    <w:rsid w:val="00D66CB0"/>
    <w:rsid w:val="00D6748E"/>
    <w:rsid w:val="00D67BE5"/>
    <w:rsid w:val="00D67DCE"/>
    <w:rsid w:val="00D67F8C"/>
    <w:rsid w:val="00D7037C"/>
    <w:rsid w:val="00D705C2"/>
    <w:rsid w:val="00D70899"/>
    <w:rsid w:val="00D71440"/>
    <w:rsid w:val="00D71935"/>
    <w:rsid w:val="00D72A05"/>
    <w:rsid w:val="00D73303"/>
    <w:rsid w:val="00D745CC"/>
    <w:rsid w:val="00D7592B"/>
    <w:rsid w:val="00D75CB0"/>
    <w:rsid w:val="00D77214"/>
    <w:rsid w:val="00D80170"/>
    <w:rsid w:val="00D804F2"/>
    <w:rsid w:val="00D80827"/>
    <w:rsid w:val="00D80DEF"/>
    <w:rsid w:val="00D81578"/>
    <w:rsid w:val="00D820F8"/>
    <w:rsid w:val="00D852C2"/>
    <w:rsid w:val="00D856C5"/>
    <w:rsid w:val="00D856D3"/>
    <w:rsid w:val="00D8595F"/>
    <w:rsid w:val="00D85CE4"/>
    <w:rsid w:val="00D86409"/>
    <w:rsid w:val="00D870BF"/>
    <w:rsid w:val="00D877B3"/>
    <w:rsid w:val="00D9098E"/>
    <w:rsid w:val="00D90E1F"/>
    <w:rsid w:val="00D90FDD"/>
    <w:rsid w:val="00D9219A"/>
    <w:rsid w:val="00D923FF"/>
    <w:rsid w:val="00D9474C"/>
    <w:rsid w:val="00D96DF4"/>
    <w:rsid w:val="00D9706C"/>
    <w:rsid w:val="00D97524"/>
    <w:rsid w:val="00D97C6B"/>
    <w:rsid w:val="00DA06A4"/>
    <w:rsid w:val="00DA07AE"/>
    <w:rsid w:val="00DA1DD9"/>
    <w:rsid w:val="00DA236E"/>
    <w:rsid w:val="00DA2EE7"/>
    <w:rsid w:val="00DA4004"/>
    <w:rsid w:val="00DA42CA"/>
    <w:rsid w:val="00DA499E"/>
    <w:rsid w:val="00DA5485"/>
    <w:rsid w:val="00DA5E12"/>
    <w:rsid w:val="00DA6806"/>
    <w:rsid w:val="00DA6CD1"/>
    <w:rsid w:val="00DA75E3"/>
    <w:rsid w:val="00DA7708"/>
    <w:rsid w:val="00DA795C"/>
    <w:rsid w:val="00DA7A1D"/>
    <w:rsid w:val="00DB03F4"/>
    <w:rsid w:val="00DB09E4"/>
    <w:rsid w:val="00DB0E80"/>
    <w:rsid w:val="00DB2595"/>
    <w:rsid w:val="00DB2CFA"/>
    <w:rsid w:val="00DB3B1D"/>
    <w:rsid w:val="00DB3D87"/>
    <w:rsid w:val="00DB3EEF"/>
    <w:rsid w:val="00DB4E3F"/>
    <w:rsid w:val="00DB7157"/>
    <w:rsid w:val="00DB7452"/>
    <w:rsid w:val="00DB7F02"/>
    <w:rsid w:val="00DC0E39"/>
    <w:rsid w:val="00DC18DB"/>
    <w:rsid w:val="00DC18EF"/>
    <w:rsid w:val="00DC1A59"/>
    <w:rsid w:val="00DC2E40"/>
    <w:rsid w:val="00DC3B4B"/>
    <w:rsid w:val="00DC3B74"/>
    <w:rsid w:val="00DC4EAD"/>
    <w:rsid w:val="00DC5748"/>
    <w:rsid w:val="00DC5FB8"/>
    <w:rsid w:val="00DC5FCE"/>
    <w:rsid w:val="00DC7924"/>
    <w:rsid w:val="00DC7A48"/>
    <w:rsid w:val="00DD11C2"/>
    <w:rsid w:val="00DD3036"/>
    <w:rsid w:val="00DD311E"/>
    <w:rsid w:val="00DD31C1"/>
    <w:rsid w:val="00DD356B"/>
    <w:rsid w:val="00DD3FC4"/>
    <w:rsid w:val="00DD47D5"/>
    <w:rsid w:val="00DD4845"/>
    <w:rsid w:val="00DD4917"/>
    <w:rsid w:val="00DD4E1E"/>
    <w:rsid w:val="00DD52B7"/>
    <w:rsid w:val="00DD5301"/>
    <w:rsid w:val="00DD5709"/>
    <w:rsid w:val="00DD63EB"/>
    <w:rsid w:val="00DD670C"/>
    <w:rsid w:val="00DD76FB"/>
    <w:rsid w:val="00DE187A"/>
    <w:rsid w:val="00DE18DB"/>
    <w:rsid w:val="00DE1B4A"/>
    <w:rsid w:val="00DE3293"/>
    <w:rsid w:val="00DE337E"/>
    <w:rsid w:val="00DE38A2"/>
    <w:rsid w:val="00DE3B0F"/>
    <w:rsid w:val="00DE5357"/>
    <w:rsid w:val="00DE53BD"/>
    <w:rsid w:val="00DE7D47"/>
    <w:rsid w:val="00DF0183"/>
    <w:rsid w:val="00DF0663"/>
    <w:rsid w:val="00DF1D74"/>
    <w:rsid w:val="00DF263D"/>
    <w:rsid w:val="00DF3850"/>
    <w:rsid w:val="00DF40DE"/>
    <w:rsid w:val="00DF487C"/>
    <w:rsid w:val="00DF5A45"/>
    <w:rsid w:val="00DF7382"/>
    <w:rsid w:val="00DF7EBC"/>
    <w:rsid w:val="00E008DA"/>
    <w:rsid w:val="00E019C2"/>
    <w:rsid w:val="00E01A5D"/>
    <w:rsid w:val="00E02688"/>
    <w:rsid w:val="00E02E2E"/>
    <w:rsid w:val="00E03DF7"/>
    <w:rsid w:val="00E057CE"/>
    <w:rsid w:val="00E06BBE"/>
    <w:rsid w:val="00E06E24"/>
    <w:rsid w:val="00E07ADF"/>
    <w:rsid w:val="00E10308"/>
    <w:rsid w:val="00E10D3B"/>
    <w:rsid w:val="00E11E84"/>
    <w:rsid w:val="00E125F3"/>
    <w:rsid w:val="00E12717"/>
    <w:rsid w:val="00E12948"/>
    <w:rsid w:val="00E12E6C"/>
    <w:rsid w:val="00E138E3"/>
    <w:rsid w:val="00E140A6"/>
    <w:rsid w:val="00E14161"/>
    <w:rsid w:val="00E141E5"/>
    <w:rsid w:val="00E14797"/>
    <w:rsid w:val="00E15968"/>
    <w:rsid w:val="00E16032"/>
    <w:rsid w:val="00E16540"/>
    <w:rsid w:val="00E166CC"/>
    <w:rsid w:val="00E16E28"/>
    <w:rsid w:val="00E16FC8"/>
    <w:rsid w:val="00E173C2"/>
    <w:rsid w:val="00E203C8"/>
    <w:rsid w:val="00E209EA"/>
    <w:rsid w:val="00E2145A"/>
    <w:rsid w:val="00E21C9E"/>
    <w:rsid w:val="00E228F2"/>
    <w:rsid w:val="00E239F5"/>
    <w:rsid w:val="00E23B94"/>
    <w:rsid w:val="00E2449C"/>
    <w:rsid w:val="00E246DF"/>
    <w:rsid w:val="00E24C5D"/>
    <w:rsid w:val="00E24E29"/>
    <w:rsid w:val="00E25E9F"/>
    <w:rsid w:val="00E266C4"/>
    <w:rsid w:val="00E26A5F"/>
    <w:rsid w:val="00E271D4"/>
    <w:rsid w:val="00E309E3"/>
    <w:rsid w:val="00E317DF"/>
    <w:rsid w:val="00E3267C"/>
    <w:rsid w:val="00E328AA"/>
    <w:rsid w:val="00E34E58"/>
    <w:rsid w:val="00E3575E"/>
    <w:rsid w:val="00E35D63"/>
    <w:rsid w:val="00E35E24"/>
    <w:rsid w:val="00E36367"/>
    <w:rsid w:val="00E3711C"/>
    <w:rsid w:val="00E37334"/>
    <w:rsid w:val="00E37F10"/>
    <w:rsid w:val="00E37FBC"/>
    <w:rsid w:val="00E4012F"/>
    <w:rsid w:val="00E41700"/>
    <w:rsid w:val="00E4257F"/>
    <w:rsid w:val="00E45E91"/>
    <w:rsid w:val="00E46524"/>
    <w:rsid w:val="00E467BD"/>
    <w:rsid w:val="00E50A98"/>
    <w:rsid w:val="00E51B93"/>
    <w:rsid w:val="00E51DB5"/>
    <w:rsid w:val="00E526F4"/>
    <w:rsid w:val="00E5488D"/>
    <w:rsid w:val="00E54E1B"/>
    <w:rsid w:val="00E54F54"/>
    <w:rsid w:val="00E5711C"/>
    <w:rsid w:val="00E603B2"/>
    <w:rsid w:val="00E603D2"/>
    <w:rsid w:val="00E60BF8"/>
    <w:rsid w:val="00E61114"/>
    <w:rsid w:val="00E61301"/>
    <w:rsid w:val="00E61639"/>
    <w:rsid w:val="00E61D44"/>
    <w:rsid w:val="00E622B9"/>
    <w:rsid w:val="00E63621"/>
    <w:rsid w:val="00E63AEA"/>
    <w:rsid w:val="00E647E8"/>
    <w:rsid w:val="00E64AFC"/>
    <w:rsid w:val="00E6564D"/>
    <w:rsid w:val="00E66048"/>
    <w:rsid w:val="00E66A25"/>
    <w:rsid w:val="00E67145"/>
    <w:rsid w:val="00E71865"/>
    <w:rsid w:val="00E719B5"/>
    <w:rsid w:val="00E72807"/>
    <w:rsid w:val="00E732BA"/>
    <w:rsid w:val="00E735EF"/>
    <w:rsid w:val="00E73AD2"/>
    <w:rsid w:val="00E74243"/>
    <w:rsid w:val="00E7474A"/>
    <w:rsid w:val="00E74B3E"/>
    <w:rsid w:val="00E74EED"/>
    <w:rsid w:val="00E75E05"/>
    <w:rsid w:val="00E77093"/>
    <w:rsid w:val="00E77B17"/>
    <w:rsid w:val="00E8093C"/>
    <w:rsid w:val="00E80DCD"/>
    <w:rsid w:val="00E820AD"/>
    <w:rsid w:val="00E83550"/>
    <w:rsid w:val="00E83573"/>
    <w:rsid w:val="00E84405"/>
    <w:rsid w:val="00E85233"/>
    <w:rsid w:val="00E853E4"/>
    <w:rsid w:val="00E85C9D"/>
    <w:rsid w:val="00E86809"/>
    <w:rsid w:val="00E86DDC"/>
    <w:rsid w:val="00E87BC2"/>
    <w:rsid w:val="00E87D88"/>
    <w:rsid w:val="00E90523"/>
    <w:rsid w:val="00E92AB7"/>
    <w:rsid w:val="00E947C9"/>
    <w:rsid w:val="00E95847"/>
    <w:rsid w:val="00E95F08"/>
    <w:rsid w:val="00E96923"/>
    <w:rsid w:val="00E96D99"/>
    <w:rsid w:val="00E96F1D"/>
    <w:rsid w:val="00E97EDC"/>
    <w:rsid w:val="00EA06B0"/>
    <w:rsid w:val="00EA0BCC"/>
    <w:rsid w:val="00EA13A5"/>
    <w:rsid w:val="00EA1D94"/>
    <w:rsid w:val="00EA555A"/>
    <w:rsid w:val="00EA581A"/>
    <w:rsid w:val="00EA59CC"/>
    <w:rsid w:val="00EA6122"/>
    <w:rsid w:val="00EA68C3"/>
    <w:rsid w:val="00EA7C46"/>
    <w:rsid w:val="00EA7D6D"/>
    <w:rsid w:val="00EB0344"/>
    <w:rsid w:val="00EB0A84"/>
    <w:rsid w:val="00EB0D6E"/>
    <w:rsid w:val="00EB1C19"/>
    <w:rsid w:val="00EB22AA"/>
    <w:rsid w:val="00EB2491"/>
    <w:rsid w:val="00EB27DB"/>
    <w:rsid w:val="00EB2976"/>
    <w:rsid w:val="00EB351B"/>
    <w:rsid w:val="00EB3589"/>
    <w:rsid w:val="00EB3A88"/>
    <w:rsid w:val="00EB47E6"/>
    <w:rsid w:val="00EB4A44"/>
    <w:rsid w:val="00EB50DD"/>
    <w:rsid w:val="00EB50F4"/>
    <w:rsid w:val="00EB5B43"/>
    <w:rsid w:val="00EB5ECA"/>
    <w:rsid w:val="00EB6730"/>
    <w:rsid w:val="00EB7B13"/>
    <w:rsid w:val="00EC061A"/>
    <w:rsid w:val="00EC0708"/>
    <w:rsid w:val="00EC15C3"/>
    <w:rsid w:val="00EC37E4"/>
    <w:rsid w:val="00EC4E68"/>
    <w:rsid w:val="00EC543C"/>
    <w:rsid w:val="00EC6849"/>
    <w:rsid w:val="00EC6C23"/>
    <w:rsid w:val="00EC6E8A"/>
    <w:rsid w:val="00EC6EB9"/>
    <w:rsid w:val="00EC7775"/>
    <w:rsid w:val="00ED0E52"/>
    <w:rsid w:val="00ED2D78"/>
    <w:rsid w:val="00ED3B80"/>
    <w:rsid w:val="00ED442B"/>
    <w:rsid w:val="00ED4499"/>
    <w:rsid w:val="00ED6D62"/>
    <w:rsid w:val="00ED6FCA"/>
    <w:rsid w:val="00ED7179"/>
    <w:rsid w:val="00ED76A0"/>
    <w:rsid w:val="00ED7803"/>
    <w:rsid w:val="00EE08F6"/>
    <w:rsid w:val="00EE0947"/>
    <w:rsid w:val="00EE3360"/>
    <w:rsid w:val="00EE3D45"/>
    <w:rsid w:val="00EE415A"/>
    <w:rsid w:val="00EE572F"/>
    <w:rsid w:val="00EE608F"/>
    <w:rsid w:val="00EE62D8"/>
    <w:rsid w:val="00EE6DB7"/>
    <w:rsid w:val="00EE761A"/>
    <w:rsid w:val="00EE78E2"/>
    <w:rsid w:val="00EE7C14"/>
    <w:rsid w:val="00EF02A8"/>
    <w:rsid w:val="00EF0D6D"/>
    <w:rsid w:val="00EF2342"/>
    <w:rsid w:val="00EF3AF9"/>
    <w:rsid w:val="00EF3CB0"/>
    <w:rsid w:val="00EF41E0"/>
    <w:rsid w:val="00EF51AF"/>
    <w:rsid w:val="00EF56D8"/>
    <w:rsid w:val="00EF5C8E"/>
    <w:rsid w:val="00EF5CCE"/>
    <w:rsid w:val="00EF5EF6"/>
    <w:rsid w:val="00EF66D2"/>
    <w:rsid w:val="00EF77AA"/>
    <w:rsid w:val="00EF798A"/>
    <w:rsid w:val="00F0081B"/>
    <w:rsid w:val="00F01011"/>
    <w:rsid w:val="00F0108B"/>
    <w:rsid w:val="00F0183C"/>
    <w:rsid w:val="00F01AEE"/>
    <w:rsid w:val="00F028BD"/>
    <w:rsid w:val="00F033B3"/>
    <w:rsid w:val="00F03458"/>
    <w:rsid w:val="00F0399C"/>
    <w:rsid w:val="00F03EB2"/>
    <w:rsid w:val="00F03F2A"/>
    <w:rsid w:val="00F047AA"/>
    <w:rsid w:val="00F04942"/>
    <w:rsid w:val="00F078D2"/>
    <w:rsid w:val="00F07D99"/>
    <w:rsid w:val="00F07E43"/>
    <w:rsid w:val="00F10F57"/>
    <w:rsid w:val="00F11A2D"/>
    <w:rsid w:val="00F11F11"/>
    <w:rsid w:val="00F1239C"/>
    <w:rsid w:val="00F126F3"/>
    <w:rsid w:val="00F157EE"/>
    <w:rsid w:val="00F15D2C"/>
    <w:rsid w:val="00F15EE6"/>
    <w:rsid w:val="00F16815"/>
    <w:rsid w:val="00F16EFE"/>
    <w:rsid w:val="00F17994"/>
    <w:rsid w:val="00F17AB6"/>
    <w:rsid w:val="00F21CE0"/>
    <w:rsid w:val="00F23523"/>
    <w:rsid w:val="00F23D41"/>
    <w:rsid w:val="00F24B61"/>
    <w:rsid w:val="00F24E54"/>
    <w:rsid w:val="00F26FC2"/>
    <w:rsid w:val="00F27C39"/>
    <w:rsid w:val="00F3007D"/>
    <w:rsid w:val="00F30109"/>
    <w:rsid w:val="00F3021A"/>
    <w:rsid w:val="00F30A90"/>
    <w:rsid w:val="00F30AD2"/>
    <w:rsid w:val="00F31E17"/>
    <w:rsid w:val="00F31FEC"/>
    <w:rsid w:val="00F32E40"/>
    <w:rsid w:val="00F32FF6"/>
    <w:rsid w:val="00F34D84"/>
    <w:rsid w:val="00F369CF"/>
    <w:rsid w:val="00F36E58"/>
    <w:rsid w:val="00F40205"/>
    <w:rsid w:val="00F407CD"/>
    <w:rsid w:val="00F40C63"/>
    <w:rsid w:val="00F40D11"/>
    <w:rsid w:val="00F4108D"/>
    <w:rsid w:val="00F42758"/>
    <w:rsid w:val="00F42C02"/>
    <w:rsid w:val="00F44892"/>
    <w:rsid w:val="00F45619"/>
    <w:rsid w:val="00F46201"/>
    <w:rsid w:val="00F46A7C"/>
    <w:rsid w:val="00F475D1"/>
    <w:rsid w:val="00F62D53"/>
    <w:rsid w:val="00F6387C"/>
    <w:rsid w:val="00F639E3"/>
    <w:rsid w:val="00F64F06"/>
    <w:rsid w:val="00F6594E"/>
    <w:rsid w:val="00F66170"/>
    <w:rsid w:val="00F661A6"/>
    <w:rsid w:val="00F674DC"/>
    <w:rsid w:val="00F67C53"/>
    <w:rsid w:val="00F70440"/>
    <w:rsid w:val="00F70D1C"/>
    <w:rsid w:val="00F72388"/>
    <w:rsid w:val="00F727BD"/>
    <w:rsid w:val="00F742ED"/>
    <w:rsid w:val="00F7430F"/>
    <w:rsid w:val="00F7467E"/>
    <w:rsid w:val="00F74BCE"/>
    <w:rsid w:val="00F775B3"/>
    <w:rsid w:val="00F802AD"/>
    <w:rsid w:val="00F80936"/>
    <w:rsid w:val="00F80F2B"/>
    <w:rsid w:val="00F821BC"/>
    <w:rsid w:val="00F836EC"/>
    <w:rsid w:val="00F84249"/>
    <w:rsid w:val="00F8436E"/>
    <w:rsid w:val="00F861AD"/>
    <w:rsid w:val="00F86FA7"/>
    <w:rsid w:val="00F87491"/>
    <w:rsid w:val="00F877BE"/>
    <w:rsid w:val="00F878AB"/>
    <w:rsid w:val="00F87DBD"/>
    <w:rsid w:val="00F90389"/>
    <w:rsid w:val="00F91630"/>
    <w:rsid w:val="00F916C6"/>
    <w:rsid w:val="00F938BF"/>
    <w:rsid w:val="00F93C83"/>
    <w:rsid w:val="00F93D26"/>
    <w:rsid w:val="00F95AAB"/>
    <w:rsid w:val="00F9670F"/>
    <w:rsid w:val="00F96852"/>
    <w:rsid w:val="00F96DDA"/>
    <w:rsid w:val="00F9770E"/>
    <w:rsid w:val="00F97F42"/>
    <w:rsid w:val="00FA0440"/>
    <w:rsid w:val="00FA046C"/>
    <w:rsid w:val="00FA0ECC"/>
    <w:rsid w:val="00FA295C"/>
    <w:rsid w:val="00FA427C"/>
    <w:rsid w:val="00FA4349"/>
    <w:rsid w:val="00FA482B"/>
    <w:rsid w:val="00FA4B3B"/>
    <w:rsid w:val="00FA665A"/>
    <w:rsid w:val="00FB0996"/>
    <w:rsid w:val="00FB14D1"/>
    <w:rsid w:val="00FB1BBD"/>
    <w:rsid w:val="00FB2632"/>
    <w:rsid w:val="00FB2994"/>
    <w:rsid w:val="00FB2BA4"/>
    <w:rsid w:val="00FB49D2"/>
    <w:rsid w:val="00FB517D"/>
    <w:rsid w:val="00FB51B1"/>
    <w:rsid w:val="00FB5A5F"/>
    <w:rsid w:val="00FB6232"/>
    <w:rsid w:val="00FB6513"/>
    <w:rsid w:val="00FB6571"/>
    <w:rsid w:val="00FB65C5"/>
    <w:rsid w:val="00FB71D9"/>
    <w:rsid w:val="00FB7F97"/>
    <w:rsid w:val="00FC0086"/>
    <w:rsid w:val="00FC0857"/>
    <w:rsid w:val="00FC145B"/>
    <w:rsid w:val="00FC17F4"/>
    <w:rsid w:val="00FC18F3"/>
    <w:rsid w:val="00FC3B95"/>
    <w:rsid w:val="00FC412D"/>
    <w:rsid w:val="00FC6FF3"/>
    <w:rsid w:val="00FC7896"/>
    <w:rsid w:val="00FC7BD0"/>
    <w:rsid w:val="00FC7CAD"/>
    <w:rsid w:val="00FC7DE6"/>
    <w:rsid w:val="00FD0004"/>
    <w:rsid w:val="00FD0815"/>
    <w:rsid w:val="00FD0BC0"/>
    <w:rsid w:val="00FD1402"/>
    <w:rsid w:val="00FD2896"/>
    <w:rsid w:val="00FD3493"/>
    <w:rsid w:val="00FD3604"/>
    <w:rsid w:val="00FD446E"/>
    <w:rsid w:val="00FD4FE5"/>
    <w:rsid w:val="00FD51D8"/>
    <w:rsid w:val="00FD5722"/>
    <w:rsid w:val="00FD6CBE"/>
    <w:rsid w:val="00FD6E1B"/>
    <w:rsid w:val="00FD7E75"/>
    <w:rsid w:val="00FD7FC3"/>
    <w:rsid w:val="00FE0300"/>
    <w:rsid w:val="00FE0455"/>
    <w:rsid w:val="00FE0966"/>
    <w:rsid w:val="00FE1233"/>
    <w:rsid w:val="00FE1541"/>
    <w:rsid w:val="00FE24D3"/>
    <w:rsid w:val="00FE273C"/>
    <w:rsid w:val="00FE32AF"/>
    <w:rsid w:val="00FE3561"/>
    <w:rsid w:val="00FE3B11"/>
    <w:rsid w:val="00FE4AB7"/>
    <w:rsid w:val="00FE51FD"/>
    <w:rsid w:val="00FE6290"/>
    <w:rsid w:val="00FE6CF6"/>
    <w:rsid w:val="00FE74AC"/>
    <w:rsid w:val="00FE78EF"/>
    <w:rsid w:val="00FF06C2"/>
    <w:rsid w:val="00FF1D74"/>
    <w:rsid w:val="00FF2C42"/>
    <w:rsid w:val="00FF4158"/>
    <w:rsid w:val="00FF4870"/>
    <w:rsid w:val="00FF5124"/>
    <w:rsid w:val="00FF651C"/>
    <w:rsid w:val="00FF6D23"/>
    <w:rsid w:val="00FF78C0"/>
    <w:rsid w:val="02CD37A8"/>
    <w:rsid w:val="035E4559"/>
    <w:rsid w:val="0BB95D1D"/>
    <w:rsid w:val="0BCA06F0"/>
    <w:rsid w:val="0FF80DF1"/>
    <w:rsid w:val="100105DC"/>
    <w:rsid w:val="11EE0DD5"/>
    <w:rsid w:val="134277FC"/>
    <w:rsid w:val="136306EC"/>
    <w:rsid w:val="18AF707B"/>
    <w:rsid w:val="18B83732"/>
    <w:rsid w:val="1CDC7898"/>
    <w:rsid w:val="20446CF4"/>
    <w:rsid w:val="28860A63"/>
    <w:rsid w:val="2C8622C4"/>
    <w:rsid w:val="2DBF09AB"/>
    <w:rsid w:val="2DC82BFB"/>
    <w:rsid w:val="2E8259FF"/>
    <w:rsid w:val="302B2975"/>
    <w:rsid w:val="32AF12DC"/>
    <w:rsid w:val="345937CE"/>
    <w:rsid w:val="380F45CC"/>
    <w:rsid w:val="399F23E8"/>
    <w:rsid w:val="3C1515AA"/>
    <w:rsid w:val="3CD307E2"/>
    <w:rsid w:val="3CE42F55"/>
    <w:rsid w:val="40AA50EC"/>
    <w:rsid w:val="45BD197C"/>
    <w:rsid w:val="4AD86832"/>
    <w:rsid w:val="4ADD0CE6"/>
    <w:rsid w:val="4D513B7C"/>
    <w:rsid w:val="4E5527F6"/>
    <w:rsid w:val="4E5C1EB9"/>
    <w:rsid w:val="50877DE0"/>
    <w:rsid w:val="5098164B"/>
    <w:rsid w:val="552239B6"/>
    <w:rsid w:val="55A253EC"/>
    <w:rsid w:val="56E83D42"/>
    <w:rsid w:val="5A1F7758"/>
    <w:rsid w:val="5B1C7715"/>
    <w:rsid w:val="5BFA42C1"/>
    <w:rsid w:val="5D4D366F"/>
    <w:rsid w:val="66B37586"/>
    <w:rsid w:val="673C5B5E"/>
    <w:rsid w:val="68EC0320"/>
    <w:rsid w:val="68FF3877"/>
    <w:rsid w:val="6AB32A6F"/>
    <w:rsid w:val="6DBE4BE1"/>
    <w:rsid w:val="6E3851B0"/>
    <w:rsid w:val="70752F43"/>
    <w:rsid w:val="72F70887"/>
    <w:rsid w:val="757C14D3"/>
    <w:rsid w:val="761C2E24"/>
    <w:rsid w:val="79443242"/>
    <w:rsid w:val="79A95ED4"/>
    <w:rsid w:val="7B030CC0"/>
    <w:rsid w:val="7B057EFF"/>
    <w:rsid w:val="7CF27A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3">
    <w:name w:val="heading 2"/>
    <w:basedOn w:val="1"/>
    <w:next w:val="4"/>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17">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27"/>
    <w:qFormat/>
    <w:uiPriority w:val="0"/>
    <w:pPr>
      <w:spacing w:after="120"/>
      <w:jc w:val="both"/>
    </w:pPr>
    <w:rPr>
      <w:rFonts w:eastAsia="MS Mincho"/>
    </w:rPr>
  </w:style>
  <w:style w:type="paragraph" w:styleId="9">
    <w:name w:val="annotation subject"/>
    <w:basedOn w:val="10"/>
    <w:next w:val="10"/>
    <w:link w:val="32"/>
    <w:unhideWhenUsed/>
    <w:qFormat/>
    <w:uiPriority w:val="99"/>
    <w:rPr>
      <w:b/>
      <w:bCs/>
    </w:rPr>
  </w:style>
  <w:style w:type="paragraph" w:styleId="10">
    <w:name w:val="annotation text"/>
    <w:basedOn w:val="1"/>
    <w:link w:val="31"/>
    <w:unhideWhenUsed/>
    <w:qFormat/>
    <w:uiPriority w:val="99"/>
    <w:rPr>
      <w:szCs w:val="20"/>
    </w:rPr>
  </w:style>
  <w:style w:type="paragraph" w:styleId="11">
    <w:name w:val="caption"/>
    <w:basedOn w:val="1"/>
    <w:next w:val="1"/>
    <w:unhideWhenUsed/>
    <w:qFormat/>
    <w:uiPriority w:val="35"/>
    <w:pPr>
      <w:spacing w:after="200"/>
    </w:pPr>
    <w:rPr>
      <w:b/>
      <w:bCs/>
      <w:sz w:val="18"/>
      <w:szCs w:val="18"/>
    </w:rPr>
  </w:style>
  <w:style w:type="paragraph" w:styleId="12">
    <w:name w:val="List 2"/>
    <w:basedOn w:val="1"/>
    <w:unhideWhenUsed/>
    <w:qFormat/>
    <w:uiPriority w:val="99"/>
    <w:pPr>
      <w:ind w:left="100" w:leftChars="200" w:hanging="200" w:hangingChars="200"/>
      <w:contextualSpacing/>
    </w:pPr>
  </w:style>
  <w:style w:type="paragraph" w:styleId="13">
    <w:name w:val="Balloon Text"/>
    <w:basedOn w:val="1"/>
    <w:link w:val="29"/>
    <w:unhideWhenUsed/>
    <w:qFormat/>
    <w:uiPriority w:val="99"/>
    <w:rPr>
      <w:rFonts w:ascii="Tahoma" w:hAnsi="Tahoma" w:cs="Tahoma"/>
      <w:sz w:val="16"/>
      <w:szCs w:val="16"/>
    </w:rPr>
  </w:style>
  <w:style w:type="paragraph" w:styleId="14">
    <w:name w:val="footer"/>
    <w:basedOn w:val="1"/>
    <w:link w:val="33"/>
    <w:unhideWhenUsed/>
    <w:qFormat/>
    <w:uiPriority w:val="99"/>
    <w:pPr>
      <w:tabs>
        <w:tab w:val="center" w:pos="4536"/>
        <w:tab w:val="right" w:pos="9072"/>
      </w:tabs>
    </w:pPr>
  </w:style>
  <w:style w:type="paragraph" w:styleId="15">
    <w:name w:val="header"/>
    <w:basedOn w:val="1"/>
    <w:link w:val="28"/>
    <w:qFormat/>
    <w:uiPriority w:val="0"/>
    <w:pPr>
      <w:tabs>
        <w:tab w:val="center" w:pos="4536"/>
        <w:tab w:val="right" w:pos="9072"/>
      </w:tabs>
    </w:pPr>
    <w:rPr>
      <w:rFonts w:ascii="Arial" w:hAnsi="Arial" w:eastAsia="MS Mincho"/>
      <w:b/>
    </w:rPr>
  </w:style>
  <w:style w:type="paragraph" w:styleId="16">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character" w:styleId="18">
    <w:name w:val="Hyperlink"/>
    <w:unhideWhenUsed/>
    <w:qFormat/>
    <w:uiPriority w:val="99"/>
    <w:rPr>
      <w:color w:val="0000FF"/>
      <w:u w:val="single"/>
    </w:rPr>
  </w:style>
  <w:style w:type="character" w:styleId="19">
    <w:name w:val="annotation reference"/>
    <w:basedOn w:val="17"/>
    <w:unhideWhenUsed/>
    <w:qFormat/>
    <w:uiPriority w:val="99"/>
    <w:rPr>
      <w:sz w:val="16"/>
      <w:szCs w:val="16"/>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3"/>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4"/>
    <w:qFormat/>
    <w:uiPriority w:val="0"/>
    <w:rPr>
      <w:rFonts w:ascii="Times New Roman" w:hAnsi="Times New Roman" w:eastAsia="MS Mincho" w:cs="Times New Roman"/>
      <w:sz w:val="20"/>
      <w:szCs w:val="24"/>
      <w:lang w:val="en-US"/>
    </w:rPr>
  </w:style>
  <w:style w:type="character" w:customStyle="1" w:styleId="28">
    <w:name w:val="页眉 字符1"/>
    <w:link w:val="15"/>
    <w:qFormat/>
    <w:uiPriority w:val="0"/>
    <w:rPr>
      <w:rFonts w:ascii="Arial" w:hAnsi="Arial" w:eastAsia="MS Mincho" w:cs="Times New Roman"/>
      <w:b/>
      <w:sz w:val="20"/>
      <w:szCs w:val="24"/>
      <w:lang w:val="en-US"/>
    </w:rPr>
  </w:style>
  <w:style w:type="character" w:customStyle="1" w:styleId="29">
    <w:name w:val="批注框文本 字符"/>
    <w:link w:val="13"/>
    <w:semiHidden/>
    <w:qFormat/>
    <w:uiPriority w:val="99"/>
    <w:rPr>
      <w:rFonts w:ascii="Tahoma" w:hAnsi="Tahoma" w:eastAsia="Times New Roman" w:cs="Tahoma"/>
      <w:sz w:val="16"/>
      <w:szCs w:val="16"/>
      <w:lang w:val="en-US"/>
    </w:rPr>
  </w:style>
  <w:style w:type="paragraph" w:customStyle="1" w:styleId="30">
    <w:name w:val="列表段落1"/>
    <w:basedOn w:val="1"/>
    <w:link w:val="34"/>
    <w:qFormat/>
    <w:uiPriority w:val="34"/>
    <w:pPr>
      <w:ind w:left="720"/>
      <w:contextualSpacing/>
    </w:pPr>
  </w:style>
  <w:style w:type="character" w:customStyle="1" w:styleId="31">
    <w:name w:val="批注文字 字符1"/>
    <w:link w:val="10"/>
    <w:qFormat/>
    <w:uiPriority w:val="0"/>
    <w:rPr>
      <w:rFonts w:ascii="Times New Roman" w:hAnsi="Times New Roman" w:eastAsia="Times New Roman" w:cs="Times New Roman"/>
      <w:sz w:val="20"/>
      <w:szCs w:val="20"/>
      <w:lang w:val="en-US"/>
    </w:rPr>
  </w:style>
  <w:style w:type="character" w:customStyle="1" w:styleId="32">
    <w:name w:val="批注主题 字符"/>
    <w:link w:val="9"/>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4"/>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81">
    <w:name w:val="Proposal"/>
    <w:basedOn w:val="4"/>
    <w:qFormat/>
    <w:uiPriority w:val="0"/>
    <w:pPr>
      <w:widowControl w:val="0"/>
      <w:numPr>
        <w:ilvl w:val="0"/>
        <w:numId w:val="6"/>
      </w:numPr>
      <w:tabs>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2"/>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2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Layout w:type="fixed"/>
    </w:tblPr>
    <w:tcPr>
      <w:shd w:val="clear" w:color="auto" w:fill="E2EFD9" w:themeFill="accent6" w:themeFillTint="33"/>
    </w:tcPr>
    <w:tblStylePr w:type="firstRow">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blPr>
        <w:tblLayout w:type="fixed"/>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blPr>
        <w:tblLayout w:type="fixed"/>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blPr>
        <w:tblLayout w:type="fixed"/>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blPr>
        <w:tblLayout w:type="fixed"/>
      </w:tblPr>
      <w:tcPr>
        <w:shd w:val="clear" w:color="auto" w:fill="C5E0B3" w:themeFill="accent6" w:themeFillTint="66"/>
      </w:tcPr>
    </w:tblStylePr>
    <w:tblStylePr w:type="band1Horz">
      <w:tblPr>
        <w:tblLayout w:type="fixed"/>
      </w:tblPr>
      <w:tcPr>
        <w:shd w:val="clear" w:color="auto" w:fill="C5E0B3" w:themeFill="accent6" w:themeFillTint="66"/>
      </w:tcPr>
    </w:tblStylePr>
  </w:style>
  <w:style w:type="table" w:customStyle="1" w:styleId="91">
    <w:name w:val="网格表 4 - 着色 61"/>
    <w:basedOn w:val="2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Layout w:type="fixed"/>
    </w:tblPr>
    <w:tblStylePr w:type="firstRow">
      <w:rPr>
        <w:b/>
        <w:bCs/>
        <w:color w:val="FFFFFF" w:themeColor="background1"/>
        <w14:textFill>
          <w14:solidFill>
            <w14:schemeClr w14:val="bg1"/>
          </w14:solidFill>
        </w14:textFill>
      </w:rPr>
      <w:tblPr>
        <w:tblLayout w:type="fixed"/>
      </w:tbl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blPr>
        <w:tblLayout w:type="fixed"/>
      </w:tblPr>
      <w:tcPr>
        <w:tcBorders>
          <w:top w:val="double" w:color="70AD47" w:themeColor="accent6" w:sz="4" w:space="0"/>
        </w:tcBorders>
      </w:tcPr>
    </w:tblStylePr>
    <w:tblStylePr w:type="firstCol">
      <w:rPr>
        <w:b/>
        <w:bCs/>
      </w:rPr>
    </w:tblStylePr>
    <w:tblStylePr w:type="lastCol">
      <w:rPr>
        <w:b/>
        <w:bCs/>
      </w:rPr>
    </w:tblStylePr>
    <w:tblStylePr w:type="band1Vert">
      <w:tblPr>
        <w:tblLayout w:type="fixed"/>
      </w:tblPr>
      <w:tcPr>
        <w:shd w:val="clear" w:color="auto" w:fill="E2EFD9" w:themeFill="accent6" w:themeFillTint="33"/>
      </w:tcPr>
    </w:tblStylePr>
    <w:tblStylePr w:type="band1Horz">
      <w:tblPr>
        <w:tblLayout w:type="fixed"/>
      </w:tblPr>
      <w:tcPr>
        <w:shd w:val="clear" w:color="auto" w:fill="E2EFD9" w:themeFill="accent6" w:themeFillTint="33"/>
      </w:tcPr>
    </w:tblStylePr>
  </w:style>
  <w:style w:type="paragraph" w:customStyle="1" w:styleId="92">
    <w:name w:val="H6"/>
    <w:basedOn w:val="7"/>
    <w:next w:val="1"/>
    <w:link w:val="93"/>
    <w:qFormat/>
    <w:uiPriority w:val="0"/>
    <w:pPr>
      <w:keepNext/>
      <w:keepLines/>
      <w:spacing w:before="120" w:after="180"/>
      <w:ind w:left="1985" w:hanging="1985"/>
      <w:outlineLvl w:val="9"/>
    </w:pPr>
    <w:rPr>
      <w:rFonts w:ascii="Arial" w:hAnsi="Arial" w:eastAsia="宋体"/>
      <w:b w:val="0"/>
      <w:bCs w:val="0"/>
      <w:i w:val="0"/>
      <w:iCs w:val="0"/>
      <w:sz w:val="20"/>
      <w:szCs w:val="20"/>
      <w:lang w:val="en-GB" w:eastAsia="zh-CN"/>
    </w:rPr>
  </w:style>
  <w:style w:type="character" w:customStyle="1" w:styleId="93">
    <w:name w:val="H6 Char"/>
    <w:link w:val="92"/>
    <w:qFormat/>
    <w:uiPriority w:val="0"/>
    <w:rPr>
      <w:rFonts w:ascii="Arial" w:hAnsi="Arial"/>
      <w:lang w:val="en-GB" w:eastAsia="zh-CN"/>
    </w:rPr>
  </w:style>
  <w:style w:type="paragraph" w:customStyle="1" w:styleId="94">
    <w:name w:val="Revision"/>
    <w:hidden/>
    <w:semiHidden/>
    <w:qFormat/>
    <w:uiPriority w:val="99"/>
    <w:rPr>
      <w:rFonts w:ascii="Times New Roman" w:hAnsi="Times New Roman" w:eastAsia="Times New Roman" w:cs="Times New Roman"/>
      <w:szCs w:val="24"/>
      <w:lang w:val="en-US" w:eastAsia="en-US" w:bidi="ar-SA"/>
    </w:rPr>
  </w:style>
  <w:style w:type="character" w:customStyle="1" w:styleId="95">
    <w:name w:val="WW8Num1z0"/>
    <w:qFormat/>
    <w:uiPriority w:val="0"/>
  </w:style>
  <w:style w:type="character" w:customStyle="1" w:styleId="96">
    <w:name w:val="ui-provider"/>
    <w:qFormat/>
    <w:uiPriority w:val="0"/>
  </w:style>
  <w:style w:type="paragraph" w:customStyle="1" w:styleId="97">
    <w:name w:val="0 Main text"/>
    <w:basedOn w:val="1"/>
    <w:qFormat/>
    <w:uiPriority w:val="0"/>
    <w:pPr>
      <w:jc w:val="both"/>
    </w:pPr>
    <w:rPr>
      <w:rFonts w:ascii="Times New Roman" w:hAnsi="Times New Roman" w:eastAsia="Malgun Gothic"/>
      <w:szCs w:val="20"/>
    </w:rPr>
  </w:style>
  <w:style w:type="paragraph" w:customStyle="1" w:styleId="98">
    <w:name w:val="_Style 2"/>
    <w:basedOn w:val="1"/>
    <w:qFormat/>
    <w:uiPriority w:val="34"/>
    <w:pPr>
      <w:ind w:left="840" w:leftChars="400"/>
    </w:pPr>
  </w:style>
  <w:style w:type="paragraph" w:customStyle="1" w:styleId="99">
    <w:name w:val="Body Text_Single"/>
    <w:basedOn w:val="1"/>
    <w:qFormat/>
    <w:uiPriority w:val="0"/>
    <w:pPr>
      <w:spacing w:after="240"/>
    </w:pPr>
  </w:style>
  <w:style w:type="paragraph" w:customStyle="1" w:styleId="100">
    <w:name w:val="_Style 3"/>
    <w:basedOn w:val="1"/>
    <w:qFormat/>
    <w:uiPriority w:val="34"/>
    <w:pPr>
      <w:ind w:left="840" w:leftChars="400"/>
    </w:p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emf"/><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2D6E3-B8B4-4820-A4E0-FF9A9E7A73F0}">
  <ds:schemaRefs/>
</ds:datastoreItem>
</file>

<file path=customXml/itemProps3.xml><?xml version="1.0" encoding="utf-8"?>
<ds:datastoreItem xmlns:ds="http://schemas.openxmlformats.org/officeDocument/2006/customXml" ds:itemID="{E3616DC6-1F18-4330-A78B-E643F6D64352}">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7</Pages>
  <Words>3252</Words>
  <Characters>18539</Characters>
  <Lines>154</Lines>
  <Paragraphs>43</Paragraphs>
  <ScaleCrop>false</ScaleCrop>
  <LinksUpToDate>false</LinksUpToDate>
  <CharactersWithSpaces>21748</CharactersWithSpaces>
  <Application>WPS Office_10.1.0.6395_F1E327BC-269C-435d-A152-05C5408002CA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林浩</cp:lastModifiedBy>
  <dcterms:modified xsi:type="dcterms:W3CDTF">2024-11-07T10:10:11Z</dcterms:modified>
  <cp:revision>1072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E5F5276C1D7441A5BCFF99E68545BA3F</vt:lpwstr>
  </property>
</Properties>
</file>