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19</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R1-</w:t>
      </w:r>
      <w:r>
        <w:rPr>
          <w:rFonts w:hint="eastAsia" w:ascii="Arial" w:hAnsi="Arial" w:cs="Arial"/>
          <w:b/>
          <w:bCs/>
          <w:sz w:val="24"/>
          <w:szCs w:val="24"/>
        </w:rPr>
        <w:t>2409962</w:t>
      </w:r>
    </w:p>
    <w:p>
      <w:pPr>
        <w:tabs>
          <w:tab w:val="center" w:pos="4536"/>
          <w:tab w:val="right" w:pos="9072"/>
        </w:tabs>
        <w:rPr>
          <w:rFonts w:ascii="Arial" w:hAnsi="Arial" w:eastAsia="MS Mincho" w:cs="Arial"/>
          <w:b/>
          <w:bCs/>
          <w:sz w:val="24"/>
          <w:szCs w:val="24"/>
          <w:lang w:eastAsia="ja-JP"/>
        </w:rPr>
      </w:pPr>
      <w:r>
        <w:rPr>
          <w:rFonts w:hint="eastAsia" w:ascii="Arial" w:hAnsi="Arial" w:eastAsia="宋体" w:cs="Arial"/>
          <w:b/>
          <w:bCs/>
          <w:sz w:val="24"/>
          <w:szCs w:val="24"/>
          <w:lang w:val="en-US" w:eastAsia="zh-CN"/>
        </w:rPr>
        <w:t xml:space="preserve">Orlando, US, November </w:t>
      </w:r>
      <w:r>
        <w:rPr>
          <w:rFonts w:hint="eastAsia" w:ascii="Arial" w:hAnsi="Arial" w:cs="Arial"/>
          <w:b/>
          <w:bCs/>
          <w:sz w:val="24"/>
          <w:szCs w:val="24"/>
          <w:lang w:val="en-US" w:eastAsia="zh-CN"/>
        </w:rPr>
        <w:t>18</w:t>
      </w:r>
      <w:r>
        <w:rPr>
          <w:rFonts w:hint="eastAsia" w:ascii="Malgun Gothic" w:hAnsi="Malgun Gothic" w:eastAsia="Malgun Gothic" w:cs="Malgun Gothic"/>
          <w:b/>
          <w:bCs/>
          <w:sz w:val="24"/>
          <w:szCs w:val="24"/>
          <w:vertAlign w:val="superscript"/>
          <w:lang w:eastAsia="ko-KR"/>
        </w:rPr>
        <w:t>th</w:t>
      </w:r>
      <w:r>
        <w:rPr>
          <w:rFonts w:ascii="Arial" w:hAnsi="Arial" w:eastAsia="MS Mincho" w:cs="Arial"/>
          <w:b/>
          <w:bCs/>
          <w:sz w:val="24"/>
          <w:szCs w:val="24"/>
          <w:lang w:eastAsia="ja-JP"/>
        </w:rPr>
        <w:t xml:space="preserve"> </w:t>
      </w:r>
      <w:r>
        <w:rPr>
          <w:rFonts w:ascii="Arial" w:hAnsi="Arial" w:cs="Arial"/>
          <w:b/>
          <w:bCs/>
          <w:sz w:val="24"/>
          <w:szCs w:val="24"/>
        </w:rPr>
        <w:t xml:space="preserve">–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ascii="Arial" w:hAnsi="Arial" w:eastAsia="MS Mincho" w:cs="Arial"/>
          <w:b/>
          <w:bCs/>
          <w:sz w:val="24"/>
          <w:szCs w:val="24"/>
          <w:lang w:eastAsia="ja-JP"/>
        </w:rPr>
        <w:t>, 2024</w:t>
      </w:r>
    </w:p>
    <w:p>
      <w:pPr>
        <w:pBdr>
          <w:top w:val="single" w:color="auto" w:sz="4" w:space="0"/>
        </w:pBdr>
        <w:spacing w:after="0"/>
        <w:jc w:val="left"/>
        <w:rPr>
          <w:b/>
          <w:bCs/>
          <w:sz w:val="16"/>
          <w:szCs w:val="16"/>
        </w:rPr>
      </w:pPr>
    </w:p>
    <w:p>
      <w:pPr>
        <w:spacing w:after="60"/>
        <w:ind w:left="1555" w:hanging="1555"/>
        <w:jc w:val="left"/>
        <w:rPr>
          <w:rFonts w:hint="eastAsia" w:eastAsia="宋体"/>
          <w:b/>
          <w:lang w:val="en-US" w:eastAsia="zh-CN"/>
        </w:rPr>
      </w:pPr>
      <w:r>
        <w:rPr>
          <w:b/>
        </w:rPr>
        <w:t>Agenda Item:</w:t>
      </w:r>
      <w:r>
        <w:rPr>
          <w:b/>
        </w:rPr>
        <w:tab/>
      </w:r>
      <w:r>
        <w:rPr>
          <w:rFonts w:hint="eastAsia"/>
          <w:b/>
          <w:lang w:val="en-US" w:eastAsia="zh-CN"/>
        </w:rPr>
        <w:t>9</w:t>
      </w:r>
      <w:r>
        <w:rPr>
          <w:rFonts w:hint="eastAsia"/>
          <w:b/>
        </w:rPr>
        <w:t>.</w:t>
      </w:r>
      <w:r>
        <w:rPr>
          <w:rFonts w:hint="eastAsia"/>
          <w:b/>
          <w:lang w:val="en-US" w:eastAsia="zh-CN"/>
        </w:rPr>
        <w:t>2</w:t>
      </w:r>
      <w:r>
        <w:rPr>
          <w:rFonts w:hint="eastAsia"/>
          <w:b/>
        </w:rPr>
        <w:t>.</w:t>
      </w:r>
      <w:r>
        <w:rPr>
          <w:rFonts w:hint="eastAsia"/>
          <w:b/>
          <w:lang w:val="en-US" w:eastAsia="zh-CN"/>
        </w:rPr>
        <w:t>4</w:t>
      </w:r>
    </w:p>
    <w:p>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pPr>
        <w:spacing w:after="60"/>
        <w:ind w:left="1555" w:hanging="1555"/>
        <w:jc w:val="left"/>
        <w:rPr>
          <w:rFonts w:hint="eastAsia" w:eastAsia="宋体"/>
          <w:b/>
          <w:lang w:val="en-US" w:eastAsia="zh-CN"/>
        </w:rPr>
      </w:pPr>
      <w:r>
        <w:rPr>
          <w:b/>
        </w:rPr>
        <w:t>Title:</w:t>
      </w:r>
      <w:r>
        <w:rPr>
          <w:b/>
        </w:rPr>
        <w:tab/>
      </w:r>
      <w:r>
        <w:rPr>
          <w:rFonts w:hint="eastAsia"/>
          <w:b/>
        </w:rPr>
        <w:t>Discussion on enhancements for asymmetric DL sTRP/UL mTRP scenarios</w:t>
      </w:r>
    </w:p>
    <w:p>
      <w:pPr>
        <w:spacing w:after="60"/>
        <w:ind w:left="1555" w:hanging="1555"/>
        <w:jc w:val="left"/>
        <w:rPr>
          <w:b/>
        </w:rPr>
      </w:pPr>
      <w:r>
        <w:rPr>
          <w:b/>
        </w:rPr>
        <w:t>Document for:</w:t>
      </w:r>
      <w:r>
        <w:rPr>
          <w:b/>
        </w:rPr>
        <w:tab/>
      </w:r>
      <w:r>
        <w:rPr>
          <w:b/>
        </w:rPr>
        <w:t>Discussion and decision</w:t>
      </w:r>
    </w:p>
    <w:p>
      <w:pPr>
        <w:pBdr>
          <w:bottom w:val="single" w:color="auto" w:sz="4" w:space="1"/>
        </w:pBdr>
        <w:spacing w:after="0"/>
        <w:jc w:val="left"/>
        <w:rPr>
          <w:b/>
          <w:sz w:val="16"/>
          <w:szCs w:val="16"/>
        </w:rPr>
      </w:pPr>
    </w:p>
    <w:p>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default" w:eastAsia="宋体"/>
          <w:bCs/>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02</w:t>
      </w:r>
      <w:r>
        <w:rPr>
          <w:rFonts w:hint="eastAsia" w:eastAsia="宋体"/>
          <w:sz w:val="20"/>
          <w:szCs w:val="20"/>
          <w:lang w:val="en-US" w:eastAsia="zh-CN"/>
        </w:rPr>
        <w:t>[1]</w:t>
      </w:r>
      <w:r>
        <w:rPr>
          <w:rFonts w:hint="eastAsia" w:eastAsia="宋体"/>
          <w:sz w:val="20"/>
          <w:szCs w:val="20"/>
          <w:lang w:eastAsia="zh-CN"/>
        </w:rPr>
        <w:t>,</w:t>
      </w:r>
      <w:r>
        <w:rPr>
          <w:rFonts w:hint="eastAsia" w:eastAsia="宋体"/>
          <w:sz w:val="20"/>
          <w:szCs w:val="20"/>
          <w:lang w:val="en-US" w:eastAsia="zh-CN"/>
        </w:rPr>
        <w:t xml:space="preserve"> a new WID for Rel-1</w:t>
      </w:r>
      <w:r>
        <w:rPr>
          <w:rFonts w:hint="eastAsia"/>
          <w:sz w:val="20"/>
          <w:szCs w:val="20"/>
          <w:lang w:val="en-US" w:eastAsia="zh-CN"/>
        </w:rPr>
        <w:t>9</w:t>
      </w:r>
      <w:r>
        <w:rPr>
          <w:rFonts w:hint="eastAsia" w:eastAsia="宋体"/>
          <w:sz w:val="20"/>
          <w:szCs w:val="20"/>
          <w:lang w:val="en-US" w:eastAsia="zh-CN"/>
        </w:rPr>
        <w:t xml:space="preserve"> MIMO evolution was approved[1], with the objective to </w:t>
      </w:r>
      <w:r>
        <w:rPr>
          <w:rFonts w:hint="eastAsia"/>
          <w:sz w:val="20"/>
          <w:szCs w:val="20"/>
          <w:lang w:val="en-US" w:eastAsia="zh-CN"/>
        </w:rPr>
        <w:t xml:space="preserve">support asymmetric DL sTRP/UL mTRP. </w:t>
      </w:r>
      <w:r>
        <w:rPr>
          <w:rFonts w:eastAsia="宋体"/>
          <w:sz w:val="20"/>
          <w:szCs w:val="20"/>
        </w:rPr>
        <w:t xml:space="preserve">In this contribution, </w:t>
      </w:r>
      <w:r>
        <w:rPr>
          <w:rFonts w:hint="eastAsia" w:eastAsia="宋体"/>
          <w:bCs/>
          <w:sz w:val="20"/>
          <w:szCs w:val="20"/>
          <w:lang w:val="en-US" w:eastAsia="zh-CN"/>
        </w:rPr>
        <w:t xml:space="preserve">we discuss </w:t>
      </w:r>
      <w:r>
        <w:rPr>
          <w:rFonts w:hint="eastAsia"/>
          <w:bCs/>
          <w:sz w:val="20"/>
          <w:szCs w:val="20"/>
          <w:lang w:val="en-US" w:eastAsia="zh-CN"/>
        </w:rPr>
        <w:t>the enhancements for asymmetric DL sTRP/UL mTRP.</w:t>
      </w:r>
    </w:p>
    <w:p>
      <w:pPr>
        <w:keepNext/>
        <w:numPr>
          <w:ilvl w:val="0"/>
          <w:numId w:val="0"/>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GB" w:eastAsia="zh-CN" w:bidi="ar-SA"/>
        </w:rPr>
      </w:pPr>
      <w:r>
        <w:rPr>
          <w:rFonts w:hint="eastAsia" w:cs="Times New Roman"/>
          <w:b/>
          <w:bCs/>
          <w:sz w:val="28"/>
          <w:szCs w:val="28"/>
          <w:lang w:val="en-US" w:eastAsia="zh-CN" w:bidi="ar-SA"/>
        </w:rPr>
        <w:t xml:space="preserve">2 </w:t>
      </w:r>
      <w:r>
        <w:rPr>
          <w:rFonts w:ascii="Times New Roman" w:hAnsi="Times New Roman" w:eastAsia="宋体" w:cs="Times New Roman"/>
          <w:b/>
          <w:bCs/>
          <w:sz w:val="28"/>
          <w:szCs w:val="28"/>
          <w:lang w:val="en-US" w:eastAsia="zh-CN" w:bidi="ar-SA"/>
        </w:rPr>
        <w:t>Discussion</w:t>
      </w:r>
      <w:bookmarkStart w:id="0" w:name="OLE_LINK8"/>
      <w:bookmarkStart w:id="1" w:name="OLE_LINK26"/>
      <w:bookmarkStart w:id="2" w:name="OLE_LINK27"/>
    </w:p>
    <w:bookmarkEnd w:id="0"/>
    <w:bookmarkEnd w:id="1"/>
    <w:bookmarkEnd w:id="2"/>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eastAsia" w:cs="Times New Roman"/>
          <w:b/>
          <w:bCs/>
          <w:sz w:val="24"/>
          <w:szCs w:val="22"/>
          <w:highlight w:val="none"/>
          <w:lang w:val="en-US" w:eastAsia="zh-CN" w:bidi="ar-SA"/>
        </w:rPr>
      </w:pPr>
      <w:r>
        <w:rPr>
          <w:rFonts w:hint="eastAsia" w:cs="Times New Roman"/>
          <w:b/>
          <w:bCs/>
          <w:sz w:val="24"/>
          <w:szCs w:val="22"/>
          <w:highlight w:val="none"/>
          <w:lang w:val="en-US" w:eastAsia="zh-CN" w:bidi="ar-SA"/>
        </w:rPr>
        <w:t>2.1 Pathloss offset for UL-only TRP</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PL offset association and indication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bCs/>
                <w:sz w:val="20"/>
                <w:szCs w:val="20"/>
                <w:lang w:val="en-GB"/>
              </w:rPr>
            </w:pPr>
            <w:r>
              <w:rPr>
                <w:rFonts w:hint="eastAsia" w:ascii="Times New Roman" w:hAnsi="Times New Roman" w:eastAsia="Batang"/>
                <w:bCs/>
                <w:sz w:val="20"/>
                <w:szCs w:val="20"/>
                <w:highlight w:val="green"/>
                <w:lang w:val="en-GB"/>
              </w:rPr>
              <w:t>Agreement</w:t>
            </w:r>
          </w:p>
          <w:p>
            <w:pPr>
              <w:keepNext w:val="0"/>
              <w:keepLines w:val="0"/>
              <w:widowControl/>
              <w:numPr>
                <w:ilvl w:val="0"/>
                <w:numId w:val="5"/>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CA" w:eastAsia="zh-CN" w:bidi="ar-SA"/>
              </w:rPr>
            </w:pPr>
            <w:r>
              <w:rPr>
                <w:rFonts w:hint="eastAsia" w:ascii="Times New Roman" w:hAnsi="Times New Roman" w:eastAsia="宋体" w:cs="Times New Roman"/>
                <w:sz w:val="20"/>
                <w:szCs w:val="20"/>
                <w:lang w:val="en-CA" w:eastAsia="ja-JP" w:bidi="ar-SA"/>
              </w:rPr>
              <w:t>The lower limit of the value range of PL offset is extended to -12 dB.</w:t>
            </w: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bCs/>
                <w:sz w:val="20"/>
                <w:szCs w:val="20"/>
                <w:highlight w:val="green"/>
                <w:lang w:val="en-GB"/>
              </w:rPr>
            </w:pP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bCs/>
                <w:sz w:val="20"/>
                <w:szCs w:val="20"/>
                <w:lang w:val="en-GB"/>
              </w:rPr>
            </w:pPr>
            <w:r>
              <w:rPr>
                <w:rFonts w:hint="eastAsia" w:ascii="Times New Roman" w:hAnsi="Times New Roman" w:eastAsia="Batang"/>
                <w:bCs/>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rPr>
            </w:pPr>
            <w:r>
              <w:rPr>
                <w:rFonts w:hint="eastAsia" w:ascii="Times New Roman" w:hAnsi="Times New Roman" w:eastAsia="等线"/>
                <w:sz w:val="20"/>
                <w:szCs w:val="20"/>
                <w:lang w:val="en-GB"/>
              </w:rPr>
              <w:t>For indicating PL offset for PDCCH-order PRACH, introduce a new 1-bit DCI field in DCI format 1_0:</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This DCI field exists when the corresponding RRC parameter (which is a new RRC used to configure the presence of this 1-bit DCI field) is enabled and at least one TCI state is configured with PL offset.</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 xml:space="preserve">When one joint/UL TCI state is indicated in Rel-17 unified TCI, </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 xml:space="preserve">the bit field index 0 of this field indicates that PL offset is not included in the PRACH transmission power calculation </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the bit field index 1 of this field indicates that the PL offset associated with the indicated TCI state is included in the PRACH transmission power.</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等线"/>
                <w:sz w:val="20"/>
                <w:szCs w:val="20"/>
                <w:lang w:val="en-GB" w:eastAsia="zh-CN"/>
              </w:rPr>
              <w:t>FFS: Whether the bit field can be used to indicate other information</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Batang"/>
                <w:sz w:val="20"/>
                <w:szCs w:val="20"/>
                <w:lang w:val="en-GB" w:eastAsia="zh-CN"/>
              </w:rPr>
            </w:pPr>
            <w:r>
              <w:rPr>
                <w:rFonts w:hint="eastAsia" w:ascii="Times New Roman" w:hAnsi="Times New Roman" w:eastAsia="等线"/>
                <w:sz w:val="20"/>
                <w:szCs w:val="20"/>
                <w:lang w:val="en-GB" w:eastAsia="zh-CN"/>
              </w:rPr>
              <w:t>FFS: When two joint/UL TCI states are indicated in Rel-18 unified TCI</w:t>
            </w:r>
          </w:p>
          <w:p>
            <w:pPr>
              <w:keepNext w:val="0"/>
              <w:keepLines w:val="0"/>
              <w:widowControl/>
              <w:numPr>
                <w:ilvl w:val="0"/>
                <w:numId w:val="0"/>
              </w:numPr>
              <w:suppressLineNumbers w:val="0"/>
              <w:autoSpaceDE/>
              <w:autoSpaceDN/>
              <w:adjustRightInd/>
              <w:snapToGrid/>
              <w:spacing w:before="0" w:beforeAutospacing="0" w:after="160" w:afterAutospacing="0" w:line="259" w:lineRule="auto"/>
              <w:ind w:left="0" w:right="0" w:rightChars="0"/>
              <w:contextualSpacing/>
              <w:jc w:val="left"/>
              <w:rPr>
                <w:rFonts w:hint="eastAsia" w:ascii="Times" w:hAnsi="Times" w:eastAsia="等线"/>
                <w:sz w:val="20"/>
                <w:szCs w:val="20"/>
                <w:lang w:val="en-GB" w:eastAsia="zh-CN"/>
              </w:rPr>
            </w:pPr>
          </w:p>
          <w:p>
            <w:pPr>
              <w:keepNext w:val="0"/>
              <w:keepLines w:val="0"/>
              <w:widowControl/>
              <w:suppressLineNumbers w:val="0"/>
              <w:autoSpaceDE/>
              <w:autoSpaceDN/>
              <w:adjustRightInd/>
              <w:snapToGrid w:val="0"/>
              <w:spacing w:before="0" w:beforeAutospacing="0" w:after="0" w:afterAutospacing="0"/>
              <w:ind w:left="0" w:right="0"/>
              <w:jc w:val="left"/>
              <w:rPr>
                <w:rFonts w:hint="eastAsia" w:ascii="Times New Roman" w:hAnsi="Times New Roman" w:eastAsia="Batang"/>
                <w:bCs/>
                <w:sz w:val="20"/>
                <w:szCs w:val="20"/>
                <w:lang w:val="en-GB"/>
              </w:rPr>
            </w:pPr>
            <w:r>
              <w:rPr>
                <w:rFonts w:hint="eastAsia" w:ascii="Times New Roman" w:hAnsi="Times New Roman" w:eastAsia="Batang"/>
                <w:bCs/>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New Roman" w:hAnsi="Times New Roman" w:eastAsia="等线"/>
                <w:sz w:val="20"/>
                <w:szCs w:val="20"/>
                <w:lang w:val="en-GB"/>
              </w:rPr>
            </w:pPr>
            <w:r>
              <w:rPr>
                <w:rFonts w:hint="eastAsia" w:ascii="Times New Roman" w:hAnsi="Times New Roman" w:eastAsia="等线"/>
                <w:sz w:val="20"/>
                <w:szCs w:val="20"/>
                <w:lang w:val="en-GB"/>
              </w:rPr>
              <w:t>For indicating PL offset for PDCCH-order PRACH, when two joint/UL TCI states are indicated in Rel-18 unified TCI, down-select one from the following Alts for the 1-bit DCI field in DCI 1_0 which indicates the application of PL offset on PRACH transmission:</w:t>
            </w:r>
          </w:p>
          <w:p>
            <w:pPr>
              <w:keepNext w:val="0"/>
              <w:keepLines w:val="0"/>
              <w:widowControl/>
              <w:numPr>
                <w:ilvl w:val="0"/>
                <w:numId w:val="6"/>
              </w:numPr>
              <w:suppressLineNumbers w:val="0"/>
              <w:autoSpaceDE/>
              <w:autoSpaceDN/>
              <w:adjustRightInd/>
              <w:snapToGrid/>
              <w:spacing w:before="0" w:beforeAutospacing="0" w:after="0" w:afterAutospacing="0"/>
              <w:ind w:left="720" w:right="0" w:hanging="360"/>
              <w:jc w:val="both"/>
              <w:rPr>
                <w:rFonts w:hint="eastAsia" w:ascii="Times New Roman" w:hAnsi="Times New Roman" w:eastAsia="等线"/>
                <w:sz w:val="20"/>
                <w:szCs w:val="20"/>
                <w:lang w:val="en-GB" w:eastAsia="zh-CN"/>
              </w:rPr>
            </w:pPr>
            <w:r>
              <w:rPr>
                <w:rFonts w:hint="eastAsia" w:ascii="Times New Roman" w:hAnsi="Times New Roman" w:eastAsia="等线"/>
                <w:sz w:val="20"/>
                <w:szCs w:val="20"/>
                <w:lang w:val="en-GB" w:eastAsia="zh-CN"/>
              </w:rPr>
              <w:t>Alt2:</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 xml:space="preserve">the bit field index 0 of this field indicates that the PL offset associated in the first indicated joint/UL TCI state is included in the PRACH transmission power calculation </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the bit field index 1 of this field indicates that the PL offset associated in the second indicated joint/UL TCI state is included in the PRACH transmission power calculation.</w:t>
            </w:r>
          </w:p>
          <w:p>
            <w:pPr>
              <w:keepNext w:val="0"/>
              <w:keepLines w:val="0"/>
              <w:widowControl/>
              <w:numPr>
                <w:ilvl w:val="1"/>
                <w:numId w:val="6"/>
              </w:numPr>
              <w:suppressLineNumbers w:val="0"/>
              <w:autoSpaceDE/>
              <w:autoSpaceDN/>
              <w:adjustRightInd/>
              <w:snapToGrid/>
              <w:spacing w:before="0" w:beforeAutospacing="0" w:after="0" w:afterAutospacing="0"/>
              <w:ind w:left="1440" w:right="0" w:hanging="360"/>
              <w:jc w:val="both"/>
              <w:rPr>
                <w:rFonts w:hint="eastAsia" w:ascii="Times New Roman" w:hAnsi="Times New Roman" w:eastAsia="等线"/>
                <w:sz w:val="20"/>
                <w:szCs w:val="20"/>
                <w:lang w:val="en-GB"/>
              </w:rPr>
            </w:pPr>
            <w:r>
              <w:rPr>
                <w:rFonts w:hint="eastAsia" w:ascii="Times New Roman" w:hAnsi="Times New Roman" w:eastAsia="等线"/>
                <w:sz w:val="20"/>
                <w:szCs w:val="20"/>
                <w:lang w:val="en-GB"/>
              </w:rPr>
              <w:t>FFS: Whether a restriction that only one of the indicated joint/UL TCI states can be configured with PL offset is needed.</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lang w:val="en-GB" w:eastAsia="zh-CN"/>
              </w:rPr>
            </w:pPr>
            <w:r>
              <w:rPr>
                <w:rFonts w:hint="eastAsia" w:ascii="Times New Roman" w:hAnsi="Times New Roman" w:eastAsia="等线"/>
                <w:sz w:val="20"/>
                <w:szCs w:val="20"/>
                <w:lang w:val="en-GB"/>
              </w:rPr>
              <w:t>FFS: If other information can be indicated by this same 1-bit DCI field for the PDCCH-order PRACH transmission</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cs="Times New Roman"/>
          <w:b w:val="0"/>
          <w:bCs w:val="0"/>
          <w:sz w:val="20"/>
          <w:szCs w:val="16"/>
          <w:lang w:val="en-US" w:eastAsia="zh-CN" w:bidi="ar-SA"/>
        </w:rPr>
      </w:pPr>
      <w:r>
        <w:rPr>
          <w:rFonts w:hint="eastAsia" w:cs="Times New Roman"/>
          <w:b w:val="0"/>
          <w:bCs w:val="0"/>
          <w:sz w:val="20"/>
          <w:szCs w:val="16"/>
          <w:lang w:val="en-US" w:eastAsia="zh-CN" w:bidi="ar-SA"/>
        </w:rPr>
        <w:t>In the RAN1#118b meeting, for indicating PL offset for PDCCH-order PRACH, a new 1-bit DCI field was agreed to be introduced in DCI format 1_0 to indicate the application of PL offset on PRACH transmission. However, when two joint/UL TCI states are indicated in Rel-18 unified TCI, it is necessary to determine whether a restriction that only one of the indicated joint/UL TCI states can be configured with PL offset is needed. When two joint/UL TCI states are indicated and both indicated joint/UL TCI states are configured with PL offset, if PRACH is transmitted toward the TRP with both DL and UL transmission, the PL offset associated with any one of indicated joint/UL TCI states is applied for uplink power calculation of PRACH toward the TRP with both DL and UL transmission, where it is not the intention of application of PL offset. Therefore, when two joint/UL TCI states are indicated in Rel-18 unified TCI, only one of indicated joint/UL TCI states can be configured with PL offset.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1: When two joint/UL TCI states are indicated in Rel-18 unified TCI, only one of indicated joint/UL TCI states can be configured with PL offset.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default" w:cs="Times New Roman"/>
          <w:b w:val="0"/>
          <w:bCs w:val="0"/>
          <w:strike w:val="0"/>
          <w:dstrike w:val="0"/>
          <w:sz w:val="20"/>
          <w:szCs w:val="16"/>
          <w:lang w:val="en-US" w:eastAsia="zh-CN" w:bidi="ar-SA"/>
        </w:rPr>
      </w:pPr>
      <w:r>
        <w:rPr>
          <w:rFonts w:hint="eastAsia" w:cs="Times New Roman"/>
          <w:b w:val="0"/>
          <w:bCs w:val="0"/>
          <w:sz w:val="20"/>
          <w:szCs w:val="16"/>
          <w:lang w:val="en-US" w:eastAsia="zh-CN" w:bidi="ar-SA"/>
        </w:rPr>
        <w:t xml:space="preserve">Regarding Rel-19 MIMO WID, enhancement of asymmetric DL sTRP/UL mTRP is targeting FR1 and FR2. PRACH transmission can be used for UL synchronization, TA acquisition and BFR toward </w:t>
      </w:r>
      <w:r>
        <w:rPr>
          <w:rFonts w:hint="eastAsia" w:cs="Times New Roman"/>
          <w:b w:val="0"/>
          <w:bCs w:val="0"/>
          <w:strike w:val="0"/>
          <w:dstrike w:val="0"/>
          <w:sz w:val="20"/>
          <w:szCs w:val="16"/>
          <w:lang w:val="en-US" w:eastAsia="zh-CN" w:bidi="ar-SA"/>
        </w:rPr>
        <w:t>UL</w:t>
      </w:r>
      <w:r>
        <w:rPr>
          <w:rFonts w:hint="eastAsia" w:ascii="Times New Roman" w:hAnsi="Times New Roman" w:eastAsia="宋体" w:cs="Times New Roman"/>
          <w:b w:val="0"/>
          <w:bCs w:val="0"/>
          <w:sz w:val="20"/>
          <w:szCs w:val="16"/>
          <w:lang w:val="en-GB" w:eastAsia="ja-JP" w:bidi="ar-SA"/>
        </w:rPr>
        <w:t>-only</w:t>
      </w:r>
      <w:r>
        <w:rPr>
          <w:rFonts w:hint="eastAsia" w:cs="Times New Roman"/>
          <w:b w:val="0"/>
          <w:bCs w:val="0"/>
          <w:strike w:val="0"/>
          <w:dstrike w:val="0"/>
          <w:sz w:val="20"/>
          <w:szCs w:val="16"/>
          <w:lang w:val="en-US" w:eastAsia="zh-CN" w:bidi="ar-SA"/>
        </w:rPr>
        <w:t xml:space="preserve"> TRP in FR2. Although the discussion was deprioritized due to the spatial relation of PRACH transmission to UL</w:t>
      </w:r>
      <w:r>
        <w:rPr>
          <w:rFonts w:hint="eastAsia" w:ascii="Times New Roman" w:hAnsi="Times New Roman" w:eastAsia="宋体" w:cs="Times New Roman"/>
          <w:b w:val="0"/>
          <w:bCs w:val="0"/>
          <w:sz w:val="20"/>
          <w:szCs w:val="16"/>
          <w:lang w:val="en-GB" w:eastAsia="ja-JP" w:bidi="ar-SA"/>
        </w:rPr>
        <w:t>-only</w:t>
      </w:r>
      <w:r>
        <w:rPr>
          <w:rFonts w:hint="eastAsia" w:cs="Times New Roman"/>
          <w:b w:val="0"/>
          <w:bCs w:val="0"/>
          <w:strike w:val="0"/>
          <w:dstrike w:val="0"/>
          <w:sz w:val="20"/>
          <w:szCs w:val="16"/>
          <w:lang w:val="en-US" w:eastAsia="zh-CN" w:bidi="ar-SA"/>
        </w:rPr>
        <w:t xml:space="preserve"> TRP, it is essential to support applying a PL offset for PDCCH-order PRACH transmission for UL-only TRP in FR2 to support fast </w:t>
      </w:r>
      <w:r>
        <w:rPr>
          <w:rFonts w:hint="eastAsia" w:cs="Times New Roman"/>
          <w:b w:val="0"/>
          <w:bCs w:val="0"/>
          <w:sz w:val="20"/>
          <w:szCs w:val="16"/>
          <w:lang w:val="en-US" w:eastAsia="zh-CN" w:bidi="ar-SA"/>
        </w:rPr>
        <w:t>UL synchronization, TA acquisition and BFR</w:t>
      </w:r>
      <w:r>
        <w:rPr>
          <w:rFonts w:hint="eastAsia" w:cs="Times New Roman"/>
          <w:b w:val="0"/>
          <w:bCs w:val="0"/>
          <w:strike w:val="0"/>
          <w:dstrike w:val="0"/>
          <w:sz w:val="20"/>
          <w:szCs w:val="16"/>
          <w:lang w:val="en-US" w:eastAsia="zh-CN" w:bidi="ar-SA"/>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2: Support applying a PL offset for PDCCH-order PRACH transmission for UL-only TRP in FR2.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val="0"/>
          <w:bCs w:val="0"/>
          <w:sz w:val="20"/>
          <w:szCs w:val="16"/>
          <w:lang w:val="en-US" w:eastAsia="zh-CN" w:bidi="ar-SA"/>
        </w:rPr>
      </w:pPr>
      <w:r>
        <w:rPr>
          <w:rFonts w:hint="eastAsia" w:cs="Times New Roman"/>
          <w:b w:val="0"/>
          <w:bCs w:val="0"/>
          <w:sz w:val="20"/>
          <w:szCs w:val="16"/>
          <w:lang w:val="en-US" w:eastAsia="zh-CN" w:bidi="ar-SA"/>
        </w:rPr>
        <w:t>In the RAN1#118b meeting, for indicating PL offset for PDCCH-order PRACH, a new 1-bit DCI field was agreed to be introduced in DCI format 1_0 to indicate the application of PL offset on PRACH transmission. However, whether other information can be indicated by this same 1-bit DCI field for the PDCCH-order PRACH transmission is still FFS. As it was agreed that the PL offset associated with the indicated TCI state can be included in the PRACH transmission power according to the bit field index of the new 1-bit DCI field in DCI format 1_0, the indicated TCI state for PRACH transmission toward UL-only TRP can be determined. Based on the indicated TCI state, the power control related information (e.g., PL-RS and P0) and spatial filter (e.g., spatial filter for FR2) for the PRACH transmission toward UL-only TRP can be determined.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3: The following additional information can be indicated by the same 1-bit DCI field for the PDCCH-order PRACH transmission:</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Power control related information for the PRACH transmission</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Spatial filter for the PRACH transmission</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2.2 Two closed-loop power control for SRS</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b w:val="0"/>
          <w:bCs/>
          <w:i w:val="0"/>
          <w:iCs/>
          <w:sz w:val="20"/>
          <w:szCs w:val="20"/>
          <w:lang w:val="en-US" w:eastAsia="zh-CN"/>
        </w:rPr>
        <w:t xml:space="preserve">In RAN1#118b meeting, the following agreements on two closed-loop PC adjustment states for SRS have been achieved [2]: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CA"/>
              </w:rPr>
            </w:pPr>
            <w:r>
              <w:rPr>
                <w:rFonts w:hint="eastAsia" w:ascii="Times" w:hAnsi="Times" w:eastAsia="Batang"/>
                <w:sz w:val="20"/>
                <w:szCs w:val="20"/>
                <w:highlight w:val="green"/>
                <w:lang w:val="en-CA"/>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lang w:val="en-CA"/>
              </w:rPr>
            </w:pPr>
            <w:r>
              <w:rPr>
                <w:rFonts w:hint="eastAsia" w:ascii="Times" w:hAnsi="Times" w:eastAsia="等线"/>
                <w:sz w:val="20"/>
                <w:szCs w:val="20"/>
                <w:lang w:val="en-CA"/>
              </w:rPr>
              <w:t xml:space="preserve">About the extended value range 1~X of starting bit of blocks in DCI format 2_3 in Rel-19, </w:t>
            </w:r>
            <w:r>
              <w:rPr>
                <w:rFonts w:hint="eastAsia" w:ascii="Times" w:hAnsi="Times" w:eastAsia="等线"/>
                <w:b/>
                <w:bCs/>
                <w:sz w:val="20"/>
                <w:szCs w:val="20"/>
                <w:lang w:val="en-CA"/>
              </w:rPr>
              <w:t>support Alt1</w:t>
            </w:r>
            <w:r>
              <w:rPr>
                <w:rFonts w:hint="eastAsia" w:ascii="Times" w:hAnsi="Times" w:eastAsia="等线"/>
                <w:sz w:val="20"/>
                <w:szCs w:val="20"/>
                <w:lang w:val="en-CA"/>
              </w:rPr>
              <w:t>:</w:t>
            </w:r>
          </w:p>
          <w:p>
            <w:pPr>
              <w:keepNext w:val="0"/>
              <w:keepLines w:val="0"/>
              <w:widowControl/>
              <w:numPr>
                <w:ilvl w:val="0"/>
                <w:numId w:val="8"/>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CA"/>
              </w:rPr>
            </w:pPr>
            <w:r>
              <w:rPr>
                <w:rFonts w:hint="eastAsia" w:ascii="Times" w:hAnsi="Times" w:eastAsia="等线"/>
                <w:sz w:val="20"/>
                <w:szCs w:val="20"/>
                <w:lang w:val="en-CA"/>
              </w:rPr>
              <w:t>Alt1: X = 45 (to be captured in RAN2 spec)</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CA"/>
              </w:rPr>
            </w:pPr>
            <w:r>
              <w:rPr>
                <w:rFonts w:hint="eastAsia" w:ascii="Times" w:hAnsi="Times" w:eastAsia="等线"/>
                <w:sz w:val="20"/>
                <w:szCs w:val="20"/>
                <w:lang w:val="en-CA"/>
              </w:rPr>
              <w:t xml:space="preserve">This feature is a separate UE capability and is appliable to any </w:t>
            </w:r>
            <w:r>
              <w:rPr>
                <w:rFonts w:hint="eastAsia" w:ascii="Times" w:hAnsi="Times" w:eastAsia="Batang"/>
                <w:sz w:val="20"/>
                <w:szCs w:val="20"/>
                <w:lang w:val="en-CA" w:eastAsia="ko-KR"/>
              </w:rPr>
              <w:t>R</w:t>
            </w:r>
            <w:r>
              <w:rPr>
                <w:rFonts w:hint="eastAsia" w:ascii="Times" w:hAnsi="Times" w:eastAsia="等线"/>
                <w:sz w:val="20"/>
                <w:szCs w:val="20"/>
                <w:lang w:val="en-CA"/>
              </w:rPr>
              <w:t>el-19 UE who supports this UE capability, regardless this UE supports two separate SRS CLPC adjustment states or not.</w:t>
            </w:r>
          </w:p>
          <w:p>
            <w:pPr>
              <w:keepNext w:val="0"/>
              <w:keepLines w:val="0"/>
              <w:widowControl/>
              <w:numPr>
                <w:ilvl w:val="1"/>
                <w:numId w:val="8"/>
              </w:numPr>
              <w:suppressLineNumbers w:val="0"/>
              <w:autoSpaceDE/>
              <w:autoSpaceDN/>
              <w:adjustRightInd/>
              <w:snapToGrid/>
              <w:spacing w:before="0" w:beforeAutospacing="0" w:after="0" w:afterAutospacing="0"/>
              <w:ind w:left="1440" w:right="0" w:hanging="360"/>
              <w:jc w:val="both"/>
              <w:rPr>
                <w:rFonts w:hint="eastAsia" w:ascii="Times" w:hAnsi="Times" w:eastAsia="等线" w:cs="Arial"/>
                <w:sz w:val="20"/>
                <w:szCs w:val="20"/>
                <w:lang w:val="en-CA"/>
              </w:rPr>
            </w:pPr>
            <w:r>
              <w:rPr>
                <w:rFonts w:hint="eastAsia" w:ascii="Times" w:hAnsi="Times" w:eastAsia="等线"/>
                <w:sz w:val="20"/>
                <w:szCs w:val="20"/>
                <w:lang w:val="en-CA"/>
              </w:rPr>
              <w:t xml:space="preserve">Note: X=45 can be used for operations in FR1 in shared spectrum or FR2-2 and X = 43 otherwise </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CA"/>
              </w:rPr>
            </w:pP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sz w:val="20"/>
                <w:szCs w:val="20"/>
                <w:lang w:val="en-CA"/>
              </w:rPr>
            </w:pPr>
            <w:r>
              <w:rPr>
                <w:rFonts w:hint="eastAsia" w:ascii="Times" w:hAnsi="Times" w:eastAsia="Batang"/>
                <w:sz w:val="20"/>
                <w:szCs w:val="20"/>
                <w:highlight w:val="green"/>
                <w:lang w:val="en-CA"/>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sz w:val="20"/>
                <w:szCs w:val="20"/>
                <w:lang w:val="en-CA" w:eastAsia="zh-CN"/>
              </w:rPr>
            </w:pPr>
            <w:r>
              <w:rPr>
                <w:rFonts w:hint="eastAsia" w:ascii="Times" w:hAnsi="Times" w:eastAsia="等线"/>
                <w:sz w:val="20"/>
                <w:szCs w:val="20"/>
                <w:lang w:val="en-CA" w:eastAsia="zh-CN"/>
              </w:rPr>
              <w:t>Support DCI format 1_1 to indicate TPC command for SRS CLPC adjustment state(s) separate from PUSCH:</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CA" w:eastAsia="zh-CN"/>
              </w:rPr>
            </w:pPr>
            <w:r>
              <w:rPr>
                <w:rFonts w:hint="eastAsia" w:ascii="Times" w:hAnsi="Times" w:eastAsia="等线"/>
                <w:sz w:val="20"/>
                <w:szCs w:val="20"/>
                <w:lang w:val="en-CA" w:eastAsia="zh-CN"/>
              </w:rPr>
              <w:t>(</w:t>
            </w:r>
            <w:r>
              <w:rPr>
                <w:rFonts w:hint="eastAsia" w:ascii="Times" w:hAnsi="Times" w:eastAsia="等线"/>
                <w:sz w:val="20"/>
                <w:szCs w:val="20"/>
                <w:highlight w:val="darkYellow"/>
                <w:lang w:val="en-CA" w:eastAsia="zh-CN"/>
              </w:rPr>
              <w:t>Working Assumption</w:t>
            </w:r>
            <w:r>
              <w:rPr>
                <w:rFonts w:hint="eastAsia" w:ascii="Times" w:hAnsi="Times" w:eastAsia="等线"/>
                <w:sz w:val="20"/>
                <w:szCs w:val="20"/>
                <w:lang w:val="en-CA" w:eastAsia="zh-CN"/>
              </w:rPr>
              <w:t>) Introduce a 2-bit TPC command field to indicate TPC command for SRS associated with separate SRS CLPC adjustment state where:</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等线"/>
                <w:sz w:val="20"/>
                <w:szCs w:val="20"/>
                <w:lang w:val="en-CA" w:eastAsia="zh-CN"/>
              </w:rPr>
            </w:pPr>
            <w:r>
              <w:rPr>
                <w:rFonts w:hint="eastAsia" w:ascii="Times" w:hAnsi="Times" w:eastAsia="等线"/>
                <w:sz w:val="20"/>
                <w:szCs w:val="20"/>
                <w:lang w:val="en-CA" w:eastAsia="zh-CN"/>
              </w:rPr>
              <w:t>The 2-bit TPC command field is present if UE reports supporting a dedicated UE capability, and a corresponding RRC parameter is configured</w:t>
            </w:r>
            <w:r>
              <w:rPr>
                <w:rFonts w:hint="eastAsia" w:ascii="Times" w:hAnsi="Times" w:eastAsia="等线"/>
                <w:sz w:val="20"/>
                <w:szCs w:val="20"/>
                <w:lang w:val="en-GB" w:eastAsia="zh-CN"/>
              </w:rPr>
              <w:t xml:space="preserve"> (which is a new RRC to enable this)</w:t>
            </w:r>
            <w:r>
              <w:rPr>
                <w:rFonts w:hint="eastAsia" w:ascii="Times" w:hAnsi="Times" w:eastAsia="等线"/>
                <w:sz w:val="20"/>
                <w:szCs w:val="20"/>
                <w:lang w:val="en-CA" w:eastAsia="zh-CN"/>
              </w:rPr>
              <w:t>.</w:t>
            </w:r>
          </w:p>
          <w:p>
            <w:pPr>
              <w:keepNext w:val="0"/>
              <w:keepLines w:val="0"/>
              <w:widowControl/>
              <w:numPr>
                <w:ilvl w:val="0"/>
                <w:numId w:val="9"/>
              </w:numPr>
              <w:suppressLineNumbers w:val="0"/>
              <w:autoSpaceDE/>
              <w:autoSpaceDN/>
              <w:adjustRightInd/>
              <w:snapToGrid/>
              <w:spacing w:before="0" w:beforeAutospacing="0" w:after="0" w:afterAutospacing="0"/>
              <w:ind w:left="720" w:right="0" w:hanging="360"/>
              <w:jc w:val="both"/>
              <w:rPr>
                <w:rFonts w:hint="eastAsia" w:ascii="Times" w:hAnsi="Times" w:eastAsia="等线"/>
                <w:sz w:val="20"/>
                <w:szCs w:val="20"/>
                <w:lang w:val="en-CA" w:eastAsia="zh-CN"/>
              </w:rPr>
            </w:pPr>
            <w:r>
              <w:rPr>
                <w:rFonts w:hint="eastAsia" w:ascii="Times" w:hAnsi="Times" w:eastAsia="等线"/>
                <w:sz w:val="20"/>
                <w:szCs w:val="20"/>
                <w:lang w:val="en-CA" w:eastAsia="zh-CN"/>
              </w:rPr>
              <w:t>(</w:t>
            </w:r>
            <w:r>
              <w:rPr>
                <w:rFonts w:hint="eastAsia" w:ascii="Times" w:hAnsi="Times" w:eastAsia="等线"/>
                <w:sz w:val="20"/>
                <w:szCs w:val="20"/>
                <w:highlight w:val="darkYellow"/>
                <w:lang w:val="en-CA" w:eastAsia="zh-CN"/>
              </w:rPr>
              <w:t>Working Assumption</w:t>
            </w:r>
            <w:r>
              <w:rPr>
                <w:rFonts w:hint="eastAsia" w:ascii="Times" w:hAnsi="Times" w:eastAsia="等线"/>
                <w:sz w:val="20"/>
                <w:szCs w:val="20"/>
                <w:lang w:val="en-CA" w:eastAsia="zh-CN"/>
              </w:rPr>
              <w:t>) Introduce a 1-bit SRS close-loop indicator to indicate one of the two separate SRS CLPC adjustment states for the TPC command.</w:t>
            </w:r>
          </w:p>
          <w:p>
            <w:pPr>
              <w:keepNext w:val="0"/>
              <w:keepLines w:val="0"/>
              <w:widowControl/>
              <w:numPr>
                <w:ilvl w:val="1"/>
                <w:numId w:val="9"/>
              </w:numPr>
              <w:suppressLineNumbers w:val="0"/>
              <w:autoSpaceDE/>
              <w:autoSpaceDN/>
              <w:adjustRightInd/>
              <w:snapToGrid/>
              <w:spacing w:before="0" w:beforeAutospacing="0" w:after="0" w:afterAutospacing="0"/>
              <w:ind w:left="1440" w:right="0" w:hanging="360"/>
              <w:jc w:val="both"/>
              <w:rPr>
                <w:rFonts w:hint="eastAsia" w:ascii="Times" w:hAnsi="Times" w:eastAsia="Malgun Gothic"/>
                <w:sz w:val="20"/>
                <w:szCs w:val="20"/>
                <w:lang w:val="en-GB" w:eastAsia="zh-CN"/>
              </w:rPr>
            </w:pPr>
            <w:r>
              <w:rPr>
                <w:rFonts w:hint="eastAsia" w:ascii="Times" w:hAnsi="Times" w:eastAsia="等线"/>
                <w:sz w:val="20"/>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w:hAnsi="Times" w:eastAsia="等线" w:cs="Arial"/>
          <w:kern w:val="0"/>
          <w:sz w:val="20"/>
          <w:szCs w:val="20"/>
          <w:lang w:val="en-US" w:eastAsia="zh-CN"/>
        </w:rPr>
      </w:pPr>
      <w:r>
        <w:rPr>
          <w:rFonts w:hint="eastAsia"/>
          <w:b w:val="0"/>
          <w:bCs w:val="0"/>
          <w:i w:val="0"/>
          <w:iCs w:val="0"/>
          <w:sz w:val="20"/>
          <w:szCs w:val="20"/>
          <w:lang w:val="en-US" w:eastAsia="zh-CN"/>
        </w:rPr>
        <w:t xml:space="preserve">For </w:t>
      </w:r>
      <w:r>
        <w:rPr>
          <w:rFonts w:hint="eastAsia"/>
          <w:b w:val="0"/>
          <w:bCs w:val="0"/>
          <w:i w:val="0"/>
          <w:iCs w:val="0"/>
          <w:sz w:val="20"/>
          <w:szCs w:val="20"/>
          <w:lang w:val="en-CA" w:eastAsia="en-US"/>
        </w:rPr>
        <w:t xml:space="preserve">indicating </w:t>
      </w:r>
      <w:r>
        <w:rPr>
          <w:rFonts w:ascii="Times" w:hAnsi="Times" w:eastAsia="等线" w:cs="Arial"/>
          <w:kern w:val="0"/>
          <w:sz w:val="20"/>
          <w:szCs w:val="20"/>
          <w:lang w:val="en-CA" w:eastAsia="en-US"/>
        </w:rPr>
        <w:t>one of the SRS CLPC adjustment states to SRS</w:t>
      </w:r>
      <w:r>
        <w:rPr>
          <w:rFonts w:hint="eastAsia" w:ascii="Times" w:hAnsi="Times" w:eastAsia="等线" w:cs="Arial"/>
          <w:kern w:val="0"/>
          <w:sz w:val="20"/>
          <w:szCs w:val="20"/>
          <w:lang w:val="en-US" w:eastAsia="zh-CN"/>
        </w:rPr>
        <w:t xml:space="preserve">, it has been agreed that </w:t>
      </w:r>
      <w:r>
        <w:rPr>
          <w:rFonts w:hint="eastAsia" w:ascii="Times" w:hAnsi="Times" w:eastAsia="等线" w:cs="Arial"/>
          <w:i/>
          <w:iCs/>
          <w:kern w:val="0"/>
          <w:sz w:val="20"/>
          <w:szCs w:val="20"/>
          <w:lang w:val="en-US" w:eastAsia="zh-CN"/>
        </w:rPr>
        <w:t>closedLoopIndex-r17</w:t>
      </w:r>
      <w:r>
        <w:rPr>
          <w:rFonts w:hint="eastAsia" w:ascii="Times" w:hAnsi="Times" w:eastAsia="等线" w:cs="Arial"/>
          <w:kern w:val="0"/>
          <w:sz w:val="20"/>
          <w:szCs w:val="20"/>
          <w:lang w:val="en-US" w:eastAsia="zh-CN"/>
        </w:rPr>
        <w:t xml:space="preserve"> for SRS in the TCI state is used to indicate the first or the second CLPC adjustment state. However, for the SRS resource set with usage set to </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beam management</w:t>
      </w:r>
      <w:r>
        <w:rPr>
          <w:rFonts w:hint="default" w:ascii="Times" w:hAnsi="Times" w:eastAsia="等线" w:cs="Arial"/>
          <w:kern w:val="0"/>
          <w:sz w:val="20"/>
          <w:szCs w:val="20"/>
          <w:lang w:val="en-US" w:eastAsia="zh-CN"/>
        </w:rPr>
        <w:t>’</w:t>
      </w:r>
      <w:r>
        <w:rPr>
          <w:rFonts w:hint="eastAsia" w:ascii="Times" w:hAnsi="Times" w:eastAsia="等线" w:cs="Arial"/>
          <w:kern w:val="0"/>
          <w:sz w:val="20"/>
          <w:szCs w:val="20"/>
          <w:lang w:val="en-US" w:eastAsia="zh-CN"/>
        </w:rPr>
        <w:t>, the SRS resource set is not configured to follow unified TCI and the SRS resource in the SRS resource set is not configured with TCI state. In this case, one of SRS CLPC adjustment states for an SRS resource not configured with TCI state should be indicated. For example, i0 can be defined as the default SRS CLPC adjustment state for the SRS resource not configured with TCI state.</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Support to indicate </w:t>
      </w:r>
      <w:r>
        <w:rPr>
          <w:rFonts w:hint="default" w:eastAsia="宋体"/>
          <w:b/>
          <w:bCs/>
          <w:i w:val="0"/>
          <w:iCs w:val="0"/>
          <w:sz w:val="20"/>
          <w:szCs w:val="20"/>
          <w:lang w:val="en-US" w:eastAsia="zh-CN"/>
        </w:rPr>
        <w:t>one of SRS CLPC adjustment states for an SRS resource not configured with TCI state</w:t>
      </w:r>
      <w:r>
        <w:rPr>
          <w:rFonts w:hint="eastAsia"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b w:val="0"/>
          <w:bCs w:val="0"/>
          <w:i w:val="0"/>
          <w:iCs w:val="0"/>
          <w:sz w:val="20"/>
          <w:szCs w:val="20"/>
          <w:lang w:val="en-US" w:eastAsia="zh-CN"/>
        </w:rPr>
      </w:pPr>
      <w:r>
        <w:rPr>
          <w:rFonts w:hint="eastAsia" w:ascii="Times New Roman" w:eastAsia="宋体"/>
          <w:b w:val="0"/>
          <w:bCs w:val="0"/>
          <w:i w:val="0"/>
          <w:iCs w:val="0"/>
          <w:sz w:val="20"/>
          <w:szCs w:val="20"/>
          <w:lang w:val="en-US" w:eastAsia="zh-CN"/>
        </w:rPr>
        <w:t xml:space="preserve">In legacy, </w:t>
      </w:r>
      <w:r>
        <w:rPr>
          <w:rFonts w:hint="default"/>
          <w:b w:val="0"/>
          <w:bCs w:val="0"/>
          <w:i/>
          <w:iCs/>
          <w:sz w:val="20"/>
          <w:szCs w:val="20"/>
          <w:lang w:val="en-US" w:eastAsia="zh-CN"/>
        </w:rPr>
        <w:t>SRS-CarrierSwitching</w:t>
      </w:r>
      <w:r>
        <w:rPr>
          <w:rFonts w:hint="default"/>
          <w:b w:val="0"/>
          <w:bCs w:val="0"/>
          <w:i w:val="0"/>
          <w:iCs w:val="0"/>
          <w:sz w:val="20"/>
          <w:szCs w:val="20"/>
          <w:lang w:val="en-US" w:eastAsia="zh-CN"/>
        </w:rPr>
        <w:t xml:space="preserve"> is used to configure for SRS carrier switching when a UE is not configured for PUSCH/PUCCH transmission and independent power control adjustment state between SRS transmissions and PUSCH transmissions</w:t>
      </w:r>
      <w:r>
        <w:rPr>
          <w:rFonts w:hint="eastAsia" w:ascii="Times New Roman" w:eastAsia="宋体"/>
          <w:b w:val="0"/>
          <w:bCs w:val="0"/>
          <w:i w:val="0"/>
          <w:iCs w:val="0"/>
          <w:sz w:val="20"/>
          <w:szCs w:val="20"/>
          <w:lang w:val="en-US" w:eastAsia="zh-CN"/>
        </w:rPr>
        <w:t xml:space="preserve">, where DCI format 2_3 is used for the transmission of a group of TPC commands for SRS carrier switching. When </w:t>
      </w:r>
      <w:r>
        <w:rPr>
          <w:rFonts w:hint="eastAsia" w:ascii="Times New Roman" w:eastAsia="宋体"/>
          <w:b w:val="0"/>
          <w:bCs w:val="0"/>
          <w:i/>
          <w:iCs/>
          <w:sz w:val="20"/>
          <w:szCs w:val="20"/>
          <w:lang w:val="en-US" w:eastAsia="zh-CN"/>
        </w:rPr>
        <w:t>srs-TPC-PDCCH-Group</w:t>
      </w:r>
      <w:r>
        <w:rPr>
          <w:rFonts w:hint="eastAsia" w:ascii="Times New Roman" w:eastAsia="宋体"/>
          <w:b w:val="0"/>
          <w:bCs w:val="0"/>
          <w:i w:val="0"/>
          <w:iCs w:val="0"/>
          <w:sz w:val="20"/>
          <w:szCs w:val="20"/>
          <w:lang w:val="en-US" w:eastAsia="zh-CN"/>
        </w:rPr>
        <w:t xml:space="preserve"> configured in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set to either 'typeA' or 'typeB', DCI format 2_3 can be used for SRS transmissions by one or more UEs. It means that DCI format 2_3 is tied to the configuration of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However, regarding asymmetric DL sTRP/UL mTRP, there is no need to associate the configuration of </w:t>
      </w:r>
      <w:r>
        <w:rPr>
          <w:rFonts w:hint="eastAsia" w:ascii="Times New Roman" w:eastAsia="宋体"/>
          <w:b w:val="0"/>
          <w:bCs w:val="0"/>
          <w:i/>
          <w:iCs/>
          <w:sz w:val="20"/>
          <w:szCs w:val="20"/>
          <w:lang w:val="en-US" w:eastAsia="zh-CN"/>
        </w:rPr>
        <w:t xml:space="preserve">SRS-CarrierSwitching </w:t>
      </w:r>
      <w:r>
        <w:rPr>
          <w:rFonts w:hint="eastAsia" w:ascii="Times New Roman" w:eastAsia="宋体"/>
          <w:b w:val="0"/>
          <w:bCs w:val="0"/>
          <w:i w:val="0"/>
          <w:iCs w:val="0"/>
          <w:sz w:val="20"/>
          <w:szCs w:val="20"/>
          <w:lang w:val="en-US" w:eastAsia="zh-CN"/>
        </w:rPr>
        <w:t xml:space="preserve">and two separate SRS CLPC adjustment states for SRS. Therefore, when </w:t>
      </w:r>
      <w:r>
        <w:rPr>
          <w:rFonts w:hint="eastAsia" w:ascii="Times New Roman" w:eastAsia="宋体"/>
          <w:b w:val="0"/>
          <w:bCs w:val="0"/>
          <w:i/>
          <w:iCs/>
          <w:sz w:val="20"/>
          <w:szCs w:val="20"/>
          <w:lang w:val="en-US" w:eastAsia="zh-CN"/>
        </w:rPr>
        <w:t>SRS-CarrierSwitching</w:t>
      </w:r>
      <w:r>
        <w:rPr>
          <w:rFonts w:hint="eastAsia" w:ascii="Times New Roman" w:eastAsia="宋体"/>
          <w:b w:val="0"/>
          <w:bCs w:val="0"/>
          <w:i w:val="0"/>
          <w:iCs w:val="0"/>
          <w:sz w:val="20"/>
          <w:szCs w:val="20"/>
          <w:lang w:val="en-US" w:eastAsia="zh-CN"/>
        </w:rPr>
        <w:t xml:space="preserve"> is not configured, the DCI format 2_3 can still be used to indicate TPC commands for separate SRS CLPC adjustment states for a UE configured with two SRS CLPC adjustment states.</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20" w:after="120"/>
        <w:ind w:leftChars="0"/>
        <w:jc w:val="both"/>
        <w:textAlignment w:val="auto"/>
        <w:outlineLvl w:val="1"/>
        <w:rPr>
          <w:rFonts w:hint="default" w:ascii="Times New Roman" w:hAnsi="Times New Roman" w:eastAsia="宋体" w:cs="Times New Roman"/>
          <w:b/>
          <w:bCs/>
          <w:sz w:val="24"/>
          <w:szCs w:val="22"/>
          <w:highlight w:val="none"/>
          <w:lang w:val="en-US" w:eastAsia="zh-CN" w:bidi="ar-SA"/>
        </w:rPr>
      </w:pPr>
      <w:r>
        <w:rPr>
          <w:rFonts w:hint="eastAsia" w:cs="Times New Roman"/>
          <w:b/>
          <w:bCs/>
          <w:sz w:val="24"/>
          <w:szCs w:val="22"/>
          <w:highlight w:val="none"/>
          <w:lang w:val="en-US" w:eastAsia="zh-CN" w:bidi="ar-SA"/>
        </w:rPr>
        <w:t>2.3 Unified TCI framework</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contextualSpacing/>
        <w:textAlignment w:val="baseline"/>
        <w:rPr>
          <w:rFonts w:hint="eastAsia"/>
          <w:b w:val="0"/>
          <w:bCs/>
          <w:i w:val="0"/>
          <w:iCs/>
          <w:sz w:val="20"/>
          <w:szCs w:val="20"/>
          <w:lang w:val="en-US" w:eastAsia="zh-CN"/>
        </w:rPr>
      </w:pPr>
      <w:r>
        <w:rPr>
          <w:rFonts w:hint="eastAsia" w:ascii="Times New Roman" w:eastAsia="宋体"/>
          <w:b w:val="0"/>
          <w:bCs/>
          <w:i w:val="0"/>
          <w:iCs/>
          <w:sz w:val="20"/>
          <w:szCs w:val="20"/>
          <w:lang w:val="en-US" w:eastAsia="zh-CN"/>
        </w:rPr>
        <w:t>In RAN1#</w:t>
      </w:r>
      <w:r>
        <w:rPr>
          <w:rFonts w:hint="eastAsia" w:ascii="Times New Roman" w:eastAsia="宋体"/>
          <w:b w:val="0"/>
          <w:bCs/>
          <w:i w:val="0"/>
          <w:iCs/>
          <w:sz w:val="20"/>
          <w:szCs w:val="20"/>
          <w:highlight w:val="none"/>
          <w:lang w:val="en-US" w:eastAsia="zh-CN"/>
        </w:rPr>
        <w:t xml:space="preserve">116 </w:t>
      </w:r>
      <w:r>
        <w:rPr>
          <w:rFonts w:hint="eastAsia" w:ascii="Times New Roman" w:eastAsia="宋体"/>
          <w:b w:val="0"/>
          <w:bCs/>
          <w:i w:val="0"/>
          <w:iCs/>
          <w:sz w:val="20"/>
          <w:szCs w:val="20"/>
          <w:lang w:val="en-US" w:eastAsia="zh-CN"/>
        </w:rPr>
        <w:t>meeting, the following agreements on beam indication framework have been achieved [</w:t>
      </w:r>
      <w:r>
        <w:rPr>
          <w:rFonts w:hint="eastAsia"/>
          <w:b w:val="0"/>
          <w:bCs/>
          <w:i w:val="0"/>
          <w:iCs/>
          <w:sz w:val="20"/>
          <w:szCs w:val="20"/>
          <w:lang w:val="en-US" w:eastAsia="zh-CN"/>
        </w:rPr>
        <w:t>3</w:t>
      </w:r>
      <w:r>
        <w:rPr>
          <w:rFonts w:hint="eastAsia" w:ascii="Times New Roman" w:eastAsia="宋体"/>
          <w:b w:val="0"/>
          <w:bCs/>
          <w:i w:val="0"/>
          <w:iCs/>
          <w:sz w:val="20"/>
          <w:szCs w:val="20"/>
          <w:lang w:val="en-US" w:eastAsia="zh-CN"/>
        </w:rP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pPr>
              <w:keepNext w:val="0"/>
              <w:keepLines w:val="0"/>
              <w:widowControl/>
              <w:suppressLineNumbers w:val="0"/>
              <w:autoSpaceDE/>
              <w:autoSpaceDN/>
              <w:adjustRightInd/>
              <w:snapToGrid/>
              <w:spacing w:before="0" w:beforeAutospacing="0" w:after="0" w:afterAutospacing="0" w:line="264" w:lineRule="auto"/>
              <w:ind w:left="0" w:right="0"/>
              <w:jc w:val="left"/>
              <w:rPr>
                <w:rFonts w:hint="eastAsia" w:ascii="Times" w:hAnsi="Times" w:eastAsia="等线" w:cs="Batang"/>
                <w:sz w:val="20"/>
                <w:szCs w:val="20"/>
                <w:highlight w:val="green"/>
                <w:lang w:val="en-GB"/>
              </w:rPr>
            </w:pPr>
            <w:r>
              <w:rPr>
                <w:rFonts w:hint="eastAsia" w:ascii="Times" w:hAnsi="Times" w:eastAsia="等线" w:cs="Batang"/>
                <w:sz w:val="20"/>
                <w:szCs w:val="20"/>
                <w:highlight w:val="green"/>
                <w:lang w:val="en-GB"/>
              </w:rPr>
              <w:t>Agreement</w:t>
            </w:r>
          </w:p>
          <w:p>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For the asymmetric DL sTRP/UL mTRP deployment scenarios, separate DL/UL TCI state mode of Rel-17/18 unified TCI framework can be configured for both FR1 and FR2.</w:t>
            </w:r>
          </w:p>
          <w:p>
            <w:pPr>
              <w:keepNext w:val="0"/>
              <w:keepLines w:val="0"/>
              <w:widowControl/>
              <w:numPr>
                <w:ilvl w:val="0"/>
                <w:numId w:val="10"/>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PMingLiU" w:cs="Times New Roman"/>
                <w:sz w:val="20"/>
                <w:szCs w:val="20"/>
                <w:lang w:val="en-GB" w:eastAsia="zh-TW" w:bidi="ar-SA"/>
              </w:rPr>
              <w:t>Joint TCI state mode can be configured at least for FR1</w:t>
            </w:r>
          </w:p>
        </w:tc>
      </w:tr>
    </w:tbl>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default" w:hAnsi="Cambria Math" w:eastAsia="宋体"/>
          <w:i w:val="0"/>
          <w:sz w:val="20"/>
          <w:szCs w:val="20"/>
          <w:lang w:val="en-US" w:eastAsia="zh-CN"/>
        </w:rPr>
      </w:pPr>
      <w:r>
        <w:rPr>
          <w:rFonts w:hint="eastAsia" w:ascii="Times" w:hAnsi="Times" w:eastAsia="宋体" w:cs="Times New Roman"/>
          <w:sz w:val="20"/>
          <w:szCs w:val="24"/>
          <w:lang w:val="en-US" w:eastAsia="zh-CN"/>
        </w:rPr>
        <w:t xml:space="preserve">Regarding separate DL/UL TCI state mode of </w:t>
      </w:r>
      <w:r>
        <w:rPr>
          <w:rFonts w:ascii="Times" w:hAnsi="Times" w:eastAsia="Batang" w:cs="Times New Roman"/>
          <w:sz w:val="20"/>
          <w:szCs w:val="24"/>
          <w:lang w:val="en-GB"/>
        </w:rPr>
        <w:t>Rel-18 unified TCI framework</w:t>
      </w:r>
      <w:r>
        <w:rPr>
          <w:rFonts w:hint="eastAsia" w:ascii="Times" w:hAnsi="Times" w:eastAsia="宋体" w:cs="Times New Roman"/>
          <w:sz w:val="20"/>
          <w:szCs w:val="24"/>
          <w:lang w:val="en-US" w:eastAsia="zh-CN"/>
        </w:rPr>
        <w:t>, up to two DL TCI state(s) for DL channels/signals and up to two UL TCI state(s) for UL channels/signals can be mapped to the codepoint of the DCI field '</w:t>
      </w:r>
      <w:r>
        <w:rPr>
          <w:rFonts w:hint="eastAsia" w:ascii="Times" w:hAnsi="Times" w:eastAsia="宋体" w:cs="Times New Roman"/>
          <w:i/>
          <w:iCs/>
          <w:sz w:val="20"/>
          <w:szCs w:val="24"/>
          <w:lang w:val="en-US" w:eastAsia="zh-CN"/>
        </w:rPr>
        <w:t>Transmission Configuration Indication</w:t>
      </w:r>
      <w:r>
        <w:rPr>
          <w:rFonts w:hint="eastAsia" w:ascii="Times" w:hAnsi="Times" w:eastAsia="宋体" w:cs="Times New Roman"/>
          <w:sz w:val="20"/>
          <w:szCs w:val="24"/>
          <w:lang w:val="en-US" w:eastAsia="zh-CN"/>
        </w:rPr>
        <w:t>' for one or for a set of CCs/DL BWPs.</w:t>
      </w:r>
      <w:r>
        <w:rPr>
          <w:rFonts w:hint="eastAsia" w:ascii="Times" w:hAnsi="Times" w:cs="Times New Roman"/>
          <w:sz w:val="20"/>
          <w:szCs w:val="24"/>
          <w:lang w:val="en-US" w:eastAsia="zh-CN"/>
        </w:rPr>
        <w:t xml:space="preserve"> W</w:t>
      </w:r>
      <w:r>
        <w:rPr>
          <w:rFonts w:hint="eastAsia" w:ascii="Times" w:hAnsi="Times" w:eastAsia="宋体" w:cs="Times New Roman"/>
          <w:sz w:val="20"/>
          <w:szCs w:val="24"/>
          <w:lang w:val="en-US" w:eastAsia="zh-CN"/>
        </w:rPr>
        <w:t>hen the UE receives a DCI format 1_1/1_2 schedul</w:t>
      </w:r>
      <w:r>
        <w:rPr>
          <w:rFonts w:hint="eastAsia" w:ascii="Times" w:hAnsi="Times" w:cs="Times New Roman"/>
          <w:sz w:val="20"/>
          <w:szCs w:val="24"/>
          <w:lang w:val="en-US" w:eastAsia="zh-CN"/>
        </w:rPr>
        <w:t>ing</w:t>
      </w:r>
      <w:r>
        <w:rPr>
          <w:rFonts w:hint="eastAsia" w:ascii="Times" w:hAnsi="Times" w:eastAsia="宋体" w:cs="Times New Roman"/>
          <w:sz w:val="20"/>
          <w:szCs w:val="24"/>
          <w:lang w:val="en-US" w:eastAsia="zh-CN"/>
        </w:rPr>
        <w:t xml:space="preserve"> PDSCH, the UE determine</w:t>
      </w:r>
      <w:r>
        <w:rPr>
          <w:rFonts w:hint="eastAsia" w:ascii="Times" w:hAnsi="Times" w:cs="Times New Roman"/>
          <w:sz w:val="20"/>
          <w:szCs w:val="24"/>
          <w:lang w:val="en-US" w:eastAsia="zh-CN"/>
        </w:rPr>
        <w:t>s</w:t>
      </w:r>
      <w:r>
        <w:rPr>
          <w:rFonts w:hint="eastAsia" w:ascii="Times" w:hAnsi="Times" w:eastAsia="宋体" w:cs="Times New Roman"/>
          <w:sz w:val="20"/>
          <w:szCs w:val="24"/>
          <w:lang w:val="en-US" w:eastAsia="zh-CN"/>
        </w:rPr>
        <w:t xml:space="preserve"> the indicated joint/DL TCI state</w:t>
      </w:r>
      <w:r>
        <w:rPr>
          <w:rFonts w:hint="eastAsia" w:ascii="Times" w:hAnsi="Times" w:cs="Times New Roman"/>
          <w:sz w:val="20"/>
          <w:szCs w:val="24"/>
          <w:lang w:val="en-US" w:eastAsia="zh-CN"/>
        </w:rPr>
        <w:t xml:space="preserve">(s) </w:t>
      </w:r>
      <w:r>
        <w:rPr>
          <w:rFonts w:hint="eastAsia" w:ascii="Times" w:hAnsi="Times" w:eastAsia="宋体" w:cs="Times New Roman"/>
          <w:sz w:val="20"/>
          <w:szCs w:val="24"/>
          <w:lang w:val="en-US" w:eastAsia="zh-CN"/>
        </w:rPr>
        <w:t>for the PDSCH according to '</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However, f</w:t>
      </w:r>
      <w:r>
        <w:rPr>
          <w:rFonts w:hint="eastAsia" w:ascii="Times" w:hAnsi="Times" w:eastAsia="宋体" w:cs="Times New Roman"/>
          <w:sz w:val="20"/>
          <w:szCs w:val="24"/>
          <w:lang w:val="en-US" w:eastAsia="zh-CN"/>
        </w:rPr>
        <w:t xml:space="preserve">or asymmetric DL sTRP/UL mTRP deployment scenarios, </w:t>
      </w:r>
      <w:r>
        <w:rPr>
          <w:rFonts w:hint="eastAsia" w:ascii="Times" w:hAnsi="Times" w:cs="Times New Roman"/>
          <w:sz w:val="20"/>
          <w:szCs w:val="24"/>
          <w:lang w:val="en-US" w:eastAsia="zh-CN"/>
        </w:rPr>
        <w:t xml:space="preserve">two joint </w:t>
      </w:r>
      <w:r>
        <w:rPr>
          <w:rFonts w:hint="eastAsia" w:ascii="Times" w:hAnsi="Times" w:eastAsia="宋体" w:cs="Times New Roman"/>
          <w:sz w:val="20"/>
          <w:szCs w:val="24"/>
          <w:lang w:val="en-US" w:eastAsia="zh-CN"/>
        </w:rPr>
        <w:t>DL TCI state</w:t>
      </w:r>
      <w:r>
        <w:rPr>
          <w:rFonts w:hint="eastAsia" w:ascii="Times" w:hAnsi="Times" w:cs="Times New Roman"/>
          <w:sz w:val="20"/>
          <w:szCs w:val="24"/>
          <w:lang w:val="en-US" w:eastAsia="zh-CN"/>
        </w:rPr>
        <w:t xml:space="preserve">s or </w:t>
      </w:r>
      <w:r>
        <w:rPr>
          <w:rFonts w:hint="eastAsia" w:ascii="Times" w:hAnsi="Times" w:eastAsia="宋体" w:cs="Times New Roman"/>
          <w:sz w:val="20"/>
          <w:szCs w:val="24"/>
          <w:lang w:val="en-US" w:eastAsia="zh-CN"/>
        </w:rPr>
        <w:t xml:space="preserve">only one DL TCI state and two UL TCI states </w:t>
      </w:r>
      <w:r>
        <w:rPr>
          <w:rFonts w:hint="eastAsia" w:ascii="Times" w:hAnsi="Times" w:cs="Times New Roman"/>
          <w:sz w:val="20"/>
          <w:szCs w:val="24"/>
          <w:lang w:val="en-US" w:eastAsia="zh-CN"/>
        </w:rPr>
        <w:t xml:space="preserve">can be mapped </w:t>
      </w:r>
      <w:r>
        <w:rPr>
          <w:rFonts w:hint="eastAsia" w:ascii="Times" w:hAnsi="Times" w:eastAsia="宋体" w:cs="Times New Roman"/>
          <w:sz w:val="20"/>
          <w:szCs w:val="24"/>
          <w:lang w:val="en-US" w:eastAsia="zh-CN"/>
        </w:rPr>
        <w:t>to the codepoint of</w:t>
      </w:r>
      <w:r>
        <w:rPr>
          <w:rFonts w:hint="eastAsia" w:ascii="Times" w:hAnsi="Times" w:cs="Times New Roman"/>
          <w:sz w:val="20"/>
          <w:szCs w:val="24"/>
          <w:lang w:val="en-US" w:eastAsia="zh-CN"/>
        </w:rPr>
        <w:t xml:space="preserve"> TCI field</w:t>
      </w:r>
      <w:r>
        <w:rPr>
          <w:rFonts w:hint="eastAsia" w:ascii="Times" w:hAnsi="Times" w:eastAsia="宋体" w:cs="Times New Roman"/>
          <w:sz w:val="20"/>
          <w:szCs w:val="24"/>
          <w:lang w:val="en-US" w:eastAsia="zh-CN"/>
        </w:rPr>
        <w:t xml:space="preserve">. </w:t>
      </w:r>
      <w:r>
        <w:rPr>
          <w:rFonts w:hint="eastAsia" w:ascii="Times" w:hAnsi="Times" w:cs="Times New Roman"/>
          <w:sz w:val="20"/>
          <w:szCs w:val="24"/>
          <w:lang w:val="en-US" w:eastAsia="zh-CN"/>
        </w:rPr>
        <w:t xml:space="preserve">Since DL beam indication is only applied to </w:t>
      </w:r>
      <w:r>
        <w:rPr>
          <w:rFonts w:hint="eastAsia" w:ascii="Times" w:hAnsi="Times" w:eastAsia="宋体" w:cs="Times New Roman"/>
          <w:sz w:val="20"/>
          <w:szCs w:val="24"/>
          <w:lang w:val="en-US" w:eastAsia="zh-CN"/>
        </w:rPr>
        <w:t>the TRP with both DL and UL transmission</w:t>
      </w:r>
      <w:r>
        <w:rPr>
          <w:rFonts w:hint="eastAsia" w:ascii="Times" w:hAnsi="Times" w:cs="Times New Roman"/>
          <w:sz w:val="20"/>
          <w:szCs w:val="24"/>
          <w:lang w:val="en-US" w:eastAsia="zh-CN"/>
        </w:rPr>
        <w:t xml:space="preserve">, </w:t>
      </w:r>
      <w:r>
        <w:rPr>
          <w:rFonts w:hint="eastAsia" w:ascii="Times" w:hAnsi="Times" w:eastAsia="宋体" w:cs="Times New Roman"/>
          <w:sz w:val="20"/>
          <w:szCs w:val="24"/>
          <w:lang w:val="en-US" w:eastAsia="zh-CN"/>
        </w:rPr>
        <w:t>'</w:t>
      </w:r>
      <w:r>
        <w:rPr>
          <w:rFonts w:hint="eastAsia" w:ascii="Times" w:hAnsi="Times" w:eastAsia="宋体" w:cs="Times New Roman"/>
          <w:i/>
          <w:iCs/>
          <w:sz w:val="20"/>
          <w:szCs w:val="24"/>
          <w:lang w:val="en-US" w:eastAsia="zh-CN"/>
        </w:rPr>
        <w:t>TCI selection</w:t>
      </w:r>
      <w:r>
        <w:rPr>
          <w:rFonts w:hint="eastAsia" w:ascii="Times" w:hAnsi="Times" w:eastAsia="宋体" w:cs="Times New Roman"/>
          <w:sz w:val="20"/>
          <w:szCs w:val="24"/>
          <w:lang w:val="en-US" w:eastAsia="zh-CN"/>
        </w:rPr>
        <w:t>'</w:t>
      </w:r>
      <w:r>
        <w:rPr>
          <w:rFonts w:hint="eastAsia" w:ascii="Times" w:hAnsi="Times" w:cs="Times New Roman"/>
          <w:sz w:val="20"/>
          <w:szCs w:val="24"/>
          <w:lang w:val="en-US" w:eastAsia="zh-CN"/>
        </w:rPr>
        <w:t xml:space="preserve"> for DL beam indication for </w:t>
      </w:r>
      <w:r>
        <w:rPr>
          <w:rFonts w:hint="eastAsia" w:ascii="Times" w:hAnsi="Times" w:eastAsia="宋体" w:cs="Times New Roman"/>
          <w:sz w:val="20"/>
          <w:szCs w:val="24"/>
          <w:lang w:val="en-US" w:eastAsia="zh-CN"/>
        </w:rPr>
        <w:t>asymmetric DL sTRP/UL mTRP deployment scenarios</w:t>
      </w:r>
      <w:r>
        <w:rPr>
          <w:rFonts w:hint="eastAsia" w:ascii="Times" w:hAnsi="Times" w:cs="Times New Roman"/>
          <w:sz w:val="20"/>
          <w:szCs w:val="24"/>
          <w:lang w:val="en-US" w:eastAsia="zh-CN"/>
        </w:rPr>
        <w:t xml:space="preserve"> is not necessary and default </w:t>
      </w:r>
      <w:r>
        <w:rPr>
          <w:rFonts w:hint="eastAsia" w:ascii="Times" w:hAnsi="Times" w:eastAsia="宋体" w:cs="Times New Roman"/>
          <w:sz w:val="20"/>
          <w:szCs w:val="24"/>
          <w:lang w:val="en-US" w:eastAsia="zh-CN"/>
        </w:rPr>
        <w:t>TCI state</w:t>
      </w:r>
      <w:r>
        <w:rPr>
          <w:rFonts w:hint="eastAsia" w:ascii="Times" w:hAnsi="Times" w:cs="Times New Roman"/>
          <w:sz w:val="20"/>
          <w:szCs w:val="24"/>
          <w:lang w:val="en-US" w:eastAsia="zh-CN"/>
        </w:rPr>
        <w:t>(e.g.,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b/>
          <w:bCs/>
          <w:i w:val="0"/>
          <w:iCs w:val="0"/>
          <w:sz w:val="20"/>
          <w:szCs w:val="20"/>
          <w:lang w:val="en-US" w:eastAsia="zh-CN"/>
        </w:rPr>
        <w:t>, 'TCI selection' is not necessary and default TCI state(e.g.,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sz w:val="20"/>
          <w:szCs w:val="24"/>
          <w:lang w:val="en-US" w:eastAsia="zh-CN"/>
        </w:rPr>
      </w:pPr>
      <w:r>
        <w:rPr>
          <w:rFonts w:hint="eastAsia" w:ascii="Times" w:hAnsi="Times" w:eastAsia="宋体" w:cs="Times New Roman"/>
          <w:sz w:val="20"/>
          <w:szCs w:val="24"/>
          <w:lang w:val="en-US" w:eastAsia="zh-CN"/>
        </w:rPr>
        <w:t>Regarding separate DL/UL TCI state mode of Rel-18 unified TCI framework, up to two DL TCI state(s) for DL channels/signals and up to two UL TCI state(s) for UL channels/signals can be mapped to the codepoint of the DCI field 'Transmission Configuration Indication' for one or for a set of CCs/DL BWPs. For asymmetric DL sTRP/UL mTRP deployment scenarios, mapping up to one DL TCI state and up to two UL TCI states to the codepoint of TCI field is enough. In addition, UE needs to maintain up to one DL TCI state and up to two UL TCI states.</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Proposal 7: Regarding separate DL/UL TCI state mode, up to one DL TCI state and up to two UL TCI states are mapped to the codepoint of TCI field.</w:t>
      </w:r>
    </w:p>
    <w:p>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pPr>
        <w:rPr>
          <w:rFonts w:hint="eastAsia" w:eastAsia="宋体"/>
          <w:sz w:val="20"/>
          <w:szCs w:val="20"/>
          <w:highlight w:val="none"/>
          <w:lang w:val="en-US" w:eastAsia="zh-CN"/>
        </w:rPr>
      </w:pPr>
      <w:bookmarkStart w:id="3" w:name="OLE_LINK39"/>
      <w:bookmarkStart w:id="4" w:name="OLE_LINK5"/>
      <w:bookmarkStart w:id="5" w:name="OLE_LINK4"/>
      <w:bookmarkStart w:id="6" w:name="OLE_LINK3"/>
      <w:bookmarkStart w:id="7" w:name="OLE_LINK40"/>
      <w:bookmarkStart w:id="8" w:name="OLE_LINK6"/>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highlight w:val="none"/>
          <w:lang w:val="en-US" w:eastAsia="zh-CN"/>
        </w:rPr>
        <w:t>the potential enhancements for asymmetric DL sTRP/UL mTRP</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1: When two joint/UL TCI states are indicated in Rel-18 unified TCI, only one of indicated joint/UL TCI states can be configured with PL offset.</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after="12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2: Support applying a PL offset for PDCCH-order PRACH transmission for UL-only TRP in FR2.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after="0"/>
        <w:contextualSpacing/>
        <w:textAlignment w:val="baseline"/>
        <w:rPr>
          <w:rFonts w:hint="eastAsia" w:cs="Times New Roman"/>
          <w:b/>
          <w:bCs/>
          <w:sz w:val="20"/>
          <w:szCs w:val="16"/>
          <w:lang w:val="en-US" w:eastAsia="zh-CN" w:bidi="ar-SA"/>
        </w:rPr>
      </w:pPr>
      <w:r>
        <w:rPr>
          <w:rFonts w:hint="eastAsia" w:cs="Times New Roman"/>
          <w:b/>
          <w:bCs/>
          <w:sz w:val="20"/>
          <w:szCs w:val="16"/>
          <w:lang w:val="en-US" w:eastAsia="zh-CN" w:bidi="ar-SA"/>
        </w:rPr>
        <w:t>Proposal 3: The following additional information can be indicated by the same 1-bit DCI field for the PDCCH-order PRACH transmission:</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Power control related information for the PRACH transmission</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after="0"/>
        <w:ind w:left="720" w:hanging="357"/>
        <w:contextualSpacing/>
        <w:textAlignment w:val="baseline"/>
        <w:rPr>
          <w:rFonts w:hint="eastAsia" w:ascii="Times New Roman" w:eastAsia="宋体"/>
          <w:b/>
          <w:bCs/>
          <w:i w:val="0"/>
          <w:iCs w:val="0"/>
          <w:sz w:val="20"/>
          <w:szCs w:val="20"/>
          <w:lang w:val="en-US" w:eastAsia="zh-CN"/>
        </w:rPr>
      </w:pPr>
      <w:r>
        <w:rPr>
          <w:rFonts w:hint="eastAsia" w:ascii="Times New Roman" w:eastAsia="宋体"/>
          <w:b/>
          <w:bCs/>
          <w:i w:val="0"/>
          <w:iCs w:val="0"/>
          <w:sz w:val="20"/>
          <w:szCs w:val="20"/>
          <w:lang w:val="en-US" w:eastAsia="zh-CN"/>
        </w:rPr>
        <w:t>Spatial filter for the PRACH transmission</w:t>
      </w:r>
      <w:bookmarkStart w:id="9" w:name="_GoBack"/>
      <w:bookmarkEnd w:id="9"/>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4</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Support to indicate </w:t>
      </w:r>
      <w:r>
        <w:rPr>
          <w:rFonts w:hint="default" w:eastAsia="宋体"/>
          <w:b/>
          <w:bCs/>
          <w:i w:val="0"/>
          <w:iCs w:val="0"/>
          <w:sz w:val="20"/>
          <w:szCs w:val="20"/>
          <w:lang w:val="en-US" w:eastAsia="zh-CN"/>
        </w:rPr>
        <w:t>one of SRS CLPC adjustment states for an SRS resource not configured with TCI state</w:t>
      </w:r>
      <w:r>
        <w:rPr>
          <w:rFonts w:hint="eastAsia" w:eastAsia="宋体"/>
          <w:b/>
          <w:bCs/>
          <w:i w:val="0"/>
          <w:iCs w:val="0"/>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sz w:val="20"/>
          <w:szCs w:val="20"/>
          <w:lang w:val="en-US" w:eastAsia="zh-CN"/>
        </w:rPr>
      </w:pPr>
      <w:r>
        <w:rPr>
          <w:rFonts w:hint="default" w:eastAsia="宋体"/>
          <w:b/>
          <w:bCs/>
          <w:i w:val="0"/>
          <w:iCs w:val="0"/>
          <w:sz w:val="20"/>
          <w:szCs w:val="20"/>
          <w:lang w:val="en-US" w:eastAsia="zh-CN"/>
        </w:rPr>
        <w:t xml:space="preserve">Proposal </w:t>
      </w:r>
      <w:r>
        <w:rPr>
          <w:rFonts w:hint="eastAsia"/>
          <w:b/>
          <w:bCs/>
          <w:i w:val="0"/>
          <w:iCs w:val="0"/>
          <w:sz w:val="20"/>
          <w:szCs w:val="20"/>
          <w:lang w:val="en-US" w:eastAsia="zh-CN"/>
        </w:rPr>
        <w:t>5</w:t>
      </w:r>
      <w:r>
        <w:rPr>
          <w:rFonts w:hint="default" w:eastAsia="宋体"/>
          <w:b/>
          <w:bCs/>
          <w:i w:val="0"/>
          <w:iCs w:val="0"/>
          <w:sz w:val="20"/>
          <w:szCs w:val="20"/>
          <w:lang w:val="en-US" w:eastAsia="zh-CN"/>
        </w:rPr>
        <w:t xml:space="preserve">: </w:t>
      </w:r>
      <w:r>
        <w:rPr>
          <w:b/>
          <w:bCs/>
          <w:sz w:val="20"/>
          <w:szCs w:val="20"/>
        </w:rPr>
        <w:t xml:space="preserve">When </w:t>
      </w:r>
      <w:r>
        <w:rPr>
          <w:b/>
          <w:bCs/>
          <w:i/>
          <w:iCs/>
          <w:sz w:val="20"/>
          <w:szCs w:val="20"/>
        </w:rPr>
        <w:t>SRS-CarrierSwitching</w:t>
      </w:r>
      <w:r>
        <w:rPr>
          <w:b/>
          <w:bCs/>
          <w:sz w:val="20"/>
          <w:szCs w:val="20"/>
        </w:rPr>
        <w:t xml:space="preserve"> is not configured, the DCI format 2_3 can still be used to indicate TPC commands for separate SRS CLPC adjustment states for a UE configured with two SRS CLPC adjustment states</w:t>
      </w:r>
      <w:r>
        <w:rPr>
          <w:rFonts w:hint="eastAsia" w:ascii="Times New Roman" w:eastAsia="宋体"/>
          <w:b/>
          <w:bCs/>
          <w:sz w:val="20"/>
          <w:szCs w:val="20"/>
          <w:lang w:val="en-US" w:eastAsia="zh-CN"/>
        </w:rPr>
        <w:t>.</w:t>
      </w:r>
    </w:p>
    <w:p>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eastAsia"/>
          <w:b/>
          <w:bCs/>
          <w:i w:val="0"/>
          <w:iCs w:val="0"/>
          <w:sz w:val="20"/>
          <w:szCs w:val="20"/>
          <w:lang w:val="en-US" w:eastAsia="zh-CN"/>
        </w:rPr>
      </w:pPr>
      <w:r>
        <w:rPr>
          <w:rFonts w:hint="default" w:eastAsia="宋体"/>
          <w:b/>
          <w:bCs/>
          <w:i w:val="0"/>
          <w:iCs w:val="0"/>
          <w:sz w:val="20"/>
          <w:szCs w:val="20"/>
          <w:lang w:val="en-US" w:eastAsia="zh-CN"/>
        </w:rPr>
        <w:t xml:space="preserve">Proposal </w:t>
      </w:r>
      <w:r>
        <w:rPr>
          <w:rFonts w:hint="eastAsia" w:ascii="Times New Roman" w:eastAsia="宋体"/>
          <w:b/>
          <w:bCs/>
          <w:i w:val="0"/>
          <w:iCs w:val="0"/>
          <w:sz w:val="20"/>
          <w:szCs w:val="20"/>
          <w:lang w:val="en-US" w:eastAsia="zh-CN"/>
        </w:rPr>
        <w:t>6</w:t>
      </w:r>
      <w:r>
        <w:rPr>
          <w:rFonts w:hint="default" w:eastAsia="宋体"/>
          <w:b/>
          <w:bCs/>
          <w:i w:val="0"/>
          <w:iCs w:val="0"/>
          <w:sz w:val="20"/>
          <w:szCs w:val="20"/>
          <w:lang w:val="en-US" w:eastAsia="zh-CN"/>
        </w:rPr>
        <w:t xml:space="preserve">: </w:t>
      </w:r>
      <w:r>
        <w:rPr>
          <w:rFonts w:hint="eastAsia" w:ascii="Times New Roman" w:eastAsia="宋体"/>
          <w:b/>
          <w:bCs/>
          <w:i w:val="0"/>
          <w:iCs w:val="0"/>
          <w:sz w:val="20"/>
          <w:szCs w:val="20"/>
          <w:lang w:val="en-US" w:eastAsia="zh-CN"/>
        </w:rPr>
        <w:t xml:space="preserve">Regarding </w:t>
      </w:r>
      <w:r>
        <w:rPr>
          <w:rFonts w:hint="default" w:eastAsia="宋体"/>
          <w:b/>
          <w:bCs/>
          <w:i w:val="0"/>
          <w:iCs w:val="0"/>
          <w:sz w:val="20"/>
          <w:szCs w:val="20"/>
          <w:lang w:val="en-US" w:eastAsia="zh-CN"/>
        </w:rPr>
        <w:t>asymmetric DL sTRP/UL mTRP deployment scenarios</w:t>
      </w:r>
      <w:r>
        <w:rPr>
          <w:rFonts w:hint="eastAsia" w:ascii="Times New Roman" w:eastAsia="宋体"/>
          <w:b/>
          <w:bCs/>
          <w:i w:val="0"/>
          <w:iCs w:val="0"/>
          <w:sz w:val="20"/>
          <w:szCs w:val="20"/>
          <w:lang w:val="en-US" w:eastAsia="zh-CN"/>
        </w:rPr>
        <w:t>, 'TCI selection' is not necessary and default TCI state(e.g., first one of two indicated states) can be applied for PDSCH reception.</w:t>
      </w:r>
    </w:p>
    <w:p>
      <w:pPr>
        <w:keepNext w:val="0"/>
        <w:keepLines w:val="0"/>
        <w:pageBreakBefore w:val="0"/>
        <w:widowControl/>
        <w:kinsoku/>
        <w:wordWrap/>
        <w:overflowPunct/>
        <w:topLinePunct w:val="0"/>
        <w:autoSpaceDE w:val="0"/>
        <w:autoSpaceDN w:val="0"/>
        <w:bidi w:val="0"/>
        <w:adjustRightInd w:val="0"/>
        <w:snapToGrid w:val="0"/>
        <w:spacing w:before="120" w:after="120"/>
        <w:textAlignment w:val="auto"/>
        <w:rPr>
          <w:rFonts w:hint="eastAsia" w:ascii="Times" w:hAnsi="Times" w:eastAsia="宋体" w:cs="Times New Roman"/>
          <w:b/>
          <w:bCs/>
          <w:sz w:val="20"/>
          <w:szCs w:val="24"/>
          <w:lang w:val="en-US" w:eastAsia="zh-CN"/>
        </w:rPr>
      </w:pPr>
      <w:r>
        <w:rPr>
          <w:rFonts w:hint="eastAsia" w:ascii="Times" w:hAnsi="Times" w:eastAsia="宋体" w:cs="Times New Roman"/>
          <w:b/>
          <w:bCs/>
          <w:sz w:val="20"/>
          <w:szCs w:val="24"/>
          <w:lang w:val="en-US" w:eastAsia="zh-CN"/>
        </w:rPr>
        <w:t>Proposal 7: Regarding separate DL/UL TCI state mode, up to one DL TCI state and up to two UL TCI states are mapped to the codepoint of TCI field.</w:t>
      </w:r>
    </w:p>
    <w:bookmarkEnd w:id="3"/>
    <w:bookmarkEnd w:id="4"/>
    <w:bookmarkEnd w:id="5"/>
    <w:bookmarkEnd w:id="6"/>
    <w:bookmarkEnd w:id="7"/>
    <w:bookmarkEnd w:id="8"/>
    <w:p>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pPr>
        <w:numPr>
          <w:ilvl w:val="0"/>
          <w:numId w:val="11"/>
        </w:numPr>
        <w:rPr>
          <w:rFonts w:hint="eastAsia"/>
          <w:bCs/>
          <w:sz w:val="20"/>
          <w:szCs w:val="20"/>
        </w:rPr>
      </w:pPr>
      <w:r>
        <w:rPr>
          <w:rFonts w:hint="eastAsia"/>
          <w:bCs/>
          <w:sz w:val="20"/>
          <w:szCs w:val="20"/>
        </w:rPr>
        <w:t>RP-234007, New WID: NR MIMO Phase 5, Samsung (Moderator)</w:t>
      </w:r>
    </w:p>
    <w:p>
      <w:pPr>
        <w:numPr>
          <w:ilvl w:val="0"/>
          <w:numId w:val="11"/>
        </w:numPr>
        <w:rPr>
          <w:rFonts w:hint="eastAsia"/>
          <w:bCs/>
          <w:sz w:val="20"/>
          <w:szCs w:val="20"/>
        </w:rPr>
      </w:pPr>
      <w:r>
        <w:rPr>
          <w:rFonts w:hint="eastAsia"/>
          <w:bCs/>
          <w:sz w:val="20"/>
          <w:szCs w:val="20"/>
        </w:rPr>
        <w:t>Draft Report of 3GPP TSG RAN WG1 #118b v0.2.0, Chairman, RAN1#118b, October 14th – 18th, 2024</w:t>
      </w:r>
    </w:p>
    <w:p>
      <w:pPr>
        <w:numPr>
          <w:ilvl w:val="0"/>
          <w:numId w:val="11"/>
        </w:numPr>
        <w:rPr>
          <w:rFonts w:hint="eastAsia"/>
          <w:bCs/>
          <w:sz w:val="20"/>
          <w:szCs w:val="20"/>
        </w:rPr>
      </w:pPr>
      <w:r>
        <w:rPr>
          <w:rFonts w:hint="eastAsia"/>
          <w:bCs/>
          <w:sz w:val="20"/>
          <w:szCs w:val="20"/>
        </w:rPr>
        <w:t>Draft Report of 3GPP TSG RAN WG1 #116 v0.3.0, Chairman, RAN1#116,</w:t>
      </w:r>
      <w:r>
        <w:rPr>
          <w:rFonts w:hint="eastAsia" w:ascii="Times New Roman" w:eastAsia="宋体"/>
          <w:bCs/>
          <w:sz w:val="20"/>
          <w:szCs w:val="20"/>
          <w:lang w:val="en-US" w:eastAsia="zh-CN"/>
        </w:rPr>
        <w:t xml:space="preserve"> </w:t>
      </w:r>
      <w:r>
        <w:rPr>
          <w:rFonts w:ascii="Times New Roman" w:hAnsi="Times New Roman"/>
          <w:sz w:val="20"/>
        </w:rPr>
        <w:t>February 26th - March 1st, 2024</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7BDB19"/>
    <w:multiLevelType w:val="singleLevel"/>
    <w:tmpl w:val="B37BDB19"/>
    <w:lvl w:ilvl="0" w:tentative="0">
      <w:start w:val="1"/>
      <w:numFmt w:val="decimal"/>
      <w:lvlText w:val="[%1]"/>
      <w:lvlJc w:val="left"/>
      <w:pPr>
        <w:tabs>
          <w:tab w:val="left" w:pos="312"/>
        </w:tabs>
      </w:pPr>
    </w:lvl>
  </w:abstractNum>
  <w:abstractNum w:abstractNumId="1">
    <w:nsid w:val="045C6ED0"/>
    <w:multiLevelType w:val="multilevel"/>
    <w:tmpl w:val="045C6E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CD71883"/>
    <w:multiLevelType w:val="multilevel"/>
    <w:tmpl w:val="1CD71883"/>
    <w:lvl w:ilvl="0" w:tentative="0">
      <w:start w:val="1"/>
      <w:numFmt w:val="decimal"/>
      <w:pStyle w:val="24"/>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4">
    <w:nsid w:val="28F86914"/>
    <w:multiLevelType w:val="multilevel"/>
    <w:tmpl w:val="28F86914"/>
    <w:lvl w:ilvl="0" w:tentative="0">
      <w:start w:val="1"/>
      <w:numFmt w:val="decimal"/>
      <w:lvlText w:val="%1."/>
      <w:lvlJc w:val="left"/>
      <w:pPr>
        <w:ind w:left="425" w:hanging="425"/>
      </w:pPr>
    </w:lvl>
    <w:lvl w:ilvl="1" w:tentative="0">
      <w:start w:val="1"/>
      <w:numFmt w:val="decimal"/>
      <w:pStyle w:val="25"/>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6CC7596"/>
    <w:multiLevelType w:val="multilevel"/>
    <w:tmpl w:val="36CC7596"/>
    <w:lvl w:ilvl="0" w:tentative="0">
      <w:start w:val="1"/>
      <w:numFmt w:val="bullet"/>
      <w:pStyle w:val="32"/>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15237D3"/>
    <w:multiLevelType w:val="multilevel"/>
    <w:tmpl w:val="41523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E7F165A"/>
    <w:multiLevelType w:val="multilevel"/>
    <w:tmpl w:val="4E7F16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A133436"/>
    <w:multiLevelType w:val="multilevel"/>
    <w:tmpl w:val="6A13343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427317"/>
    <w:multiLevelType w:val="multilevel"/>
    <w:tmpl w:val="6C427317"/>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160" w:hanging="36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0">
    <w:nsid w:val="7D173788"/>
    <w:multiLevelType w:val="multilevel"/>
    <w:tmpl w:val="7D17378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9"/>
  </w:num>
  <w:num w:numId="8">
    <w:abstractNumId w:val="7"/>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4C398A"/>
    <w:rsid w:val="00852BEA"/>
    <w:rsid w:val="00B32A70"/>
    <w:rsid w:val="00D94872"/>
    <w:rsid w:val="00FA4DA7"/>
    <w:rsid w:val="013160EA"/>
    <w:rsid w:val="015F30A6"/>
    <w:rsid w:val="01750673"/>
    <w:rsid w:val="019D44F6"/>
    <w:rsid w:val="01B60283"/>
    <w:rsid w:val="01D55A0F"/>
    <w:rsid w:val="01EC51F9"/>
    <w:rsid w:val="01F0403A"/>
    <w:rsid w:val="021C20FD"/>
    <w:rsid w:val="02673D2E"/>
    <w:rsid w:val="02933759"/>
    <w:rsid w:val="02952B3E"/>
    <w:rsid w:val="02EF419F"/>
    <w:rsid w:val="02F14250"/>
    <w:rsid w:val="034C6D12"/>
    <w:rsid w:val="03921535"/>
    <w:rsid w:val="03AA7AEB"/>
    <w:rsid w:val="03B71CD9"/>
    <w:rsid w:val="03CD1A9F"/>
    <w:rsid w:val="03E37CED"/>
    <w:rsid w:val="03F32506"/>
    <w:rsid w:val="043930DC"/>
    <w:rsid w:val="04405E89"/>
    <w:rsid w:val="04544226"/>
    <w:rsid w:val="04587CAC"/>
    <w:rsid w:val="047B6F67"/>
    <w:rsid w:val="04870C01"/>
    <w:rsid w:val="048C19AA"/>
    <w:rsid w:val="05024D75"/>
    <w:rsid w:val="050A0E00"/>
    <w:rsid w:val="05266597"/>
    <w:rsid w:val="05627265"/>
    <w:rsid w:val="05664AE4"/>
    <w:rsid w:val="05B314C7"/>
    <w:rsid w:val="05B922DB"/>
    <w:rsid w:val="05BD0878"/>
    <w:rsid w:val="06024C1C"/>
    <w:rsid w:val="061752D8"/>
    <w:rsid w:val="06361B61"/>
    <w:rsid w:val="067563E0"/>
    <w:rsid w:val="067A44AE"/>
    <w:rsid w:val="068421E9"/>
    <w:rsid w:val="06DA7D4B"/>
    <w:rsid w:val="06E728E4"/>
    <w:rsid w:val="06FB1B4F"/>
    <w:rsid w:val="0701348E"/>
    <w:rsid w:val="072A2FCD"/>
    <w:rsid w:val="074628FE"/>
    <w:rsid w:val="07705CC0"/>
    <w:rsid w:val="07D02006"/>
    <w:rsid w:val="07FB7B6C"/>
    <w:rsid w:val="083B16CD"/>
    <w:rsid w:val="08B82ECE"/>
    <w:rsid w:val="08BA0261"/>
    <w:rsid w:val="08DE6C5B"/>
    <w:rsid w:val="0906407A"/>
    <w:rsid w:val="09132AFC"/>
    <w:rsid w:val="091A6792"/>
    <w:rsid w:val="093F0D49"/>
    <w:rsid w:val="09535507"/>
    <w:rsid w:val="09697100"/>
    <w:rsid w:val="098B26BC"/>
    <w:rsid w:val="09B15CE4"/>
    <w:rsid w:val="09DA06B8"/>
    <w:rsid w:val="09ED1BCF"/>
    <w:rsid w:val="09F95CF3"/>
    <w:rsid w:val="0A016C1D"/>
    <w:rsid w:val="0A503B7A"/>
    <w:rsid w:val="0A7F7185"/>
    <w:rsid w:val="0A983F6E"/>
    <w:rsid w:val="0A9B4108"/>
    <w:rsid w:val="0AAD6492"/>
    <w:rsid w:val="0AB20B7F"/>
    <w:rsid w:val="0B0D77B0"/>
    <w:rsid w:val="0B863DB7"/>
    <w:rsid w:val="0B8D7CFF"/>
    <w:rsid w:val="0BDD5611"/>
    <w:rsid w:val="0C0F2856"/>
    <w:rsid w:val="0C2F7405"/>
    <w:rsid w:val="0C510D41"/>
    <w:rsid w:val="0C552316"/>
    <w:rsid w:val="0C5651C9"/>
    <w:rsid w:val="0C831159"/>
    <w:rsid w:val="0D1E4452"/>
    <w:rsid w:val="0D3C6F97"/>
    <w:rsid w:val="0D4B5F8A"/>
    <w:rsid w:val="0DAF68A6"/>
    <w:rsid w:val="0DE162B1"/>
    <w:rsid w:val="0DE7465B"/>
    <w:rsid w:val="0E03571F"/>
    <w:rsid w:val="0E444572"/>
    <w:rsid w:val="0E47248F"/>
    <w:rsid w:val="0E4833FA"/>
    <w:rsid w:val="0E52228D"/>
    <w:rsid w:val="0E73251E"/>
    <w:rsid w:val="0E760F3B"/>
    <w:rsid w:val="0E8335E0"/>
    <w:rsid w:val="0E8E1971"/>
    <w:rsid w:val="0E9618F3"/>
    <w:rsid w:val="0EA16757"/>
    <w:rsid w:val="0EAB2EBF"/>
    <w:rsid w:val="0EB12E2A"/>
    <w:rsid w:val="0F0A6D3C"/>
    <w:rsid w:val="0F143729"/>
    <w:rsid w:val="0F1552D5"/>
    <w:rsid w:val="0F601CC9"/>
    <w:rsid w:val="0F887312"/>
    <w:rsid w:val="0FA54B7F"/>
    <w:rsid w:val="0FAC242A"/>
    <w:rsid w:val="0FC469D3"/>
    <w:rsid w:val="0FD934C0"/>
    <w:rsid w:val="102313C5"/>
    <w:rsid w:val="102C47A2"/>
    <w:rsid w:val="102D5161"/>
    <w:rsid w:val="105C2E66"/>
    <w:rsid w:val="108A5F33"/>
    <w:rsid w:val="108F1D6A"/>
    <w:rsid w:val="10C45D0D"/>
    <w:rsid w:val="10DC5453"/>
    <w:rsid w:val="10E62A72"/>
    <w:rsid w:val="10F42D61"/>
    <w:rsid w:val="110732FE"/>
    <w:rsid w:val="1110038B"/>
    <w:rsid w:val="11212786"/>
    <w:rsid w:val="115F5E25"/>
    <w:rsid w:val="11E54EEB"/>
    <w:rsid w:val="11F25C87"/>
    <w:rsid w:val="127C300E"/>
    <w:rsid w:val="12F627A9"/>
    <w:rsid w:val="136B2AB1"/>
    <w:rsid w:val="139748B1"/>
    <w:rsid w:val="13E36F2F"/>
    <w:rsid w:val="143F2D26"/>
    <w:rsid w:val="1475649E"/>
    <w:rsid w:val="14892F40"/>
    <w:rsid w:val="148A4F57"/>
    <w:rsid w:val="14B44CE1"/>
    <w:rsid w:val="14D13334"/>
    <w:rsid w:val="15027B20"/>
    <w:rsid w:val="15714A4D"/>
    <w:rsid w:val="15776508"/>
    <w:rsid w:val="15CA6DCF"/>
    <w:rsid w:val="15CB0E9D"/>
    <w:rsid w:val="15E613BF"/>
    <w:rsid w:val="162B19EB"/>
    <w:rsid w:val="16857815"/>
    <w:rsid w:val="16D258FA"/>
    <w:rsid w:val="16E24019"/>
    <w:rsid w:val="16FD5875"/>
    <w:rsid w:val="17450531"/>
    <w:rsid w:val="175029F7"/>
    <w:rsid w:val="17522997"/>
    <w:rsid w:val="176E675D"/>
    <w:rsid w:val="179E5B2C"/>
    <w:rsid w:val="17A91C7B"/>
    <w:rsid w:val="17CC454C"/>
    <w:rsid w:val="18103806"/>
    <w:rsid w:val="18261E12"/>
    <w:rsid w:val="184C6A57"/>
    <w:rsid w:val="1889564E"/>
    <w:rsid w:val="189A1A6C"/>
    <w:rsid w:val="18A21A93"/>
    <w:rsid w:val="18F47AB6"/>
    <w:rsid w:val="1904614D"/>
    <w:rsid w:val="190E77FA"/>
    <w:rsid w:val="19353BC9"/>
    <w:rsid w:val="19444E47"/>
    <w:rsid w:val="19CE27FE"/>
    <w:rsid w:val="19E81E23"/>
    <w:rsid w:val="19F55BA5"/>
    <w:rsid w:val="1A493BFB"/>
    <w:rsid w:val="1AA822B7"/>
    <w:rsid w:val="1AA8653E"/>
    <w:rsid w:val="1AE17147"/>
    <w:rsid w:val="1B0360E6"/>
    <w:rsid w:val="1B905946"/>
    <w:rsid w:val="1BD758F9"/>
    <w:rsid w:val="1BEC025E"/>
    <w:rsid w:val="1C511810"/>
    <w:rsid w:val="1C5C39A1"/>
    <w:rsid w:val="1C895B5E"/>
    <w:rsid w:val="1C990377"/>
    <w:rsid w:val="1CA70991"/>
    <w:rsid w:val="1CF87F2D"/>
    <w:rsid w:val="1D4D14D4"/>
    <w:rsid w:val="1D84721B"/>
    <w:rsid w:val="1D894E4C"/>
    <w:rsid w:val="1D8B40F0"/>
    <w:rsid w:val="1DEA0522"/>
    <w:rsid w:val="1DED6D38"/>
    <w:rsid w:val="1E1E4F79"/>
    <w:rsid w:val="1E3C6B0E"/>
    <w:rsid w:val="1E825658"/>
    <w:rsid w:val="1E8D7EF7"/>
    <w:rsid w:val="1E9639F9"/>
    <w:rsid w:val="1EC272B3"/>
    <w:rsid w:val="1EDC1290"/>
    <w:rsid w:val="1F125588"/>
    <w:rsid w:val="1F18035E"/>
    <w:rsid w:val="1F371804"/>
    <w:rsid w:val="1F466CDC"/>
    <w:rsid w:val="1F7A5EB1"/>
    <w:rsid w:val="1F7B3932"/>
    <w:rsid w:val="1F8D4ED2"/>
    <w:rsid w:val="1F943ED7"/>
    <w:rsid w:val="1FDA4FD1"/>
    <w:rsid w:val="20116206"/>
    <w:rsid w:val="20294462"/>
    <w:rsid w:val="20982E05"/>
    <w:rsid w:val="209B3D8A"/>
    <w:rsid w:val="211E3D79"/>
    <w:rsid w:val="219D08AB"/>
    <w:rsid w:val="21EC5CB5"/>
    <w:rsid w:val="228009F3"/>
    <w:rsid w:val="22B6537E"/>
    <w:rsid w:val="233413AC"/>
    <w:rsid w:val="23531D85"/>
    <w:rsid w:val="2366364A"/>
    <w:rsid w:val="23873D3C"/>
    <w:rsid w:val="23950AF7"/>
    <w:rsid w:val="23A56339"/>
    <w:rsid w:val="23BE6F12"/>
    <w:rsid w:val="23C245B7"/>
    <w:rsid w:val="23C50DBF"/>
    <w:rsid w:val="23DE6169"/>
    <w:rsid w:val="23E2706A"/>
    <w:rsid w:val="2430046E"/>
    <w:rsid w:val="245629B3"/>
    <w:rsid w:val="245F7E75"/>
    <w:rsid w:val="24777489"/>
    <w:rsid w:val="24A86E33"/>
    <w:rsid w:val="24D02576"/>
    <w:rsid w:val="24D032B6"/>
    <w:rsid w:val="24FF6CAD"/>
    <w:rsid w:val="25036BCC"/>
    <w:rsid w:val="25630792"/>
    <w:rsid w:val="25B03517"/>
    <w:rsid w:val="25BE2592"/>
    <w:rsid w:val="25C42A83"/>
    <w:rsid w:val="25DE3A8F"/>
    <w:rsid w:val="25F71FD8"/>
    <w:rsid w:val="25FF7D29"/>
    <w:rsid w:val="26151588"/>
    <w:rsid w:val="26637757"/>
    <w:rsid w:val="268C71B4"/>
    <w:rsid w:val="26BB5CEB"/>
    <w:rsid w:val="26CD6E46"/>
    <w:rsid w:val="271E0236"/>
    <w:rsid w:val="274E038B"/>
    <w:rsid w:val="27750300"/>
    <w:rsid w:val="27781034"/>
    <w:rsid w:val="27EC118E"/>
    <w:rsid w:val="27ED43AC"/>
    <w:rsid w:val="280D55CC"/>
    <w:rsid w:val="28264546"/>
    <w:rsid w:val="286374B5"/>
    <w:rsid w:val="286E6374"/>
    <w:rsid w:val="287B557A"/>
    <w:rsid w:val="28944E1F"/>
    <w:rsid w:val="28AC24C6"/>
    <w:rsid w:val="28B318D9"/>
    <w:rsid w:val="28E11877"/>
    <w:rsid w:val="28E76E28"/>
    <w:rsid w:val="29247F90"/>
    <w:rsid w:val="293B2135"/>
    <w:rsid w:val="2941300F"/>
    <w:rsid w:val="295C4868"/>
    <w:rsid w:val="297A769B"/>
    <w:rsid w:val="298B7936"/>
    <w:rsid w:val="29920D79"/>
    <w:rsid w:val="29C00EFB"/>
    <w:rsid w:val="29C8521C"/>
    <w:rsid w:val="29EF4BE3"/>
    <w:rsid w:val="29EF5058"/>
    <w:rsid w:val="2A246B9F"/>
    <w:rsid w:val="2A334B72"/>
    <w:rsid w:val="2A484543"/>
    <w:rsid w:val="2A874634"/>
    <w:rsid w:val="2AF54989"/>
    <w:rsid w:val="2AFC4314"/>
    <w:rsid w:val="2B0D0850"/>
    <w:rsid w:val="2B255F21"/>
    <w:rsid w:val="2B2704BF"/>
    <w:rsid w:val="2B6F2FCE"/>
    <w:rsid w:val="2B75075B"/>
    <w:rsid w:val="2B751DD6"/>
    <w:rsid w:val="2B98044F"/>
    <w:rsid w:val="2BC12DDB"/>
    <w:rsid w:val="2BCB36E8"/>
    <w:rsid w:val="2BEB3C1D"/>
    <w:rsid w:val="2C512FD6"/>
    <w:rsid w:val="2C856399"/>
    <w:rsid w:val="2CC47634"/>
    <w:rsid w:val="2CCE569A"/>
    <w:rsid w:val="2CF27D6E"/>
    <w:rsid w:val="2D4F12E5"/>
    <w:rsid w:val="2D5A693B"/>
    <w:rsid w:val="2D855AFD"/>
    <w:rsid w:val="2DB85923"/>
    <w:rsid w:val="2DEA2441"/>
    <w:rsid w:val="2E047B0F"/>
    <w:rsid w:val="2E144526"/>
    <w:rsid w:val="2E4D1CB1"/>
    <w:rsid w:val="2E9D61B9"/>
    <w:rsid w:val="2F3632AC"/>
    <w:rsid w:val="2F532CB4"/>
    <w:rsid w:val="2FAE3CA2"/>
    <w:rsid w:val="2FC071F5"/>
    <w:rsid w:val="30CA63B5"/>
    <w:rsid w:val="30D92455"/>
    <w:rsid w:val="30DD1A9D"/>
    <w:rsid w:val="31290177"/>
    <w:rsid w:val="316A1D5C"/>
    <w:rsid w:val="3195441F"/>
    <w:rsid w:val="31C10AF9"/>
    <w:rsid w:val="3206512E"/>
    <w:rsid w:val="3238450B"/>
    <w:rsid w:val="32657BC9"/>
    <w:rsid w:val="32855FEF"/>
    <w:rsid w:val="328E46F0"/>
    <w:rsid w:val="32BE75E9"/>
    <w:rsid w:val="32C87D5D"/>
    <w:rsid w:val="32D520C3"/>
    <w:rsid w:val="32E31C0C"/>
    <w:rsid w:val="32EF2AEF"/>
    <w:rsid w:val="33047BC2"/>
    <w:rsid w:val="334D7B0E"/>
    <w:rsid w:val="33732C8D"/>
    <w:rsid w:val="339D48BD"/>
    <w:rsid w:val="34052FE8"/>
    <w:rsid w:val="340F3AEE"/>
    <w:rsid w:val="343A3101"/>
    <w:rsid w:val="343F6D1F"/>
    <w:rsid w:val="34673F86"/>
    <w:rsid w:val="346C4EB3"/>
    <w:rsid w:val="34E238D0"/>
    <w:rsid w:val="355E1B0D"/>
    <w:rsid w:val="356D4C1C"/>
    <w:rsid w:val="356F3389"/>
    <w:rsid w:val="35841B88"/>
    <w:rsid w:val="35920655"/>
    <w:rsid w:val="35B14C51"/>
    <w:rsid w:val="35D03558"/>
    <w:rsid w:val="36235561"/>
    <w:rsid w:val="363776A6"/>
    <w:rsid w:val="363D610B"/>
    <w:rsid w:val="36915B95"/>
    <w:rsid w:val="36B93F76"/>
    <w:rsid w:val="36C572E8"/>
    <w:rsid w:val="370B27EA"/>
    <w:rsid w:val="3733791C"/>
    <w:rsid w:val="37761015"/>
    <w:rsid w:val="37AF57D1"/>
    <w:rsid w:val="37CE75B8"/>
    <w:rsid w:val="37FD60EC"/>
    <w:rsid w:val="3810372D"/>
    <w:rsid w:val="382B2371"/>
    <w:rsid w:val="384C0455"/>
    <w:rsid w:val="385641FC"/>
    <w:rsid w:val="38617EBA"/>
    <w:rsid w:val="38632BB2"/>
    <w:rsid w:val="388A60C7"/>
    <w:rsid w:val="38CA6159"/>
    <w:rsid w:val="38D22C11"/>
    <w:rsid w:val="39401BFB"/>
    <w:rsid w:val="39625815"/>
    <w:rsid w:val="398F2FFF"/>
    <w:rsid w:val="39C9414C"/>
    <w:rsid w:val="39D733F3"/>
    <w:rsid w:val="3A48262C"/>
    <w:rsid w:val="3A780D8C"/>
    <w:rsid w:val="3A811618"/>
    <w:rsid w:val="3A871F12"/>
    <w:rsid w:val="3AC84000"/>
    <w:rsid w:val="3B0C0E48"/>
    <w:rsid w:val="3B1278F8"/>
    <w:rsid w:val="3B246918"/>
    <w:rsid w:val="3B385709"/>
    <w:rsid w:val="3B3C6BDC"/>
    <w:rsid w:val="3B7017BE"/>
    <w:rsid w:val="3B8A62BD"/>
    <w:rsid w:val="3C8C1362"/>
    <w:rsid w:val="3CA72347"/>
    <w:rsid w:val="3CC36BB7"/>
    <w:rsid w:val="3CF555AF"/>
    <w:rsid w:val="3D2902E7"/>
    <w:rsid w:val="3D2C41CD"/>
    <w:rsid w:val="3D635B43"/>
    <w:rsid w:val="3D653E7E"/>
    <w:rsid w:val="3D7041F7"/>
    <w:rsid w:val="3D9E6F85"/>
    <w:rsid w:val="3DDD580C"/>
    <w:rsid w:val="3DE42F47"/>
    <w:rsid w:val="3DF77869"/>
    <w:rsid w:val="3E1023BB"/>
    <w:rsid w:val="3E262B97"/>
    <w:rsid w:val="3E380E7B"/>
    <w:rsid w:val="3E651A1E"/>
    <w:rsid w:val="3E8168B5"/>
    <w:rsid w:val="3E8E5630"/>
    <w:rsid w:val="3E9B6EC4"/>
    <w:rsid w:val="3EA70758"/>
    <w:rsid w:val="3EA72C03"/>
    <w:rsid w:val="3EA93C5B"/>
    <w:rsid w:val="3EBA1977"/>
    <w:rsid w:val="3ED951C1"/>
    <w:rsid w:val="3EFB495F"/>
    <w:rsid w:val="3F16680E"/>
    <w:rsid w:val="3F5F4684"/>
    <w:rsid w:val="3F8A6EA3"/>
    <w:rsid w:val="3F9119DB"/>
    <w:rsid w:val="3FA376F7"/>
    <w:rsid w:val="3FD47EC6"/>
    <w:rsid w:val="3FFF200F"/>
    <w:rsid w:val="40243148"/>
    <w:rsid w:val="40650AFA"/>
    <w:rsid w:val="40857AC1"/>
    <w:rsid w:val="40A11D0E"/>
    <w:rsid w:val="40E23A76"/>
    <w:rsid w:val="40FA572A"/>
    <w:rsid w:val="410305B7"/>
    <w:rsid w:val="41152B71"/>
    <w:rsid w:val="411959C4"/>
    <w:rsid w:val="41B57819"/>
    <w:rsid w:val="42F9196C"/>
    <w:rsid w:val="4311654F"/>
    <w:rsid w:val="431D1053"/>
    <w:rsid w:val="432702BD"/>
    <w:rsid w:val="432D21C6"/>
    <w:rsid w:val="43354D77"/>
    <w:rsid w:val="43672AD4"/>
    <w:rsid w:val="43764680"/>
    <w:rsid w:val="43B41379"/>
    <w:rsid w:val="43B86527"/>
    <w:rsid w:val="43BA782C"/>
    <w:rsid w:val="43BF1735"/>
    <w:rsid w:val="43C95804"/>
    <w:rsid w:val="43F32078"/>
    <w:rsid w:val="43FF67FA"/>
    <w:rsid w:val="445D471B"/>
    <w:rsid w:val="44900788"/>
    <w:rsid w:val="44BB3B8B"/>
    <w:rsid w:val="44DC1504"/>
    <w:rsid w:val="45004DF1"/>
    <w:rsid w:val="45177768"/>
    <w:rsid w:val="45316488"/>
    <w:rsid w:val="453B2FDD"/>
    <w:rsid w:val="455945D3"/>
    <w:rsid w:val="4574469F"/>
    <w:rsid w:val="458D1FD6"/>
    <w:rsid w:val="458D47CC"/>
    <w:rsid w:val="45EA0818"/>
    <w:rsid w:val="45EB2FC3"/>
    <w:rsid w:val="464D77E5"/>
    <w:rsid w:val="465F64F8"/>
    <w:rsid w:val="46664330"/>
    <w:rsid w:val="46783E04"/>
    <w:rsid w:val="46936C54"/>
    <w:rsid w:val="469F3CE9"/>
    <w:rsid w:val="46A318D8"/>
    <w:rsid w:val="4797437E"/>
    <w:rsid w:val="47D71054"/>
    <w:rsid w:val="47ED4ACB"/>
    <w:rsid w:val="47F0302B"/>
    <w:rsid w:val="47FC65D3"/>
    <w:rsid w:val="482A57C6"/>
    <w:rsid w:val="4838361C"/>
    <w:rsid w:val="48695BB6"/>
    <w:rsid w:val="48D760DD"/>
    <w:rsid w:val="48FD384B"/>
    <w:rsid w:val="48FE4B50"/>
    <w:rsid w:val="491442C2"/>
    <w:rsid w:val="491F72E5"/>
    <w:rsid w:val="496766AE"/>
    <w:rsid w:val="49B358F8"/>
    <w:rsid w:val="49B731BC"/>
    <w:rsid w:val="49DE7388"/>
    <w:rsid w:val="4A007BF5"/>
    <w:rsid w:val="4A0B5E3B"/>
    <w:rsid w:val="4A3B18D8"/>
    <w:rsid w:val="4A412E3D"/>
    <w:rsid w:val="4AE46FAA"/>
    <w:rsid w:val="4AE607D1"/>
    <w:rsid w:val="4AEE1D33"/>
    <w:rsid w:val="4B1D282A"/>
    <w:rsid w:val="4B6C7D72"/>
    <w:rsid w:val="4BBC374F"/>
    <w:rsid w:val="4C62195E"/>
    <w:rsid w:val="4C632EB8"/>
    <w:rsid w:val="4C8B505A"/>
    <w:rsid w:val="4D925639"/>
    <w:rsid w:val="4DB12E65"/>
    <w:rsid w:val="4DBF769C"/>
    <w:rsid w:val="4E123DD2"/>
    <w:rsid w:val="4E3E0E1E"/>
    <w:rsid w:val="4E676AE7"/>
    <w:rsid w:val="4E7848CC"/>
    <w:rsid w:val="4E7D2F52"/>
    <w:rsid w:val="4EFD2805"/>
    <w:rsid w:val="4F110D45"/>
    <w:rsid w:val="4F1A4A7A"/>
    <w:rsid w:val="4F2C6535"/>
    <w:rsid w:val="4FB754D4"/>
    <w:rsid w:val="50303C1D"/>
    <w:rsid w:val="50565A62"/>
    <w:rsid w:val="50A53155"/>
    <w:rsid w:val="515D765F"/>
    <w:rsid w:val="519E3DF4"/>
    <w:rsid w:val="51EE606E"/>
    <w:rsid w:val="51F14AEA"/>
    <w:rsid w:val="5210111A"/>
    <w:rsid w:val="521605BB"/>
    <w:rsid w:val="52190875"/>
    <w:rsid w:val="522378D0"/>
    <w:rsid w:val="524428E6"/>
    <w:rsid w:val="529430F7"/>
    <w:rsid w:val="52D62BF7"/>
    <w:rsid w:val="52EB1898"/>
    <w:rsid w:val="53155F5F"/>
    <w:rsid w:val="53563145"/>
    <w:rsid w:val="53853DBC"/>
    <w:rsid w:val="539042C5"/>
    <w:rsid w:val="5395234A"/>
    <w:rsid w:val="53994EB3"/>
    <w:rsid w:val="539A508A"/>
    <w:rsid w:val="53AB6B56"/>
    <w:rsid w:val="53C336DC"/>
    <w:rsid w:val="540E06F6"/>
    <w:rsid w:val="541B7B33"/>
    <w:rsid w:val="547A29E1"/>
    <w:rsid w:val="548206B4"/>
    <w:rsid w:val="54AC63DB"/>
    <w:rsid w:val="54C47EA3"/>
    <w:rsid w:val="54D7075E"/>
    <w:rsid w:val="54E603D9"/>
    <w:rsid w:val="5524243C"/>
    <w:rsid w:val="5556068C"/>
    <w:rsid w:val="5557610E"/>
    <w:rsid w:val="555C2F6B"/>
    <w:rsid w:val="55735655"/>
    <w:rsid w:val="55835CD9"/>
    <w:rsid w:val="55A64F94"/>
    <w:rsid w:val="55A77192"/>
    <w:rsid w:val="55BF1DB3"/>
    <w:rsid w:val="55CE2502"/>
    <w:rsid w:val="55E81280"/>
    <w:rsid w:val="560669DB"/>
    <w:rsid w:val="56586FB6"/>
    <w:rsid w:val="56735468"/>
    <w:rsid w:val="567A51F0"/>
    <w:rsid w:val="573F74DD"/>
    <w:rsid w:val="57642061"/>
    <w:rsid w:val="576519E4"/>
    <w:rsid w:val="576F457F"/>
    <w:rsid w:val="578E395C"/>
    <w:rsid w:val="580A4859"/>
    <w:rsid w:val="580C61B7"/>
    <w:rsid w:val="583D43BE"/>
    <w:rsid w:val="585339EA"/>
    <w:rsid w:val="586C1C5E"/>
    <w:rsid w:val="58723133"/>
    <w:rsid w:val="58AF3655"/>
    <w:rsid w:val="58B06210"/>
    <w:rsid w:val="58D34A11"/>
    <w:rsid w:val="58DD7FD9"/>
    <w:rsid w:val="592B6D10"/>
    <w:rsid w:val="59862596"/>
    <w:rsid w:val="5999038C"/>
    <w:rsid w:val="59AB3DA5"/>
    <w:rsid w:val="59C76153"/>
    <w:rsid w:val="59CC1E60"/>
    <w:rsid w:val="5A1830DC"/>
    <w:rsid w:val="5A36150F"/>
    <w:rsid w:val="5A715E71"/>
    <w:rsid w:val="5ACA1D83"/>
    <w:rsid w:val="5AD90D18"/>
    <w:rsid w:val="5AE106EB"/>
    <w:rsid w:val="5AFB6E83"/>
    <w:rsid w:val="5B13347C"/>
    <w:rsid w:val="5B2150BE"/>
    <w:rsid w:val="5B255422"/>
    <w:rsid w:val="5BC62896"/>
    <w:rsid w:val="5C061C34"/>
    <w:rsid w:val="5C081E39"/>
    <w:rsid w:val="5C140E2A"/>
    <w:rsid w:val="5C1E64FE"/>
    <w:rsid w:val="5CA360E0"/>
    <w:rsid w:val="5CB62FD2"/>
    <w:rsid w:val="5CB80DD5"/>
    <w:rsid w:val="5CFD071C"/>
    <w:rsid w:val="5D2E6FEF"/>
    <w:rsid w:val="5D3A4FFF"/>
    <w:rsid w:val="5D6D4555"/>
    <w:rsid w:val="5D731CE1"/>
    <w:rsid w:val="5D775294"/>
    <w:rsid w:val="5E257B0C"/>
    <w:rsid w:val="5E4F470C"/>
    <w:rsid w:val="5E5C1C5F"/>
    <w:rsid w:val="5E803118"/>
    <w:rsid w:val="5F070B58"/>
    <w:rsid w:val="5F0A6B75"/>
    <w:rsid w:val="5F32523B"/>
    <w:rsid w:val="5FA446C4"/>
    <w:rsid w:val="5FD24E35"/>
    <w:rsid w:val="5FD62BC4"/>
    <w:rsid w:val="5FED586D"/>
    <w:rsid w:val="5FF6617D"/>
    <w:rsid w:val="60161254"/>
    <w:rsid w:val="602B65CF"/>
    <w:rsid w:val="603833F8"/>
    <w:rsid w:val="606D3035"/>
    <w:rsid w:val="60BF5BC6"/>
    <w:rsid w:val="60F1769A"/>
    <w:rsid w:val="610D3747"/>
    <w:rsid w:val="61571B12"/>
    <w:rsid w:val="615E5EC7"/>
    <w:rsid w:val="618343F7"/>
    <w:rsid w:val="618A6779"/>
    <w:rsid w:val="61937245"/>
    <w:rsid w:val="61AC7DCD"/>
    <w:rsid w:val="61D91F13"/>
    <w:rsid w:val="624B3D42"/>
    <w:rsid w:val="624D49A8"/>
    <w:rsid w:val="625E1DEF"/>
    <w:rsid w:val="62815D1E"/>
    <w:rsid w:val="628E2591"/>
    <w:rsid w:val="62C2375E"/>
    <w:rsid w:val="62FA005D"/>
    <w:rsid w:val="63041683"/>
    <w:rsid w:val="630C0C8E"/>
    <w:rsid w:val="633D725E"/>
    <w:rsid w:val="638E5D64"/>
    <w:rsid w:val="63B2145E"/>
    <w:rsid w:val="646F46AB"/>
    <w:rsid w:val="648775E1"/>
    <w:rsid w:val="64C92268"/>
    <w:rsid w:val="650D3C56"/>
    <w:rsid w:val="65817756"/>
    <w:rsid w:val="65AC22AE"/>
    <w:rsid w:val="65E55EB8"/>
    <w:rsid w:val="660C34FD"/>
    <w:rsid w:val="66192E8F"/>
    <w:rsid w:val="665367F8"/>
    <w:rsid w:val="6679092A"/>
    <w:rsid w:val="669C3468"/>
    <w:rsid w:val="669F4016"/>
    <w:rsid w:val="66DC6450"/>
    <w:rsid w:val="66DF584A"/>
    <w:rsid w:val="66EA44C5"/>
    <w:rsid w:val="66ED66EB"/>
    <w:rsid w:val="66F150F1"/>
    <w:rsid w:val="67230DC3"/>
    <w:rsid w:val="67416E8F"/>
    <w:rsid w:val="67574764"/>
    <w:rsid w:val="67886E84"/>
    <w:rsid w:val="67926549"/>
    <w:rsid w:val="67E1412C"/>
    <w:rsid w:val="67E75254"/>
    <w:rsid w:val="68594E0E"/>
    <w:rsid w:val="6873631B"/>
    <w:rsid w:val="687F6DAB"/>
    <w:rsid w:val="6894192B"/>
    <w:rsid w:val="68D15906"/>
    <w:rsid w:val="69052A8C"/>
    <w:rsid w:val="69277B67"/>
    <w:rsid w:val="693365A4"/>
    <w:rsid w:val="69811020"/>
    <w:rsid w:val="699A485A"/>
    <w:rsid w:val="69AD47E6"/>
    <w:rsid w:val="69C0748D"/>
    <w:rsid w:val="69D60BF7"/>
    <w:rsid w:val="69E718CB"/>
    <w:rsid w:val="6A042548"/>
    <w:rsid w:val="6A1A5DB4"/>
    <w:rsid w:val="6A7502B2"/>
    <w:rsid w:val="6A7B4437"/>
    <w:rsid w:val="6A93071D"/>
    <w:rsid w:val="6AC05E9A"/>
    <w:rsid w:val="6B255B24"/>
    <w:rsid w:val="6B261E4C"/>
    <w:rsid w:val="6B426304"/>
    <w:rsid w:val="6B8E6784"/>
    <w:rsid w:val="6BA1401F"/>
    <w:rsid w:val="6BEF027A"/>
    <w:rsid w:val="6BF64EAE"/>
    <w:rsid w:val="6C1B3D71"/>
    <w:rsid w:val="6C27270E"/>
    <w:rsid w:val="6C3478BA"/>
    <w:rsid w:val="6C4944F8"/>
    <w:rsid w:val="6CCC0825"/>
    <w:rsid w:val="6CD22B83"/>
    <w:rsid w:val="6D4B7102"/>
    <w:rsid w:val="6D7A4909"/>
    <w:rsid w:val="6D9F2D94"/>
    <w:rsid w:val="6DB92180"/>
    <w:rsid w:val="6E334459"/>
    <w:rsid w:val="6E3D06F9"/>
    <w:rsid w:val="6E976A5C"/>
    <w:rsid w:val="6E9944A2"/>
    <w:rsid w:val="6EB06A9D"/>
    <w:rsid w:val="6EBB30B8"/>
    <w:rsid w:val="6ECE63E5"/>
    <w:rsid w:val="6F252AE8"/>
    <w:rsid w:val="6F2E6A64"/>
    <w:rsid w:val="6F3429E5"/>
    <w:rsid w:val="6F370FC4"/>
    <w:rsid w:val="6F536F56"/>
    <w:rsid w:val="6F8336CE"/>
    <w:rsid w:val="6F917A44"/>
    <w:rsid w:val="702A0582"/>
    <w:rsid w:val="703F2EFC"/>
    <w:rsid w:val="71066EA0"/>
    <w:rsid w:val="713118C3"/>
    <w:rsid w:val="714F68F5"/>
    <w:rsid w:val="716F3FB7"/>
    <w:rsid w:val="71A053FA"/>
    <w:rsid w:val="71E9735E"/>
    <w:rsid w:val="7202419A"/>
    <w:rsid w:val="72314CE9"/>
    <w:rsid w:val="728A58AF"/>
    <w:rsid w:val="72FE6D4D"/>
    <w:rsid w:val="73252FF8"/>
    <w:rsid w:val="733D22AC"/>
    <w:rsid w:val="73855277"/>
    <w:rsid w:val="738A4755"/>
    <w:rsid w:val="738B621F"/>
    <w:rsid w:val="73AD5399"/>
    <w:rsid w:val="73B726D3"/>
    <w:rsid w:val="73B87048"/>
    <w:rsid w:val="73CB0E8D"/>
    <w:rsid w:val="7455371B"/>
    <w:rsid w:val="74597B71"/>
    <w:rsid w:val="74BA6911"/>
    <w:rsid w:val="74CA3328"/>
    <w:rsid w:val="75597714"/>
    <w:rsid w:val="760B1816"/>
    <w:rsid w:val="76D0681C"/>
    <w:rsid w:val="76F779E7"/>
    <w:rsid w:val="770F1364"/>
    <w:rsid w:val="772F6429"/>
    <w:rsid w:val="77912322"/>
    <w:rsid w:val="77D309AE"/>
    <w:rsid w:val="7811029E"/>
    <w:rsid w:val="78304CBF"/>
    <w:rsid w:val="785139D4"/>
    <w:rsid w:val="786D1EFA"/>
    <w:rsid w:val="78A10475"/>
    <w:rsid w:val="78A93460"/>
    <w:rsid w:val="79027215"/>
    <w:rsid w:val="793242A5"/>
    <w:rsid w:val="79602E32"/>
    <w:rsid w:val="79980F9D"/>
    <w:rsid w:val="79B157E7"/>
    <w:rsid w:val="79C83CA2"/>
    <w:rsid w:val="79D143EB"/>
    <w:rsid w:val="7A0016B7"/>
    <w:rsid w:val="7A0974EF"/>
    <w:rsid w:val="7A48166A"/>
    <w:rsid w:val="7A5C152B"/>
    <w:rsid w:val="7AD64885"/>
    <w:rsid w:val="7AEB776A"/>
    <w:rsid w:val="7AFA5152"/>
    <w:rsid w:val="7B563DBB"/>
    <w:rsid w:val="7B8A11BD"/>
    <w:rsid w:val="7BF2279A"/>
    <w:rsid w:val="7C481B70"/>
    <w:rsid w:val="7C5E7961"/>
    <w:rsid w:val="7C8021FC"/>
    <w:rsid w:val="7CB155B3"/>
    <w:rsid w:val="7D087430"/>
    <w:rsid w:val="7D1D5F8E"/>
    <w:rsid w:val="7D264462"/>
    <w:rsid w:val="7D631D66"/>
    <w:rsid w:val="7DBD7E58"/>
    <w:rsid w:val="7DC57B2F"/>
    <w:rsid w:val="7DD50326"/>
    <w:rsid w:val="7E163DBB"/>
    <w:rsid w:val="7E4C7A01"/>
    <w:rsid w:val="7E6A1339"/>
    <w:rsid w:val="7E875323"/>
    <w:rsid w:val="7E935DD4"/>
    <w:rsid w:val="7E947EBC"/>
    <w:rsid w:val="7EAD0921"/>
    <w:rsid w:val="7EB85AF2"/>
    <w:rsid w:val="7EC34AF2"/>
    <w:rsid w:val="7ECD6C75"/>
    <w:rsid w:val="7EEC634C"/>
    <w:rsid w:val="7EFA7860"/>
    <w:rsid w:val="7F066EF6"/>
    <w:rsid w:val="7F1230F7"/>
    <w:rsid w:val="7F257521"/>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Body Text"/>
    <w:basedOn w:val="1"/>
    <w:qFormat/>
    <w:uiPriority w:val="0"/>
    <w:rPr>
      <w:sz w:val="20"/>
      <w:szCs w:val="20"/>
    </w:rPr>
  </w:style>
  <w:style w:type="table" w:styleId="9">
    <w:name w:val="Table Grid"/>
    <w:basedOn w:val="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1">
    <w:name w:val="Emphasis"/>
    <w:qFormat/>
    <w:uiPriority w:val="20"/>
    <w:rPr>
      <w:i/>
      <w:iCs/>
    </w:rPr>
  </w:style>
  <w:style w:type="character" w:styleId="12">
    <w:name w:val="Hyperlink"/>
    <w:basedOn w:val="10"/>
    <w:qFormat/>
    <w:uiPriority w:val="0"/>
    <w:rPr>
      <w:color w:val="0000FF"/>
      <w:u w:val="single"/>
    </w:rPr>
  </w:style>
  <w:style w:type="character" w:customStyle="1" w:styleId="13">
    <w:name w:val="MTEquationSection"/>
    <w:basedOn w:val="10"/>
    <w:qFormat/>
    <w:uiPriority w:val="0"/>
    <w:rPr>
      <w:b/>
      <w:vanish/>
      <w:color w:val="FF0000"/>
      <w:lang w:eastAsia="zh-CN"/>
    </w:rPr>
  </w:style>
  <w:style w:type="paragraph" w:styleId="14">
    <w:name w:val="List Paragraph"/>
    <w:basedOn w:val="1"/>
    <w:qFormat/>
    <w:uiPriority w:val="34"/>
    <w:pPr>
      <w:ind w:firstLine="420" w:firstLineChars="200"/>
    </w:pPr>
    <w:rPr>
      <w:rFonts w:ascii="宋体" w:hAnsi="宋体" w:eastAsia="宋体"/>
      <w:sz w:val="24"/>
      <w:szCs w:val="24"/>
    </w:rPr>
  </w:style>
  <w:style w:type="paragraph" w:customStyle="1" w:styleId="15">
    <w:name w:val="00_text"/>
    <w:basedOn w:val="1"/>
    <w:qFormat/>
    <w:uiPriority w:val="0"/>
    <w:pPr>
      <w:spacing w:before="120" w:after="100" w:afterAutospacing="1" w:line="288" w:lineRule="auto"/>
      <w:ind w:firstLine="360"/>
      <w:jc w:val="both"/>
    </w:pPr>
    <w:rPr>
      <w:sz w:val="21"/>
      <w:lang w:eastAsia="zh-CN"/>
    </w:rPr>
  </w:style>
  <w:style w:type="character" w:customStyle="1" w:styleId="16">
    <w:name w:val="fontstyle01"/>
    <w:basedOn w:val="10"/>
    <w:qFormat/>
    <w:uiPriority w:val="0"/>
    <w:rPr>
      <w:rFonts w:ascii="CIDFont + F14" w:hAnsi="CIDFont + F14" w:eastAsia="CIDFont + F14" w:cs="CIDFont + F14"/>
      <w:color w:val="000000"/>
      <w:sz w:val="16"/>
      <w:szCs w:val="16"/>
    </w:rPr>
  </w:style>
  <w:style w:type="character" w:customStyle="1" w:styleId="17">
    <w:name w:val="apple-converted-space"/>
    <w:basedOn w:val="10"/>
    <w:qFormat/>
    <w:uiPriority w:val="0"/>
  </w:style>
  <w:style w:type="paragraph" w:customStyle="1" w:styleId="18">
    <w:name w:val="TH"/>
    <w:basedOn w:val="1"/>
    <w:qFormat/>
    <w:uiPriority w:val="0"/>
    <w:pPr>
      <w:keepNext/>
      <w:keepLines/>
      <w:spacing w:before="60"/>
      <w:jc w:val="center"/>
    </w:pPr>
    <w:rPr>
      <w:rFonts w:ascii="Arial" w:hAnsi="Arial"/>
      <w:b/>
      <w:lang w:val="zh-CN"/>
    </w:rPr>
  </w:style>
  <w:style w:type="paragraph" w:customStyle="1" w:styleId="19">
    <w:name w:val="TAH"/>
    <w:basedOn w:val="20"/>
    <w:qFormat/>
    <w:uiPriority w:val="0"/>
    <w:rPr>
      <w:b/>
    </w:rPr>
  </w:style>
  <w:style w:type="paragraph" w:customStyle="1" w:styleId="20">
    <w:name w:val="TAC"/>
    <w:basedOn w:val="21"/>
    <w:qFormat/>
    <w:uiPriority w:val="0"/>
    <w:pPr>
      <w:jc w:val="center"/>
    </w:pPr>
  </w:style>
  <w:style w:type="paragraph" w:customStyle="1" w:styleId="21">
    <w:name w:val="TAL"/>
    <w:basedOn w:val="1"/>
    <w:qFormat/>
    <w:uiPriority w:val="0"/>
    <w:pPr>
      <w:keepNext/>
      <w:keepLines/>
      <w:spacing w:after="0"/>
    </w:pPr>
    <w:rPr>
      <w:rFonts w:ascii="Arial" w:hAnsi="Arial"/>
      <w:sz w:val="18"/>
      <w:lang w:val="zh-CN"/>
    </w:rPr>
  </w:style>
  <w:style w:type="paragraph" w:customStyle="1" w:styleId="22">
    <w:name w:val="B3"/>
    <w:basedOn w:val="1"/>
    <w:qFormat/>
    <w:uiPriority w:val="0"/>
    <w:pPr>
      <w:ind w:left="1135" w:hanging="284"/>
    </w:pPr>
    <w:rPr>
      <w:lang w:val="zh-CN"/>
    </w:rPr>
  </w:style>
  <w:style w:type="paragraph" w:customStyle="1" w:styleId="23">
    <w:name w:val="B4"/>
    <w:basedOn w:val="1"/>
    <w:qFormat/>
    <w:uiPriority w:val="0"/>
    <w:pPr>
      <w:ind w:left="1418" w:hanging="284"/>
    </w:pPr>
  </w:style>
  <w:style w:type="paragraph" w:customStyle="1" w:styleId="24">
    <w:name w:val="proposal"/>
    <w:basedOn w:val="7"/>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5">
    <w:name w:val="title 2"/>
    <w:basedOn w:val="3"/>
    <w:next w:val="1"/>
    <w:qFormat/>
    <w:uiPriority w:val="0"/>
    <w:pPr>
      <w:numPr>
        <w:ilvl w:val="1"/>
        <w:numId w:val="3"/>
      </w:numPr>
    </w:pPr>
    <w:rPr>
      <w:rFonts w:eastAsia="Arial"/>
      <w:sz w:val="28"/>
    </w:rPr>
  </w:style>
  <w:style w:type="paragraph" w:customStyle="1" w:styleId="26">
    <w:name w:val="B1"/>
    <w:basedOn w:val="1"/>
    <w:qFormat/>
    <w:uiPriority w:val="0"/>
    <w:pPr>
      <w:ind w:left="568" w:hanging="284"/>
    </w:pPr>
    <w:rPr>
      <w:lang w:val="zh-CN"/>
    </w:rPr>
  </w:style>
  <w:style w:type="paragraph" w:customStyle="1" w:styleId="27">
    <w:name w:val="B2"/>
    <w:basedOn w:val="1"/>
    <w:qFormat/>
    <w:uiPriority w:val="0"/>
    <w:pPr>
      <w:ind w:left="851" w:hanging="284"/>
    </w:pPr>
    <w:rPr>
      <w:lang w:val="zh-CN"/>
    </w:rPr>
  </w:style>
  <w:style w:type="paragraph" w:customStyle="1" w:styleId="28">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29">
    <w:name w:val="0 Main text"/>
    <w:basedOn w:val="30"/>
    <w:qFormat/>
    <w:uiPriority w:val="0"/>
    <w:pPr>
      <w:spacing w:before="0" w:after="100" w:afterAutospacing="1"/>
      <w:ind w:firstLine="360" w:firstLineChars="0"/>
    </w:pPr>
    <w:rPr>
      <w:sz w:val="20"/>
      <w:lang w:eastAsia="en-US"/>
    </w:rPr>
  </w:style>
  <w:style w:type="paragraph" w:customStyle="1" w:styleId="30">
    <w:name w:val="main text"/>
    <w:basedOn w:val="1"/>
    <w:qFormat/>
    <w:uiPriority w:val="0"/>
    <w:pPr>
      <w:spacing w:before="60" w:after="60" w:line="288" w:lineRule="auto"/>
      <w:ind w:firstLine="200" w:firstLineChars="200"/>
      <w:jc w:val="both"/>
    </w:pPr>
    <w:rPr>
      <w:rFonts w:cs="바탕"/>
      <w:lang w:eastAsia="ko-KR"/>
    </w:rPr>
  </w:style>
  <w:style w:type="paragraph" w:customStyle="1" w:styleId="31">
    <w:name w:val="boldbullet1"/>
    <w:basedOn w:val="32"/>
    <w:qFormat/>
    <w:uiPriority w:val="0"/>
    <w:rPr>
      <w:b/>
    </w:rPr>
  </w:style>
  <w:style w:type="paragraph" w:customStyle="1" w:styleId="32">
    <w:name w:val="bullet1"/>
    <w:basedOn w:val="1"/>
    <w:qFormat/>
    <w:uiPriority w:val="0"/>
    <w:pPr>
      <w:numPr>
        <w:ilvl w:val="0"/>
        <w:numId w:val="4"/>
      </w:numPr>
      <w:spacing w:after="120"/>
      <w:jc w:val="both"/>
    </w:pPr>
    <w:rPr>
      <w:rFonts w:ascii="Times New Roman" w:hAnsi="Times New Roman" w:eastAsia="宋体"/>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2031</Words>
  <Characters>10262</Characters>
  <Lines>0</Lines>
  <Paragraphs>0</Paragraphs>
  <TotalTime>1</TotalTime>
  <ScaleCrop>false</ScaleCrop>
  <LinksUpToDate>false</LinksUpToDate>
  <CharactersWithSpaces>12255</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tian.li3</cp:lastModifiedBy>
  <dcterms:modified xsi:type="dcterms:W3CDTF">2024-11-07T03:58:06Z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B37428DAC52042C1A576FD53DFAB4D55</vt:lpwstr>
  </property>
</Properties>
</file>