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1D600">
      <w:pPr>
        <w:widowControl w:val="0"/>
        <w:tabs>
          <w:tab w:val="right" w:pos="10206"/>
        </w:tabs>
        <w:spacing w:after="0" w:afterAutospacing="0"/>
        <w:rPr>
          <w:rFonts w:ascii="Arial" w:hAnsi="Arial" w:eastAsia="宋体" w:cs="Arial"/>
          <w:b/>
          <w:sz w:val="28"/>
          <w:szCs w:val="28"/>
          <w:lang w:val="en-US" w:eastAsia="zh-CN"/>
        </w:rPr>
      </w:pPr>
      <w:bookmarkStart w:id="0" w:name="OLE_LINK3"/>
      <w:bookmarkStart w:id="6" w:name="_GoBack"/>
      <w:bookmarkEnd w:id="6"/>
      <w:r>
        <w:rPr>
          <w:rFonts w:ascii="Arial" w:hAnsi="Arial" w:eastAsia="MS Mincho" w:cs="Arial"/>
          <w:b/>
          <w:sz w:val="28"/>
          <w:szCs w:val="28"/>
          <w:lang w:val="en-US"/>
        </w:rPr>
        <w:t>3GPP TSG RAN WG1 #11</w:t>
      </w:r>
      <w:r>
        <w:rPr>
          <w:rFonts w:hint="eastAsia" w:ascii="Arial" w:hAnsi="Arial" w:eastAsia="宋体" w:cs="Arial"/>
          <w:b/>
          <w:sz w:val="28"/>
          <w:szCs w:val="28"/>
          <w:lang w:val="en-US" w:eastAsia="zh-CN"/>
        </w:rPr>
        <w:t>8-bis</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R1-2408252</w:t>
      </w:r>
    </w:p>
    <w:p w14:paraId="550D9636">
      <w:pPr>
        <w:pStyle w:val="6"/>
        <w:tabs>
          <w:tab w:val="right" w:pos="10206"/>
        </w:tabs>
        <w:spacing w:after="0" w:afterAutospacing="0"/>
        <w:rPr>
          <w:rFonts w:cs="Arial"/>
          <w:sz w:val="28"/>
          <w:szCs w:val="28"/>
          <w:lang w:val="en-US"/>
        </w:rPr>
      </w:pPr>
      <w:r>
        <w:rPr>
          <w:rFonts w:hint="eastAsia" w:cs="Arial" w:eastAsiaTheme="minorEastAsia"/>
          <w:sz w:val="28"/>
          <w:szCs w:val="28"/>
          <w:lang w:val="en-US" w:eastAsia="zh-CN"/>
        </w:rPr>
        <w:t>Hefei, China, October 14</w:t>
      </w:r>
      <w:r>
        <w:rPr>
          <w:rFonts w:hint="eastAsia" w:cs="Arial" w:eastAsiaTheme="minorEastAsia"/>
          <w:sz w:val="28"/>
          <w:szCs w:val="28"/>
          <w:vertAlign w:val="superscript"/>
          <w:lang w:val="en-US" w:eastAsia="zh-CN"/>
        </w:rPr>
        <w:t>th</w:t>
      </w:r>
      <w:r>
        <w:rPr>
          <w:rFonts w:hint="eastAsia" w:cs="Arial" w:eastAsiaTheme="minorEastAsia"/>
          <w:sz w:val="28"/>
          <w:szCs w:val="28"/>
          <w:lang w:val="en-US" w:eastAsia="zh-CN"/>
        </w:rPr>
        <w:t xml:space="preserve"> </w:t>
      </w:r>
      <w:r>
        <w:rPr>
          <w:rFonts w:eastAsia="MS Gothic" w:cs="Arial"/>
          <w:sz w:val="28"/>
          <w:szCs w:val="28"/>
        </w:rPr>
        <w:t>–</w:t>
      </w:r>
      <w:r>
        <w:rPr>
          <w:rFonts w:hint="eastAsia" w:eastAsia="宋体" w:cs="Arial"/>
          <w:sz w:val="28"/>
          <w:szCs w:val="28"/>
          <w:lang w:val="en-US" w:eastAsia="zh-CN"/>
        </w:rPr>
        <w:t xml:space="preserve"> 18</w:t>
      </w:r>
      <w:r>
        <w:rPr>
          <w:rFonts w:hint="eastAsia" w:cs="Arial" w:eastAsiaTheme="minorEastAsia"/>
          <w:sz w:val="28"/>
          <w:szCs w:val="28"/>
          <w:vertAlign w:val="superscript"/>
          <w:lang w:val="en-US" w:eastAsia="zh-CN"/>
        </w:rPr>
        <w:t>th</w:t>
      </w:r>
      <w:r>
        <w:rPr>
          <w:rFonts w:hint="eastAsia" w:cs="Arial" w:eastAsiaTheme="minorEastAsia"/>
          <w:sz w:val="28"/>
          <w:szCs w:val="28"/>
          <w:lang w:val="en-US" w:eastAsia="zh-CN"/>
        </w:rPr>
        <w:t>, 2024</w:t>
      </w:r>
    </w:p>
    <w:p w14:paraId="0BC2F290">
      <w:pPr>
        <w:widowControl w:val="0"/>
        <w:tabs>
          <w:tab w:val="right" w:pos="10206"/>
        </w:tabs>
        <w:spacing w:afterAutospacing="0"/>
        <w:rPr>
          <w:rFonts w:eastAsia="宋体"/>
          <w:b/>
          <w:sz w:val="28"/>
          <w:szCs w:val="28"/>
          <w:lang w:val="en-US" w:eastAsia="zh-CN"/>
        </w:rPr>
      </w:pPr>
    </w:p>
    <w:bookmarkEnd w:id="0"/>
    <w:p w14:paraId="6A99F040">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14:paraId="2B033D94">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Discussion on downlink and uplink channel/signal aspects</w:t>
      </w:r>
    </w:p>
    <w:p w14:paraId="5D08F770">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9.4.2.3</w:t>
      </w:r>
    </w:p>
    <w:p w14:paraId="06AD3DC5">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0A6FF3CD">
      <w:pPr>
        <w:pStyle w:val="2"/>
        <w:spacing w:after="180"/>
        <w:rPr>
          <w:lang w:val="en-US"/>
        </w:rPr>
      </w:pPr>
      <w:r>
        <w:rPr>
          <w:lang w:val="en-US"/>
        </w:rPr>
        <w:t>Introduction</w:t>
      </w:r>
      <w:bookmarkEnd w:id="1"/>
    </w:p>
    <w:p w14:paraId="37830B71">
      <w:pPr>
        <w:spacing w:before="100" w:beforeAutospacing="1"/>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41714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119BFFB">
            <w:pPr>
              <w:numPr>
                <w:ilvl w:val="0"/>
                <w:numId w:val="4"/>
              </w:numPr>
              <w:spacing w:after="60" w:afterAutospacing="0"/>
              <w:ind w:right="-96"/>
              <w:rPr>
                <w:rFonts w:eastAsia="宋体"/>
                <w:sz w:val="22"/>
                <w:szCs w:val="18"/>
                <w:lang w:val="en-US"/>
              </w:rPr>
            </w:pPr>
            <w:r>
              <w:rPr>
                <w:rFonts w:hint="eastAsia" w:eastAsia="宋体"/>
                <w:sz w:val="22"/>
                <w:szCs w:val="18"/>
                <w:lang w:val="en-US"/>
              </w:rPr>
              <w:t>RAN1-led:</w:t>
            </w:r>
          </w:p>
          <w:p w14:paraId="1732BB6B">
            <w:pPr>
              <w:spacing w:after="60" w:afterAutospacing="0"/>
              <w:ind w:right="-96" w:firstLine="720"/>
              <w:rPr>
                <w:rFonts w:eastAsia="宋体"/>
                <w:sz w:val="22"/>
                <w:szCs w:val="18"/>
                <w:lang w:val="en-US"/>
              </w:rPr>
            </w:pPr>
            <w:r>
              <w:rPr>
                <w:rFonts w:hint="eastAsia" w:eastAsia="宋体"/>
                <w:sz w:val="22"/>
                <w:szCs w:val="18"/>
                <w:lang w:val="en-US"/>
              </w:rPr>
              <w:t>For the Ambient IoT DL and UL:</w:t>
            </w:r>
          </w:p>
          <w:p w14:paraId="1356F269">
            <w:pPr>
              <w:numPr>
                <w:ilvl w:val="1"/>
                <w:numId w:val="4"/>
              </w:numPr>
              <w:spacing w:after="60" w:afterAutospacing="0"/>
              <w:ind w:right="-96"/>
              <w:rPr>
                <w:rFonts w:eastAsia="宋体"/>
                <w:sz w:val="22"/>
                <w:szCs w:val="18"/>
                <w:lang w:val="en-US"/>
              </w:rPr>
            </w:pPr>
            <w:r>
              <w:rPr>
                <w:rFonts w:hint="eastAsia" w:eastAsia="宋体"/>
                <w:sz w:val="22"/>
                <w:szCs w:val="18"/>
                <w:lang w:val="en-US" w:eastAsia="zh-CN"/>
              </w:rPr>
              <w:t>[...]</w:t>
            </w:r>
          </w:p>
          <w:p w14:paraId="226596BA">
            <w:pPr>
              <w:numPr>
                <w:ilvl w:val="1"/>
                <w:numId w:val="4"/>
              </w:numPr>
              <w:spacing w:after="60" w:afterAutospacing="0"/>
              <w:ind w:right="-96"/>
              <w:rPr>
                <w:rFonts w:eastAsia="宋体"/>
                <w:sz w:val="22"/>
                <w:szCs w:val="18"/>
                <w:lang w:val="en-US"/>
              </w:rPr>
            </w:pPr>
            <w:r>
              <w:rPr>
                <w:rFonts w:hint="eastAsia" w:eastAsia="宋体"/>
                <w:sz w:val="22"/>
                <w:szCs w:val="18"/>
                <w:lang w:val="en-US"/>
              </w:rPr>
              <w:t>Downlink channel/signal aspects</w:t>
            </w:r>
          </w:p>
          <w:p w14:paraId="72747064">
            <w:pPr>
              <w:numPr>
                <w:ilvl w:val="1"/>
                <w:numId w:val="4"/>
              </w:numPr>
              <w:spacing w:after="60" w:afterAutospacing="0"/>
              <w:ind w:right="-96"/>
              <w:rPr>
                <w:rFonts w:eastAsia="宋体"/>
                <w:sz w:val="22"/>
                <w:szCs w:val="18"/>
                <w:lang w:val="en-US"/>
              </w:rPr>
            </w:pPr>
            <w:r>
              <w:rPr>
                <w:rFonts w:hint="eastAsia" w:eastAsia="宋体"/>
                <w:sz w:val="22"/>
                <w:szCs w:val="18"/>
                <w:lang w:val="en-US"/>
              </w:rPr>
              <w:t>Uplink channel/signal aspects</w:t>
            </w:r>
          </w:p>
          <w:p w14:paraId="16E33FA5">
            <w:pPr>
              <w:numPr>
                <w:ilvl w:val="1"/>
                <w:numId w:val="4"/>
              </w:numPr>
              <w:spacing w:after="60" w:afterAutospacing="0"/>
              <w:ind w:right="-96"/>
              <w:rPr>
                <w:rFonts w:eastAsia="MS Mincho"/>
                <w:lang w:val="en-US" w:eastAsia="ko-KR"/>
              </w:rPr>
            </w:pPr>
            <w:r>
              <w:rPr>
                <w:rFonts w:hint="eastAsia" w:eastAsia="宋体"/>
                <w:sz w:val="22"/>
                <w:szCs w:val="18"/>
                <w:lang w:val="en-US" w:eastAsia="zh-CN"/>
              </w:rPr>
              <w:t>[...]</w:t>
            </w:r>
          </w:p>
        </w:tc>
      </w:tr>
    </w:tbl>
    <w:p w14:paraId="6EC8F03F">
      <w:pPr>
        <w:spacing w:before="100" w:beforeAutospacing="1"/>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hint="eastAsia" w:eastAsia="宋体"/>
          <w:lang w:val="en-US" w:eastAsia="zh-CN"/>
        </w:rPr>
        <w:t xml:space="preserve">share </w:t>
      </w:r>
      <w:r>
        <w:rPr>
          <w:rFonts w:eastAsia="宋体"/>
          <w:lang w:val="en-US" w:eastAsia="zh-CN"/>
        </w:rPr>
        <w:t>our views on some</w:t>
      </w:r>
      <w:r>
        <w:rPr>
          <w:rFonts w:hint="eastAsia" w:eastAsia="宋体"/>
          <w:lang w:val="en-US" w:eastAsia="zh-CN"/>
        </w:rPr>
        <w:t xml:space="preserve"> aspects related to</w:t>
      </w:r>
      <w:r>
        <w:rPr>
          <w:rFonts w:eastAsia="宋体"/>
          <w:lang w:val="en-US" w:eastAsia="zh-CN"/>
        </w:rPr>
        <w:t xml:space="preserve"> </w:t>
      </w:r>
      <w:r>
        <w:rPr>
          <w:rFonts w:hint="eastAsia" w:eastAsia="宋体"/>
          <w:lang w:val="en-US" w:eastAsia="zh-CN"/>
        </w:rPr>
        <w:t>R2D (</w:t>
      </w:r>
      <w:r>
        <w:rPr>
          <w:rFonts w:eastAsia="宋体"/>
          <w:lang w:val="en-US" w:eastAsia="zh-CN"/>
        </w:rPr>
        <w:t>“downlink”</w:t>
      </w:r>
      <w:r>
        <w:rPr>
          <w:rFonts w:hint="eastAsia" w:eastAsia="宋体"/>
          <w:lang w:val="en-US" w:eastAsia="zh-CN"/>
        </w:rPr>
        <w:t>)</w:t>
      </w:r>
      <w:r>
        <w:rPr>
          <w:rFonts w:eastAsia="宋体"/>
          <w:lang w:val="en-US" w:eastAsia="zh-CN"/>
        </w:rPr>
        <w:t xml:space="preserve"> and </w:t>
      </w:r>
      <w:r>
        <w:rPr>
          <w:rFonts w:hint="eastAsia" w:eastAsia="宋体"/>
          <w:lang w:val="en-US" w:eastAsia="zh-CN"/>
        </w:rPr>
        <w:t>D2R (</w:t>
      </w:r>
      <w:r>
        <w:rPr>
          <w:rFonts w:eastAsia="宋体"/>
          <w:lang w:val="en-US" w:eastAsia="zh-CN"/>
        </w:rPr>
        <w:t>“uplink”</w:t>
      </w:r>
      <w:r>
        <w:rPr>
          <w:rFonts w:hint="eastAsia" w:eastAsia="宋体"/>
          <w:lang w:val="en-US" w:eastAsia="zh-CN"/>
        </w:rPr>
        <w:t>)</w:t>
      </w:r>
      <w:r>
        <w:rPr>
          <w:rFonts w:eastAsia="宋体"/>
          <w:lang w:val="en-US" w:eastAsia="zh-CN"/>
        </w:rPr>
        <w:t xml:space="preserve"> channel</w:t>
      </w:r>
      <w:r>
        <w:rPr>
          <w:rFonts w:hint="eastAsia" w:eastAsia="宋体"/>
          <w:lang w:val="en-US" w:eastAsia="zh-CN"/>
        </w:rPr>
        <w:t>s</w:t>
      </w:r>
      <w:r>
        <w:rPr>
          <w:rFonts w:eastAsia="宋体"/>
          <w:lang w:val="en-US" w:eastAsia="zh-CN"/>
        </w:rPr>
        <w:t>/signal</w:t>
      </w:r>
      <w:r>
        <w:rPr>
          <w:rFonts w:hint="eastAsia" w:eastAsia="宋体"/>
          <w:lang w:val="en-US" w:eastAsia="zh-CN"/>
        </w:rPr>
        <w:t>s</w:t>
      </w:r>
      <w:r>
        <w:rPr>
          <w:rFonts w:eastAsia="宋体"/>
          <w:lang w:val="en-US" w:eastAsia="zh-CN"/>
        </w:rPr>
        <w:t>.</w:t>
      </w:r>
    </w:p>
    <w:p w14:paraId="2BB803C0">
      <w:pPr>
        <w:pStyle w:val="2"/>
        <w:spacing w:after="180"/>
        <w:rPr>
          <w:lang w:val="en-US"/>
        </w:rPr>
      </w:pPr>
      <w:r>
        <w:rPr>
          <w:lang w:val="en-US"/>
        </w:rPr>
        <w:t>Discussion</w:t>
      </w:r>
    </w:p>
    <w:p w14:paraId="59498F4E">
      <w:pPr>
        <w:pStyle w:val="3"/>
        <w:spacing w:after="180"/>
        <w:rPr>
          <w:lang w:val="en-US" w:eastAsia="zh-CN"/>
        </w:rPr>
      </w:pPr>
      <w:r>
        <w:rPr>
          <w:rFonts w:hint="eastAsia"/>
          <w:lang w:val="en-US" w:eastAsia="zh-CN"/>
        </w:rPr>
        <w:t>R2D (Reader-to-device)</w:t>
      </w:r>
    </w:p>
    <w:p w14:paraId="3C7889BB">
      <w:pPr>
        <w:pStyle w:val="4"/>
        <w:spacing w:after="180"/>
        <w:rPr>
          <w:rFonts w:eastAsia="宋体"/>
          <w:sz w:val="24"/>
          <w:szCs w:val="24"/>
          <w:lang w:val="en-US" w:eastAsia="zh-CN"/>
        </w:rPr>
      </w:pPr>
      <w:r>
        <w:rPr>
          <w:rFonts w:eastAsia="Malgun Gothic"/>
          <w:sz w:val="24"/>
          <w:szCs w:val="24"/>
          <w:lang w:eastAsia="zh-CN"/>
        </w:rPr>
        <w:t xml:space="preserve">R2D </w:t>
      </w:r>
      <w:r>
        <w:rPr>
          <w:rFonts w:hint="eastAsia" w:eastAsia="Malgun Gothic"/>
          <w:sz w:val="24"/>
          <w:szCs w:val="24"/>
          <w:lang w:val="en-US" w:eastAsia="zh-CN"/>
        </w:rPr>
        <w:t>preamble</w:t>
      </w:r>
    </w:p>
    <w:p w14:paraId="3E07504C">
      <w:pPr>
        <w:spacing w:before="100" w:beforeAutospacing="1"/>
        <w:rPr>
          <w:rFonts w:eastAsia="宋体"/>
          <w:lang w:val="en-US" w:eastAsia="zh-CN"/>
        </w:rPr>
      </w:pPr>
      <w:r>
        <w:rPr>
          <w:rFonts w:hint="eastAsia" w:eastAsia="宋体"/>
          <w:lang w:val="en-US" w:eastAsia="zh-CN"/>
        </w:rPr>
        <w:t>The following was agreed in RAN1#118,</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4FE9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32C86DF2">
            <w:pPr>
              <w:pStyle w:val="14"/>
              <w:rPr>
                <w:highlight w:val="green"/>
                <w:lang w:eastAsia="zh-CN"/>
              </w:rPr>
            </w:pPr>
            <w:r>
              <w:rPr>
                <w:highlight w:val="green"/>
                <w:lang w:eastAsia="zh-CN"/>
              </w:rPr>
              <w:t>Agreement</w:t>
            </w:r>
          </w:p>
          <w:p w14:paraId="3AEE0B32">
            <w:pPr>
              <w:pStyle w:val="14"/>
              <w:rPr>
                <w:lang w:eastAsia="zh-CN"/>
              </w:rPr>
            </w:pPr>
            <w:r>
              <w:rPr>
                <w:color w:val="000000"/>
              </w:rPr>
              <w:t>For the start-indicator part of the R2D time acquisition signal, ON/OFF pattern i.e. high/low voltage transmission is applied</w:t>
            </w:r>
          </w:p>
          <w:p w14:paraId="73337878">
            <w:pPr>
              <w:pStyle w:val="13"/>
              <w:numPr>
                <w:ilvl w:val="0"/>
                <w:numId w:val="5"/>
              </w:numPr>
              <w:autoSpaceDE w:val="0"/>
              <w:autoSpaceDN w:val="0"/>
              <w:adjustRightInd w:val="0"/>
              <w:rPr>
                <w:color w:val="000000"/>
              </w:rPr>
            </w:pPr>
            <w:r>
              <w:rPr>
                <w:color w:val="000000"/>
              </w:rPr>
              <w:t>FFS: length/pattern of ON/OFF.</w:t>
            </w:r>
          </w:p>
          <w:p w14:paraId="00DA4ACD">
            <w:pPr>
              <w:pStyle w:val="13"/>
              <w:numPr>
                <w:ilvl w:val="0"/>
                <w:numId w:val="5"/>
              </w:numPr>
              <w:autoSpaceDE w:val="0"/>
              <w:autoSpaceDN w:val="0"/>
              <w:adjustRightInd w:val="0"/>
              <w:rPr>
                <w:rFonts w:hint="eastAsia"/>
                <w:color w:val="000000"/>
              </w:rPr>
            </w:pPr>
            <w:r>
              <w:rPr>
                <w:color w:val="000000"/>
              </w:rPr>
              <w:t xml:space="preserve">FFS: </w:t>
            </w:r>
            <w:r>
              <w:rPr>
                <w:bCs/>
                <w:color w:val="000000"/>
              </w:rPr>
              <w:t>when 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is applicable, w</w:t>
            </w:r>
            <w:r>
              <w:rPr>
                <w:color w:val="000000"/>
              </w:rPr>
              <w:t xml:space="preserve">hether/how the start-indicator part is included in </w:t>
            </w:r>
            <w:r>
              <w:rPr>
                <w:bCs/>
                <w:color w:val="000000"/>
              </w:rPr>
              <w:t>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or not. To be discussed in 9.4.2.2</w:t>
            </w:r>
          </w:p>
        </w:tc>
      </w:tr>
    </w:tbl>
    <w:p w14:paraId="1F4CF055">
      <w:pPr>
        <w:spacing w:before="100" w:beforeAutospacing="1"/>
        <w:rPr>
          <w:rFonts w:eastAsia="宋体"/>
          <w:lang w:val="en-US" w:eastAsia="zh-CN"/>
        </w:rPr>
      </w:pPr>
      <w:r>
        <w:rPr>
          <w:rFonts w:hint="eastAsia" w:eastAsia="宋体"/>
          <w:lang w:val="en-US" w:eastAsia="zh-CN"/>
        </w:rPr>
        <w:t xml:space="preserve">Regarding the pattern of ON/OFF, it is sufficient to have a single fixed-length ON transmission immediately followed by a single fixed-length OFF transmission. </w:t>
      </w:r>
    </w:p>
    <w:p w14:paraId="5A8100A1">
      <w:pPr>
        <w:widowControl w:val="0"/>
        <w:numPr>
          <w:ilvl w:val="0"/>
          <w:numId w:val="6"/>
        </w:numPr>
        <w:tabs>
          <w:tab w:val="left" w:pos="1418"/>
        </w:tabs>
        <w:snapToGrid/>
        <w:spacing w:before="240" w:after="0" w:afterAutospacing="0"/>
        <w:ind w:left="1440" w:hanging="1440"/>
        <w:rPr>
          <w:rFonts w:eastAsia="宋体"/>
          <w:lang w:val="en-US" w:eastAsia="zh-CN"/>
        </w:rPr>
      </w:pPr>
      <w:r>
        <w:rPr>
          <w:rFonts w:eastAsia="Batang"/>
          <w:szCs w:val="24"/>
          <w:lang w:eastAsia="en-US"/>
        </w:rPr>
        <w:t xml:space="preserve">For the start-indicator part of the R2D time acquisition signal, </w:t>
      </w:r>
      <w:r>
        <w:rPr>
          <w:rFonts w:hint="eastAsia" w:eastAsia="宋体"/>
          <w:szCs w:val="24"/>
          <w:lang w:val="en-US" w:eastAsia="zh-CN"/>
        </w:rPr>
        <w:t xml:space="preserve">support </w:t>
      </w:r>
      <w:r>
        <w:rPr>
          <w:rFonts w:hint="eastAsia" w:eastAsia="宋体"/>
          <w:lang w:val="en-US" w:eastAsia="zh-CN"/>
        </w:rPr>
        <w:t>a single fixed-length ON transmission immediately followed by a single fixed-length OFF transmission</w:t>
      </w:r>
      <w:r>
        <w:rPr>
          <w:rFonts w:hint="eastAsia" w:eastAsia="宋体"/>
          <w:szCs w:val="24"/>
          <w:lang w:val="en-US" w:eastAsia="zh-CN"/>
        </w:rPr>
        <w:t>.</w:t>
      </w:r>
    </w:p>
    <w:p w14:paraId="6DD183CF">
      <w:pPr>
        <w:pStyle w:val="4"/>
        <w:spacing w:after="180"/>
        <w:rPr>
          <w:rFonts w:eastAsia="宋体"/>
          <w:sz w:val="24"/>
          <w:szCs w:val="24"/>
          <w:lang w:val="en-US" w:eastAsia="zh-CN"/>
        </w:rPr>
      </w:pPr>
      <w:r>
        <w:rPr>
          <w:rFonts w:hint="eastAsia" w:eastAsia="宋体"/>
          <w:sz w:val="24"/>
          <w:szCs w:val="24"/>
          <w:lang w:val="en-US" w:eastAsia="zh-CN"/>
        </w:rPr>
        <w:t>PRDCH design details</w:t>
      </w:r>
    </w:p>
    <w:p w14:paraId="5ED64B3B">
      <w:pPr>
        <w:spacing w:before="100" w:beforeAutospacing="1"/>
        <w:rPr>
          <w:rFonts w:eastAsia="宋体"/>
          <w:lang w:val="en-US" w:eastAsia="zh-CN"/>
        </w:rPr>
      </w:pPr>
      <w:r>
        <w:rPr>
          <w:rFonts w:hint="eastAsia" w:eastAsia="宋体"/>
          <w:lang w:val="en-US" w:eastAsia="zh-CN"/>
        </w:rPr>
        <w:t>The following FL proposal was discussed in RAN1#118,</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613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58F27A6E">
            <w:pPr>
              <w:rPr>
                <w:b/>
                <w:bCs/>
              </w:rPr>
            </w:pPr>
            <w:r>
              <w:rPr>
                <w:b/>
                <w:bCs/>
              </w:rPr>
              <w:t>Proposal 2.1.3-3</w:t>
            </w:r>
          </w:p>
          <w:p w14:paraId="42E9B821">
            <w:pPr>
              <w:spacing w:after="0"/>
            </w:pPr>
            <w:r>
              <w:t xml:space="preserve">For R2D transmissions, study the need and feasibility to support different PRDCH formats </w:t>
            </w:r>
          </w:p>
          <w:p w14:paraId="6476F60F">
            <w:pPr>
              <w:pStyle w:val="13"/>
              <w:numPr>
                <w:ilvl w:val="0"/>
                <w:numId w:val="7"/>
              </w:numPr>
              <w:rPr>
                <w:rFonts w:hint="eastAsia"/>
              </w:rPr>
            </w:pPr>
            <w:r>
              <w:t>Different PRDCH formats may correspond to whether that PRDCH transmits data only, data and control, etc.</w:t>
            </w:r>
          </w:p>
        </w:tc>
      </w:tr>
    </w:tbl>
    <w:p w14:paraId="02ADDBDC">
      <w:pPr>
        <w:spacing w:before="100" w:beforeAutospacing="1"/>
        <w:rPr>
          <w:rFonts w:eastAsia="宋体"/>
          <w:lang w:val="en-US" w:eastAsia="zh-CN"/>
        </w:rPr>
      </w:pPr>
      <w:r>
        <w:rPr>
          <w:rFonts w:hint="eastAsia" w:eastAsia="宋体"/>
          <w:lang w:val="en-US" w:eastAsia="zh-CN"/>
        </w:rPr>
        <w:t>We don</w:t>
      </w:r>
      <w:r>
        <w:rPr>
          <w:rFonts w:eastAsia="宋体"/>
          <w:lang w:val="en-US" w:eastAsia="zh-CN"/>
        </w:rPr>
        <w:t>’</w:t>
      </w:r>
      <w:r>
        <w:rPr>
          <w:rFonts w:hint="eastAsia" w:eastAsia="宋体"/>
          <w:lang w:val="en-US" w:eastAsia="zh-CN"/>
        </w:rPr>
        <w:t xml:space="preserve">t see a strong need for supporting different </w:t>
      </w:r>
      <w:r>
        <w:rPr>
          <w:rFonts w:eastAsia="宋体"/>
          <w:lang w:val="en-US" w:eastAsia="zh-CN"/>
        </w:rPr>
        <w:t>“</w:t>
      </w:r>
      <w:r>
        <w:rPr>
          <w:rFonts w:hint="eastAsia" w:eastAsia="宋体"/>
          <w:lang w:val="en-US" w:eastAsia="zh-CN"/>
        </w:rPr>
        <w:t>PRDCH formats</w:t>
      </w:r>
      <w:r>
        <w:rPr>
          <w:rFonts w:eastAsia="宋体"/>
          <w:lang w:val="en-US" w:eastAsia="zh-CN"/>
        </w:rPr>
        <w:t>”</w:t>
      </w:r>
      <w:r>
        <w:rPr>
          <w:rFonts w:hint="eastAsia" w:eastAsia="宋体"/>
          <w:lang w:val="en-US" w:eastAsia="zh-CN"/>
        </w:rPr>
        <w:t xml:space="preserve">, especially when considering proposals on the table e.g. for using different PRDCH formats just for differentiating </w:t>
      </w:r>
      <w:r>
        <w:rPr>
          <w:rFonts w:eastAsia="宋体"/>
          <w:lang w:val="en-US" w:eastAsia="zh-CN"/>
        </w:rPr>
        <w:t>“</w:t>
      </w:r>
      <w:r>
        <w:rPr>
          <w:rFonts w:hint="eastAsia" w:eastAsia="宋体"/>
          <w:lang w:val="en-US" w:eastAsia="zh-CN"/>
        </w:rPr>
        <w:t>data only</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data and control</w:t>
      </w:r>
      <w:r>
        <w:rPr>
          <w:rFonts w:eastAsia="宋体"/>
          <w:lang w:val="en-US" w:eastAsia="zh-CN"/>
        </w:rPr>
        <w:t>”</w:t>
      </w:r>
      <w:r>
        <w:rPr>
          <w:rFonts w:hint="eastAsia" w:eastAsia="宋体"/>
          <w:lang w:val="en-US" w:eastAsia="zh-CN"/>
        </w:rPr>
        <w:t xml:space="preserve"> etc. Presence of e.g. higher layer data can be simply indicated in the control information.</w:t>
      </w:r>
    </w:p>
    <w:p w14:paraId="3D4EE1AC">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R2D transmissions, support a single </w:t>
      </w:r>
      <w:r>
        <w:rPr>
          <w:rFonts w:eastAsia="宋体"/>
          <w:lang w:val="en-US" w:eastAsia="zh-CN"/>
        </w:rPr>
        <w:t>“</w:t>
      </w:r>
      <w:r>
        <w:rPr>
          <w:rFonts w:hint="eastAsia" w:eastAsia="宋体"/>
          <w:lang w:val="en-US" w:eastAsia="zh-CN"/>
        </w:rPr>
        <w:t>PRDCH format</w:t>
      </w:r>
      <w:r>
        <w:rPr>
          <w:rFonts w:eastAsia="宋体"/>
          <w:lang w:val="en-US" w:eastAsia="zh-CN"/>
        </w:rPr>
        <w:t>”</w:t>
      </w:r>
      <w:r>
        <w:rPr>
          <w:rFonts w:hint="eastAsia" w:eastAsia="宋体"/>
          <w:lang w:val="en-US" w:eastAsia="zh-CN"/>
        </w:rPr>
        <w:t>.</w:t>
      </w:r>
    </w:p>
    <w:p w14:paraId="0A6F0794">
      <w:pPr>
        <w:pStyle w:val="4"/>
        <w:spacing w:after="180"/>
        <w:rPr>
          <w:rFonts w:eastAsia="宋体"/>
          <w:sz w:val="24"/>
          <w:szCs w:val="24"/>
          <w:lang w:val="en-US" w:eastAsia="zh-CN"/>
        </w:rPr>
      </w:pPr>
      <w:r>
        <w:rPr>
          <w:rFonts w:hint="eastAsia" w:eastAsia="宋体"/>
          <w:sz w:val="24"/>
          <w:szCs w:val="24"/>
          <w:lang w:val="en-US" w:eastAsia="zh-CN"/>
        </w:rPr>
        <w:t>R2D control information</w:t>
      </w:r>
    </w:p>
    <w:p w14:paraId="133D89B4">
      <w:pPr>
        <w:spacing w:before="100" w:beforeAutospacing="1"/>
        <w:rPr>
          <w:rFonts w:eastAsia="宋体"/>
          <w:lang w:val="en-US" w:eastAsia="zh-CN"/>
        </w:rPr>
      </w:pPr>
      <w:r>
        <w:rPr>
          <w:rFonts w:hint="eastAsia" w:eastAsia="宋体"/>
          <w:lang w:val="en-US" w:eastAsia="zh-CN"/>
        </w:rPr>
        <w:t>A device with ultra-low power consumption in mind should be able to determine, with minimum effort, whether it is intended for by a particular R2D transmission, and only if so, it needs further processing of that R2D transmission. Therefore, it is highly desirable that R2D control information (carrying indication of destination devices, or additionally cast type) and higher layer payload are respectively mapped to two separate blocks of R2D chips. Separate CRC attachments should be applied for information bits conveyed in the two blocks of R2D chips.</w:t>
      </w:r>
    </w:p>
    <w:p w14:paraId="739A075D">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R2D control information and higher layer payload (if any) are respectively mapped to two </w:t>
      </w:r>
      <w:r>
        <w:rPr>
          <w:lang w:eastAsia="zh-CN"/>
        </w:rPr>
        <w:t xml:space="preserve">separate </w:t>
      </w:r>
      <w:r>
        <w:rPr>
          <w:rFonts w:hint="eastAsia" w:eastAsia="宋体"/>
          <w:lang w:val="en-US" w:eastAsia="zh-CN"/>
        </w:rPr>
        <w:t>blocks of R2D chips.</w:t>
      </w:r>
    </w:p>
    <w:p w14:paraId="3F4C9B4D">
      <w:pPr>
        <w:widowControl w:val="0"/>
        <w:numPr>
          <w:ilvl w:val="0"/>
          <w:numId w:val="8"/>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A first block of R2D chips for R2D control information immediately precedes a second block of R2D chips for higher layer payload.</w:t>
      </w:r>
    </w:p>
    <w:p w14:paraId="119B675D">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Separate CRC attachments should be respectively applied for R2D control information and higher layer data (if any).</w:t>
      </w:r>
    </w:p>
    <w:p w14:paraId="419B18B6">
      <w:pPr>
        <w:pStyle w:val="4"/>
        <w:spacing w:after="180"/>
        <w:rPr>
          <w:rFonts w:eastAsia="宋体"/>
          <w:sz w:val="24"/>
          <w:szCs w:val="24"/>
          <w:lang w:val="en-US" w:eastAsia="zh-CN"/>
        </w:rPr>
      </w:pPr>
      <w:bookmarkStart w:id="3" w:name="_Ref2402"/>
      <w:r>
        <w:rPr>
          <w:rFonts w:hint="eastAsia" w:eastAsia="宋体"/>
          <w:sz w:val="24"/>
          <w:szCs w:val="24"/>
          <w:lang w:val="en-US" w:eastAsia="zh-CN"/>
        </w:rPr>
        <w:t>TBS</w:t>
      </w:r>
      <w:bookmarkEnd w:id="3"/>
    </w:p>
    <w:p w14:paraId="531DE59D">
      <w:pPr>
        <w:spacing w:before="100" w:beforeAutospacing="1"/>
        <w:rPr>
          <w:rFonts w:eastAsia="宋体"/>
          <w:lang w:val="en-US" w:eastAsia="zh-CN"/>
        </w:rPr>
      </w:pPr>
      <w:r>
        <w:rPr>
          <w:rFonts w:hint="eastAsia" w:eastAsia="宋体"/>
          <w:lang w:val="en-US" w:eastAsia="zh-CN"/>
        </w:rPr>
        <w:t xml:space="preserve">As indicated in TR 38.848, </w:t>
      </w:r>
      <w:r>
        <w:rPr>
          <w:rFonts w:eastAsia="宋体"/>
          <w:lang w:val="en-US" w:eastAsia="zh-CN"/>
        </w:rPr>
        <w:t>“</w:t>
      </w:r>
      <w:r>
        <w:rPr>
          <w:rFonts w:hint="eastAsia" w:eastAsia="宋体"/>
          <w:i/>
          <w:iCs/>
          <w:lang w:val="en-US" w:eastAsia="zh-CN"/>
        </w:rPr>
        <w:t>t</w:t>
      </w:r>
      <w:r>
        <w:rPr>
          <w:rFonts w:eastAsia="宋体"/>
          <w:i/>
          <w:iCs/>
          <w:lang w:val="en-US" w:eastAsia="zh-CN"/>
        </w:rPr>
        <w:t>he design target of maximum message size is approximately 1000 bits to be received by the Ambient IoT device, and approximately 1000 bits to be transmitted from the Ambient IoT device, based on the maximum application layer packet size</w:t>
      </w:r>
      <w:r>
        <w:rPr>
          <w:rFonts w:eastAsia="宋体"/>
          <w:lang w:val="en-US" w:eastAsia="zh-CN"/>
        </w:rPr>
        <w:t>”</w:t>
      </w:r>
      <w:r>
        <w:rPr>
          <w:rFonts w:hint="eastAsia" w:eastAsia="宋体"/>
          <w:lang w:val="en-US" w:eastAsia="zh-CN"/>
        </w:rPr>
        <w:t>, therefore, it makes sense to take a maximum TBS of 1000 bits as starting point for R2D data transmission.</w:t>
      </w:r>
    </w:p>
    <w:p w14:paraId="6C09E890">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a R2D data transmission, the maximum TBS is 1000 bits.</w:t>
      </w:r>
    </w:p>
    <w:p w14:paraId="079E05E9">
      <w:pPr>
        <w:pStyle w:val="3"/>
        <w:spacing w:after="180"/>
        <w:rPr>
          <w:lang w:val="en-US" w:eastAsia="zh-CN"/>
        </w:rPr>
      </w:pPr>
      <w:r>
        <w:rPr>
          <w:rFonts w:hint="eastAsia"/>
          <w:lang w:val="en-US" w:eastAsia="zh-CN"/>
        </w:rPr>
        <w:t>D2R (Device-to-reader)</w:t>
      </w:r>
    </w:p>
    <w:p w14:paraId="0B46A561">
      <w:pPr>
        <w:pStyle w:val="4"/>
        <w:spacing w:after="180"/>
        <w:rPr>
          <w:rFonts w:eastAsia="宋体"/>
          <w:sz w:val="24"/>
          <w:szCs w:val="24"/>
          <w:lang w:val="en-US" w:eastAsia="zh-CN"/>
        </w:rPr>
      </w:pPr>
      <w:r>
        <w:rPr>
          <w:rFonts w:hint="eastAsia" w:eastAsia="宋体"/>
          <w:sz w:val="24"/>
          <w:szCs w:val="24"/>
          <w:lang w:val="en-US" w:eastAsia="zh-CN"/>
        </w:rPr>
        <w:t>D2R control information</w:t>
      </w:r>
    </w:p>
    <w:p w14:paraId="673376FB">
      <w:pPr>
        <w:spacing w:before="100" w:beforeAutospacing="1"/>
        <w:rPr>
          <w:rFonts w:eastAsia="宋体"/>
          <w:lang w:val="en-US" w:eastAsia="zh-CN"/>
        </w:rPr>
      </w:pPr>
      <w:r>
        <w:rPr>
          <w:rFonts w:hint="eastAsia" w:eastAsia="宋体"/>
          <w:lang w:val="en-US" w:eastAsia="zh-CN"/>
        </w:rPr>
        <w:t>The following FL proposal was discussed in RAN1#118,</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3874B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60EF083B">
            <w:pPr>
              <w:rPr>
                <w:b/>
                <w:bCs/>
              </w:rPr>
            </w:pPr>
            <w:r>
              <w:rPr>
                <w:b/>
                <w:bCs/>
              </w:rPr>
              <w:t>Proposal 2.2.2-1A</w:t>
            </w:r>
          </w:p>
          <w:p w14:paraId="69803FC5">
            <w:pPr>
              <w:spacing w:after="0"/>
            </w:pPr>
            <w:r>
              <w:t xml:space="preserve">For D2R, ACK/NACK feedback for PRDCH is studied </w:t>
            </w:r>
          </w:p>
          <w:p w14:paraId="6E01B4F3">
            <w:pPr>
              <w:pStyle w:val="13"/>
              <w:numPr>
                <w:ilvl w:val="0"/>
                <w:numId w:val="9"/>
              </w:numPr>
              <w:spacing w:after="0"/>
            </w:pPr>
            <w:r>
              <w:t>FFS: How the ACK/NACK feedback is multiplexed on PDRCH</w:t>
            </w:r>
          </w:p>
          <w:p w14:paraId="2AC97F13">
            <w:pPr>
              <w:rPr>
                <w:rFonts w:hint="eastAsia"/>
              </w:rPr>
            </w:pPr>
            <w:r>
              <w:t>Please note that this doesn’t imply the support of HARQ operation</w:t>
            </w:r>
          </w:p>
        </w:tc>
      </w:tr>
    </w:tbl>
    <w:p w14:paraId="73F10BB7">
      <w:pPr>
        <w:widowControl w:val="0"/>
        <w:tabs>
          <w:tab w:val="left" w:pos="1418"/>
        </w:tabs>
        <w:snapToGrid/>
        <w:spacing w:before="240" w:after="0" w:afterAutospacing="0"/>
        <w:rPr>
          <w:rFonts w:eastAsia="宋体"/>
          <w:lang w:val="en-US" w:eastAsia="zh-CN"/>
        </w:rPr>
      </w:pPr>
      <w:r>
        <w:rPr>
          <w:rFonts w:hint="eastAsia" w:eastAsia="宋体"/>
          <w:lang w:val="en-US" w:eastAsia="zh-CN"/>
        </w:rPr>
        <w:t>Regarding ACK/NACK feedback for R2D transmissions, we prefer to a higher layer solution, which in our view is simpler in terms of device implementations. In fact, other WGs are also discussing whether/how to support ACK/NACK feedback for R2D transmissions at higher layers. At least we see no strong technical motivation for A-IoT to support the feature at both physical layer and higher layers.</w:t>
      </w:r>
    </w:p>
    <w:p w14:paraId="2D1D2029">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Regarding ACK/NACK feedback for R2D transmissions, down-select from one of the following options:</w:t>
      </w:r>
    </w:p>
    <w:p w14:paraId="7B9EB02C">
      <w:pPr>
        <w:widowControl w:val="0"/>
        <w:numPr>
          <w:ilvl w:val="0"/>
          <w:numId w:val="8"/>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Option 1: no ACK/NACK feedback.</w:t>
      </w:r>
    </w:p>
    <w:p w14:paraId="71BCB927">
      <w:pPr>
        <w:widowControl w:val="0"/>
        <w:numPr>
          <w:ilvl w:val="0"/>
          <w:numId w:val="8"/>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Option 2: ACK/NACK feedback at physical layer.</w:t>
      </w:r>
    </w:p>
    <w:p w14:paraId="44C1B943">
      <w:pPr>
        <w:widowControl w:val="0"/>
        <w:numPr>
          <w:ilvl w:val="0"/>
          <w:numId w:val="8"/>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Option 3: ACK/NACK feedback at higher layers.</w:t>
      </w:r>
    </w:p>
    <w:p w14:paraId="587C0AFD">
      <w:pPr>
        <w:pStyle w:val="4"/>
        <w:spacing w:after="180"/>
        <w:rPr>
          <w:rFonts w:eastAsia="宋体"/>
          <w:sz w:val="24"/>
          <w:szCs w:val="24"/>
          <w:lang w:val="en-US" w:eastAsia="zh-CN"/>
        </w:rPr>
      </w:pPr>
      <w:r>
        <w:rPr>
          <w:rFonts w:hint="eastAsia" w:eastAsia="宋体"/>
          <w:sz w:val="24"/>
          <w:szCs w:val="24"/>
          <w:lang w:val="en-US" w:eastAsia="zh-CN"/>
        </w:rPr>
        <w:t>TBS</w:t>
      </w:r>
    </w:p>
    <w:p w14:paraId="74193009">
      <w:pPr>
        <w:spacing w:before="100" w:beforeAutospacing="1"/>
        <w:rPr>
          <w:rFonts w:eastAsia="宋体"/>
          <w:lang w:val="en-US" w:eastAsia="zh-CN"/>
        </w:rPr>
      </w:pPr>
      <w:r>
        <w:rPr>
          <w:rFonts w:hint="eastAsia" w:eastAsia="宋体"/>
          <w:lang w:val="en-US" w:eastAsia="zh-CN"/>
        </w:rPr>
        <w:t xml:space="preserve">With a similar reason for R2D in section </w:t>
      </w:r>
      <w:r>
        <w:rPr>
          <w:rFonts w:hint="eastAsia" w:eastAsia="宋体"/>
          <w:lang w:val="en-US" w:eastAsia="zh-CN"/>
        </w:rPr>
        <w:fldChar w:fldCharType="begin"/>
      </w:r>
      <w:r>
        <w:rPr>
          <w:rFonts w:hint="eastAsia" w:eastAsia="宋体"/>
          <w:lang w:val="en-US" w:eastAsia="zh-CN"/>
        </w:rPr>
        <w:instrText xml:space="preserve"> REF _Ref2402 \n \h </w:instrText>
      </w:r>
      <w:r>
        <w:rPr>
          <w:rFonts w:hint="eastAsia" w:eastAsia="宋体"/>
          <w:lang w:val="en-US" w:eastAsia="zh-CN"/>
        </w:rPr>
        <w:fldChar w:fldCharType="separate"/>
      </w:r>
      <w:r>
        <w:rPr>
          <w:rFonts w:hint="eastAsia" w:eastAsia="宋体"/>
          <w:lang w:val="en-US" w:eastAsia="zh-CN"/>
        </w:rPr>
        <w:t>2.1.4</w:t>
      </w:r>
      <w:r>
        <w:rPr>
          <w:rFonts w:hint="eastAsia" w:eastAsia="宋体"/>
          <w:lang w:val="en-US" w:eastAsia="zh-CN"/>
        </w:rPr>
        <w:fldChar w:fldCharType="end"/>
      </w:r>
      <w:r>
        <w:rPr>
          <w:rFonts w:hint="eastAsia" w:eastAsia="宋体"/>
          <w:lang w:val="en-US" w:eastAsia="zh-CN"/>
        </w:rPr>
        <w:t>, it makes sense to take a maximum TBS of 1000 bits as starting point for D2R data transmission.</w:t>
      </w:r>
    </w:p>
    <w:p w14:paraId="3EB496FA">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a </w:t>
      </w:r>
      <w:r>
        <w:rPr>
          <w:szCs w:val="24"/>
          <w:lang w:val="en-US" w:eastAsia="zh-CN"/>
        </w:rPr>
        <w:t xml:space="preserve">D2R </w:t>
      </w:r>
      <w:r>
        <w:rPr>
          <w:rFonts w:hint="eastAsia" w:eastAsia="宋体"/>
          <w:lang w:val="en-US" w:eastAsia="zh-CN"/>
        </w:rPr>
        <w:t>data transmission, the maximum TBS is 1000 bits.</w:t>
      </w:r>
    </w:p>
    <w:p w14:paraId="10822EA0">
      <w:pPr>
        <w:spacing w:before="100" w:beforeAutospacing="1"/>
        <w:rPr>
          <w:rFonts w:eastAsia="宋体"/>
          <w:lang w:val="en-US" w:eastAsia="zh-CN"/>
        </w:rPr>
      </w:pPr>
      <w:r>
        <w:rPr>
          <w:rFonts w:hint="eastAsia" w:eastAsia="宋体"/>
          <w:lang w:val="en-US" w:eastAsia="zh-CN"/>
        </w:rPr>
        <w:t>However, for some specific messages, e.g. the PDRCH transmission in response to a PRDCH transmission initiating a contention-based access procedure, since it is the first transmission of a device for the procedure, and a lot of devices may respond to the PRDCH transmission (potentially resulting in a collision), it is highly desirable that the payload size of the PDRCH transmission is strictly limited, and it may be desirable that the payload size is a pre-defined value.</w:t>
      </w:r>
    </w:p>
    <w:p w14:paraId="7880A307">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RAN1 to study an appropriate maximum payload size of the PDRCH transmission in response to a PRDCH transmission initiating a contention-based access procedure.</w:t>
      </w:r>
    </w:p>
    <w:p w14:paraId="7FA59B69">
      <w:pPr>
        <w:pStyle w:val="2"/>
        <w:spacing w:after="180"/>
        <w:rPr>
          <w:lang w:val="en-US"/>
        </w:rPr>
      </w:pPr>
      <w:r>
        <w:rPr>
          <w:lang w:val="en-US"/>
        </w:rPr>
        <w:t>Conclusion</w:t>
      </w:r>
    </w:p>
    <w:p w14:paraId="6E7BE2BD">
      <w:pPr>
        <w:spacing w:before="100" w:beforeAutospacing="1"/>
        <w:rPr>
          <w:rFonts w:eastAsia="宋体"/>
          <w:lang w:val="en-US" w:eastAsia="zh-CN"/>
        </w:rPr>
      </w:pPr>
      <w:r>
        <w:rPr>
          <w:lang w:val="en-US"/>
        </w:rPr>
        <w:t xml:space="preserve">In this </w:t>
      </w:r>
      <w:r>
        <w:rPr>
          <w:rFonts w:hint="eastAsia" w:eastAsia="宋体"/>
          <w:lang w:val="en-US" w:eastAsia="zh-CN"/>
        </w:rPr>
        <w:t>contribution</w:t>
      </w:r>
      <w:r>
        <w:rPr>
          <w:lang w:val="en-US"/>
        </w:rPr>
        <w:t xml:space="preserve">, we </w:t>
      </w:r>
      <w:r>
        <w:rPr>
          <w:rFonts w:eastAsia="宋体"/>
          <w:lang w:val="en-US" w:eastAsia="zh-CN"/>
        </w:rPr>
        <w:t xml:space="preserve">discuss some </w:t>
      </w:r>
      <w:r>
        <w:rPr>
          <w:rFonts w:hint="eastAsia" w:eastAsia="宋体"/>
          <w:lang w:val="en-US" w:eastAsia="zh-CN"/>
        </w:rPr>
        <w:t>aspects related to R2D (</w:t>
      </w:r>
      <w:r>
        <w:rPr>
          <w:rFonts w:eastAsia="宋体"/>
          <w:lang w:val="en-US" w:eastAsia="zh-CN"/>
        </w:rPr>
        <w:t>“downlink”</w:t>
      </w:r>
      <w:r>
        <w:rPr>
          <w:rFonts w:hint="eastAsia" w:eastAsia="宋体"/>
          <w:lang w:val="en-US" w:eastAsia="zh-CN"/>
        </w:rPr>
        <w:t>)</w:t>
      </w:r>
      <w:r>
        <w:rPr>
          <w:rFonts w:eastAsia="宋体"/>
          <w:lang w:val="en-US" w:eastAsia="zh-CN"/>
        </w:rPr>
        <w:t xml:space="preserve"> and </w:t>
      </w:r>
      <w:r>
        <w:rPr>
          <w:rFonts w:hint="eastAsia" w:eastAsia="宋体"/>
          <w:lang w:val="en-US" w:eastAsia="zh-CN"/>
        </w:rPr>
        <w:t>D2R (</w:t>
      </w:r>
      <w:r>
        <w:rPr>
          <w:rFonts w:eastAsia="宋体"/>
          <w:lang w:val="en-US" w:eastAsia="zh-CN"/>
        </w:rPr>
        <w:t>“uplink”</w:t>
      </w:r>
      <w:r>
        <w:rPr>
          <w:rFonts w:hint="eastAsia" w:eastAsia="宋体"/>
          <w:lang w:val="en-US" w:eastAsia="zh-CN"/>
        </w:rPr>
        <w:t>)</w:t>
      </w:r>
      <w:r>
        <w:rPr>
          <w:rFonts w:eastAsia="宋体"/>
          <w:lang w:val="en-US" w:eastAsia="zh-CN"/>
        </w:rPr>
        <w:t xml:space="preserve"> channel</w:t>
      </w:r>
      <w:r>
        <w:rPr>
          <w:rFonts w:hint="eastAsia" w:eastAsia="宋体"/>
          <w:lang w:val="en-US" w:eastAsia="zh-CN"/>
        </w:rPr>
        <w:t>s</w:t>
      </w:r>
      <w:r>
        <w:rPr>
          <w:rFonts w:eastAsia="宋体"/>
          <w:lang w:val="en-US" w:eastAsia="zh-CN"/>
        </w:rPr>
        <w:t>/signal</w:t>
      </w:r>
      <w:r>
        <w:rPr>
          <w:rFonts w:hint="eastAsia" w:eastAsia="宋体"/>
          <w:lang w:val="en-US" w:eastAsia="zh-CN"/>
        </w:rPr>
        <w:t>s</w:t>
      </w:r>
      <w:r>
        <w:rPr>
          <w:rFonts w:eastAsia="宋体"/>
          <w:lang w:val="en-US" w:eastAsia="zh-CN"/>
        </w:rPr>
        <w:t xml:space="preserve">, and make </w:t>
      </w:r>
      <w:r>
        <w:rPr>
          <w:lang w:val="en-US"/>
        </w:rPr>
        <w:t>the following proposals</w:t>
      </w:r>
      <w:r>
        <w:rPr>
          <w:rFonts w:eastAsia="宋体"/>
          <w:lang w:val="en-US" w:eastAsia="zh-CN"/>
        </w:rPr>
        <w:t>.</w:t>
      </w:r>
    </w:p>
    <w:p w14:paraId="597122E9">
      <w:pPr>
        <w:widowControl w:val="0"/>
        <w:numPr>
          <w:ilvl w:val="0"/>
          <w:numId w:val="10"/>
        </w:numPr>
        <w:tabs>
          <w:tab w:val="left" w:pos="1418"/>
        </w:tabs>
        <w:snapToGrid/>
        <w:spacing w:before="240" w:after="0" w:afterAutospacing="0"/>
        <w:ind w:left="1440" w:hanging="1440"/>
        <w:rPr>
          <w:rFonts w:eastAsia="宋体"/>
          <w:lang w:val="en-US" w:eastAsia="zh-CN"/>
        </w:rPr>
      </w:pPr>
      <w:r>
        <w:rPr>
          <w:rFonts w:eastAsia="Batang"/>
          <w:szCs w:val="24"/>
          <w:lang w:eastAsia="en-US"/>
        </w:rPr>
        <w:t xml:space="preserve">For the start-indicator part of the R2D time acquisition signal, </w:t>
      </w:r>
      <w:r>
        <w:rPr>
          <w:rFonts w:hint="eastAsia" w:eastAsia="宋体"/>
          <w:szCs w:val="24"/>
          <w:lang w:val="en-US" w:eastAsia="zh-CN"/>
        </w:rPr>
        <w:t xml:space="preserve">support </w:t>
      </w:r>
      <w:r>
        <w:rPr>
          <w:rFonts w:hint="eastAsia" w:eastAsia="宋体"/>
          <w:lang w:val="en-US" w:eastAsia="zh-CN"/>
        </w:rPr>
        <w:t>a single fixed-length ON transmission immediately followed by a single fixed-length OFF transmission</w:t>
      </w:r>
      <w:r>
        <w:rPr>
          <w:rFonts w:hint="eastAsia" w:eastAsia="宋体"/>
          <w:szCs w:val="24"/>
          <w:lang w:val="en-US" w:eastAsia="zh-CN"/>
        </w:rPr>
        <w:t>.</w:t>
      </w:r>
    </w:p>
    <w:p w14:paraId="5F96EB14">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R2D transmissions, support a single </w:t>
      </w:r>
      <w:r>
        <w:rPr>
          <w:rFonts w:eastAsia="宋体"/>
          <w:lang w:val="en-US" w:eastAsia="zh-CN"/>
        </w:rPr>
        <w:t>“</w:t>
      </w:r>
      <w:r>
        <w:rPr>
          <w:rFonts w:hint="eastAsia" w:eastAsia="宋体"/>
          <w:lang w:val="en-US" w:eastAsia="zh-CN"/>
        </w:rPr>
        <w:t>PRDCH format</w:t>
      </w:r>
      <w:r>
        <w:rPr>
          <w:rFonts w:eastAsia="宋体"/>
          <w:lang w:val="en-US" w:eastAsia="zh-CN"/>
        </w:rPr>
        <w:t>”</w:t>
      </w:r>
      <w:r>
        <w:rPr>
          <w:rFonts w:hint="eastAsia" w:eastAsia="宋体"/>
          <w:lang w:val="en-US" w:eastAsia="zh-CN"/>
        </w:rPr>
        <w:t>.</w:t>
      </w:r>
    </w:p>
    <w:p w14:paraId="6A197A96">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R2D control information and higher layer payload (if any) are respectively mapped to two </w:t>
      </w:r>
      <w:r>
        <w:rPr>
          <w:lang w:eastAsia="zh-CN"/>
        </w:rPr>
        <w:t xml:space="preserve">separate </w:t>
      </w:r>
      <w:r>
        <w:rPr>
          <w:rFonts w:hint="eastAsia" w:eastAsia="宋体"/>
          <w:lang w:val="en-US" w:eastAsia="zh-CN"/>
        </w:rPr>
        <w:t>blocks of R2D chips.</w:t>
      </w:r>
    </w:p>
    <w:p w14:paraId="56CDD4B5">
      <w:pPr>
        <w:widowControl w:val="0"/>
        <w:numPr>
          <w:ilvl w:val="0"/>
          <w:numId w:val="8"/>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A first block of R2D chips for R2D control information immediately precedes a second block of R2D chips for higher layer payload.</w:t>
      </w:r>
    </w:p>
    <w:p w14:paraId="06712461">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Separate CRC attachments should be respectively applied for R2D control information and higher layer data (if any).</w:t>
      </w:r>
    </w:p>
    <w:p w14:paraId="2DC37A13">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a R2D data transmission, the maximum TBS is 1000 bits.</w:t>
      </w:r>
    </w:p>
    <w:p w14:paraId="017A9DF9">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Regarding ACK/NACK feedback for R2D transmissions, down-select from one of the following options:</w:t>
      </w:r>
    </w:p>
    <w:p w14:paraId="2DEFE051">
      <w:pPr>
        <w:widowControl w:val="0"/>
        <w:numPr>
          <w:ilvl w:val="0"/>
          <w:numId w:val="8"/>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Option 1: no ACK/NACK feedback.</w:t>
      </w:r>
    </w:p>
    <w:p w14:paraId="4E884916">
      <w:pPr>
        <w:widowControl w:val="0"/>
        <w:numPr>
          <w:ilvl w:val="0"/>
          <w:numId w:val="8"/>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Option 2: ACK/NACK feedback at physical layer.</w:t>
      </w:r>
    </w:p>
    <w:p w14:paraId="7360B229">
      <w:pPr>
        <w:widowControl w:val="0"/>
        <w:numPr>
          <w:ilvl w:val="0"/>
          <w:numId w:val="8"/>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Option 3: ACK/NACK feedback at higher layers.</w:t>
      </w:r>
    </w:p>
    <w:p w14:paraId="5F5F7209">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a </w:t>
      </w:r>
      <w:r>
        <w:rPr>
          <w:szCs w:val="24"/>
          <w:lang w:val="en-US" w:eastAsia="zh-CN"/>
        </w:rPr>
        <w:t xml:space="preserve">D2R </w:t>
      </w:r>
      <w:r>
        <w:rPr>
          <w:rFonts w:hint="eastAsia" w:eastAsia="宋体"/>
          <w:lang w:val="en-US" w:eastAsia="zh-CN"/>
        </w:rPr>
        <w:t>data transmission, the maximum TBS is 1000 bits.</w:t>
      </w:r>
    </w:p>
    <w:p w14:paraId="1984E497">
      <w:pPr>
        <w:widowControl w:val="0"/>
        <w:numPr>
          <w:ilvl w:val="0"/>
          <w:numId w:val="10"/>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RAN1 to study an appropriate maximum payload size of the PDRCH transmission in response to a PRDCH transmission initiating a contention-based access procedure.</w:t>
      </w:r>
    </w:p>
    <w:p w14:paraId="1EA8AAD9">
      <w:pPr>
        <w:spacing w:before="100" w:beforeAutospacing="1"/>
        <w:rPr>
          <w:rFonts w:eastAsia="宋体"/>
          <w:lang w:val="en-US" w:eastAsia="zh-CN"/>
        </w:rPr>
      </w:pPr>
    </w:p>
    <w:p w14:paraId="4D4BAB52">
      <w:pPr>
        <w:pStyle w:val="2"/>
        <w:spacing w:after="180"/>
        <w:rPr>
          <w:lang w:val="en-US"/>
        </w:rPr>
      </w:pPr>
      <w:r>
        <w:rPr>
          <w:lang w:val="en-US"/>
        </w:rPr>
        <w:t>References</w:t>
      </w:r>
    </w:p>
    <w:p w14:paraId="7EE9BF2E">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124764504"/>
      <w:r>
        <w:rPr>
          <w:rFonts w:eastAsia="MS Mincho"/>
          <w:lang w:val="en-US" w:eastAsia="en-GB"/>
        </w:rPr>
        <w:t>RP-234058, “New SID: Study on solutions for Ambient IoT (Internet of Things) in NR”, Huawei (moderator, RAN1 Vice-Chair), RAN#102.</w:t>
      </w:r>
      <w:bookmarkEnd w:id="4"/>
    </w:p>
    <w:p w14:paraId="09644137">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11675"/>
      <w:r>
        <w:rPr>
          <w:rFonts w:hint="eastAsia" w:eastAsia="宋体"/>
          <w:lang w:val="en-US" w:eastAsia="zh-CN"/>
        </w:rPr>
        <w:t xml:space="preserve">TR 38.848, </w:t>
      </w:r>
      <w:r>
        <w:rPr>
          <w:rFonts w:eastAsia="宋体"/>
          <w:lang w:val="en-US" w:eastAsia="zh-CN"/>
        </w:rPr>
        <w:t>“Study on Ambient IoT (Internet of Things) in RAN”</w:t>
      </w:r>
      <w:r>
        <w:rPr>
          <w:rFonts w:hint="eastAsia" w:eastAsia="宋体"/>
          <w:lang w:val="en-US" w:eastAsia="zh-CN"/>
        </w:rPr>
        <w:t>.</w:t>
      </w:r>
      <w:bookmarkEnd w:id="5"/>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C5C16">
    <w:pPr>
      <w:pStyle w:val="5"/>
      <w:jc w:val="center"/>
    </w:pPr>
    <w:r>
      <w:rPr>
        <w:b/>
      </w:rPr>
      <w:fldChar w:fldCharType="begin"/>
    </w:r>
    <w:r>
      <w:rPr>
        <w:b/>
      </w:rPr>
      <w:instrText xml:space="preserve">PAGE</w:instrText>
    </w:r>
    <w:r>
      <w:rPr>
        <w:b/>
      </w:rPr>
      <w:fldChar w:fldCharType="separate"/>
    </w:r>
    <w:r>
      <w:rPr>
        <w:b/>
      </w:rPr>
      <w:t>1</w:t>
    </w:r>
    <w:r>
      <w:rPr>
        <w:b/>
      </w:rPr>
      <w:fldChar w:fldCharType="end"/>
    </w:r>
  </w:p>
  <w:p w14:paraId="3C77CE88">
    <w:pPr>
      <w:pStyle w:val="5"/>
    </w:pPr>
  </w:p>
  <w:p w14:paraId="51FE5F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4D7B6"/>
    <w:multiLevelType w:val="singleLevel"/>
    <w:tmpl w:val="A8C4D7B6"/>
    <w:lvl w:ilvl="0" w:tentative="0">
      <w:start w:val="1"/>
      <w:numFmt w:val="bullet"/>
      <w:lvlText w:val=""/>
      <w:lvlJc w:val="left"/>
      <w:pPr>
        <w:tabs>
          <w:tab w:val="left" w:pos="1680"/>
        </w:tabs>
        <w:ind w:left="2100" w:hanging="420"/>
      </w:pPr>
      <w:rPr>
        <w:rFonts w:hint="default" w:ascii="Wingdings" w:hAnsi="Wingdings" w:cs="Wingdings"/>
        <w:sz w:val="13"/>
      </w:rPr>
    </w:lvl>
  </w:abstractNum>
  <w:abstractNum w:abstractNumId="1">
    <w:nsid w:val="010F40C3"/>
    <w:multiLevelType w:val="multilevel"/>
    <w:tmpl w:val="010F40C3"/>
    <w:lvl w:ilvl="0" w:tentative="0">
      <w:start w:val="0"/>
      <w:numFmt w:val="bullet"/>
      <w:lvlText w:val="-"/>
      <w:lvlJc w:val="left"/>
      <w:pPr>
        <w:ind w:left="720" w:hanging="360"/>
      </w:pPr>
      <w:rPr>
        <w:rFonts w:hint="default" w:ascii="Calibri" w:hAnsi="Calibri" w:cs="Calibri" w:eastAsiaTheme="minorEastAsia"/>
      </w:rPr>
    </w:lvl>
    <w:lvl w:ilvl="1" w:tentative="0">
      <w:start w:val="1"/>
      <w:numFmt w:val="bullet"/>
      <w:lvlText w:val="•"/>
      <w:lvlJc w:val="left"/>
      <w:pPr>
        <w:ind w:left="1240" w:hanging="360"/>
      </w:pPr>
      <w:rPr>
        <w:rFonts w:hint="default" w:ascii="Arial" w:hAnsi="Aria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66928D6"/>
    <w:multiLevelType w:val="multilevel"/>
    <w:tmpl w:val="066928D6"/>
    <w:lvl w:ilvl="0" w:tentative="0">
      <w:start w:val="3"/>
      <w:numFmt w:val="bullet"/>
      <w:lvlText w:val="-"/>
      <w:lvlJc w:val="left"/>
      <w:pPr>
        <w:ind w:left="1080" w:hanging="360"/>
      </w:pPr>
      <w:rPr>
        <w:rFonts w:hint="default" w:ascii="Calibri" w:hAnsi="Calibri" w:cs="Calibri" w:eastAsiaTheme="minorEastAsia"/>
      </w:rPr>
    </w:lvl>
    <w:lvl w:ilvl="1" w:tentative="0">
      <w:start w:val="1"/>
      <w:numFmt w:val="bullet"/>
      <w:lvlText w:val="•"/>
      <w:lvlJc w:val="left"/>
      <w:pPr>
        <w:ind w:left="1960" w:hanging="360"/>
      </w:pPr>
      <w:rPr>
        <w:rFonts w:hint="default" w:ascii="Arial" w:hAnsi="Arial"/>
      </w:rPr>
    </w:lvl>
    <w:lvl w:ilvl="2" w:tentative="0">
      <w:start w:val="3"/>
      <w:numFmt w:val="bullet"/>
      <w:lvlText w:val="-"/>
      <w:lvlJc w:val="left"/>
      <w:pPr>
        <w:ind w:left="1080" w:hanging="360"/>
      </w:pPr>
      <w:rPr>
        <w:rFonts w:hint="default" w:ascii="Calibri" w:hAnsi="Calibri" w:cs="Calibri" w:eastAsiaTheme="minorEastAsia"/>
      </w:rPr>
    </w:lvl>
    <w:lvl w:ilvl="3" w:tentative="0">
      <w:start w:val="3"/>
      <w:numFmt w:val="bullet"/>
      <w:lvlText w:val="-"/>
      <w:lvlJc w:val="left"/>
      <w:pPr>
        <w:ind w:left="1080" w:hanging="360"/>
      </w:pPr>
      <w:rPr>
        <w:rFonts w:hint="default" w:ascii="Calibri" w:hAnsi="Calibri" w:cs="Calibri" w:eastAsiaTheme="minorEastAsia"/>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3">
    <w:nsid w:val="1F250011"/>
    <w:multiLevelType w:val="multilevel"/>
    <w:tmpl w:val="1F250011"/>
    <w:lvl w:ilvl="0" w:tentative="0">
      <w:start w:val="1"/>
      <w:numFmt w:val="decimal"/>
      <w:pStyle w:val="1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4">
    <w:nsid w:val="218E7FEC"/>
    <w:multiLevelType w:val="multilevel"/>
    <w:tmpl w:val="218E7FEC"/>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4A55685D"/>
    <w:multiLevelType w:val="singleLevel"/>
    <w:tmpl w:val="4A55685D"/>
    <w:lvl w:ilvl="0" w:tentative="0">
      <w:start w:val="1"/>
      <w:numFmt w:val="bullet"/>
      <w:pStyle w:val="12"/>
      <w:lvlText w:val=""/>
      <w:lvlJc w:val="left"/>
      <w:pPr>
        <w:tabs>
          <w:tab w:val="left" w:pos="992"/>
        </w:tabs>
        <w:ind w:left="992" w:hanging="425"/>
      </w:pPr>
      <w:rPr>
        <w:rFonts w:hint="default" w:ascii="Symbol" w:hAnsi="Symbol"/>
      </w:rPr>
    </w:lvl>
  </w:abstractNum>
  <w:abstractNum w:abstractNumId="6">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EDC43E7"/>
    <w:multiLevelType w:val="multilevel"/>
    <w:tmpl w:val="6EDC43E7"/>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num w:numId="1">
    <w:abstractNumId w:val="9"/>
  </w:num>
  <w:num w:numId="2">
    <w:abstractNumId w:val="3"/>
  </w:num>
  <w:num w:numId="3">
    <w:abstractNumId w:val="5"/>
  </w:num>
  <w:num w:numId="4">
    <w:abstractNumId w:val="6"/>
  </w:num>
  <w:num w:numId="5">
    <w:abstractNumId w:val="4"/>
  </w:num>
  <w:num w:numId="6">
    <w:abstractNumId w:val="7"/>
  </w:num>
  <w:num w:numId="7">
    <w:abstractNumId w:val="1"/>
  </w:num>
  <w:num w:numId="8">
    <w:abstractNumId w:val="0"/>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00156C9"/>
    <w:rsid w:val="00393A6F"/>
    <w:rsid w:val="003B0D0A"/>
    <w:rsid w:val="005079B6"/>
    <w:rsid w:val="005B503D"/>
    <w:rsid w:val="00675D6B"/>
    <w:rsid w:val="006B2BAA"/>
    <w:rsid w:val="006C3324"/>
    <w:rsid w:val="00773086"/>
    <w:rsid w:val="007D12AA"/>
    <w:rsid w:val="009150CA"/>
    <w:rsid w:val="00991A96"/>
    <w:rsid w:val="009C4C82"/>
    <w:rsid w:val="00A97557"/>
    <w:rsid w:val="00C07E21"/>
    <w:rsid w:val="00CB773B"/>
    <w:rsid w:val="00CC13C5"/>
    <w:rsid w:val="00CC46AF"/>
    <w:rsid w:val="00E16110"/>
    <w:rsid w:val="00E34F84"/>
    <w:rsid w:val="00EC02F8"/>
    <w:rsid w:val="00F17B4B"/>
    <w:rsid w:val="017C2C9E"/>
    <w:rsid w:val="032A0AC5"/>
    <w:rsid w:val="03922DD8"/>
    <w:rsid w:val="03A35E95"/>
    <w:rsid w:val="0432329F"/>
    <w:rsid w:val="04496FBA"/>
    <w:rsid w:val="0480493A"/>
    <w:rsid w:val="04BB6F8D"/>
    <w:rsid w:val="06684CDB"/>
    <w:rsid w:val="06701AF0"/>
    <w:rsid w:val="0842762A"/>
    <w:rsid w:val="087026A6"/>
    <w:rsid w:val="0995305F"/>
    <w:rsid w:val="0AB55D38"/>
    <w:rsid w:val="0AC260D6"/>
    <w:rsid w:val="0AEF054D"/>
    <w:rsid w:val="0B2644E5"/>
    <w:rsid w:val="0B88440A"/>
    <w:rsid w:val="0CB90E13"/>
    <w:rsid w:val="0D093B48"/>
    <w:rsid w:val="0D5036F5"/>
    <w:rsid w:val="0DBA12E6"/>
    <w:rsid w:val="0E9A7146"/>
    <w:rsid w:val="0FCA7713"/>
    <w:rsid w:val="10102602"/>
    <w:rsid w:val="128B4FFF"/>
    <w:rsid w:val="12A84323"/>
    <w:rsid w:val="12B93667"/>
    <w:rsid w:val="12C83AD0"/>
    <w:rsid w:val="14CA62B3"/>
    <w:rsid w:val="15377A0D"/>
    <w:rsid w:val="15D95120"/>
    <w:rsid w:val="16002551"/>
    <w:rsid w:val="18363C5F"/>
    <w:rsid w:val="18AF0DAA"/>
    <w:rsid w:val="19D35C0A"/>
    <w:rsid w:val="1B4268F4"/>
    <w:rsid w:val="1B605FB5"/>
    <w:rsid w:val="1C090F1F"/>
    <w:rsid w:val="1D792624"/>
    <w:rsid w:val="1E676920"/>
    <w:rsid w:val="1E930578"/>
    <w:rsid w:val="1EDB62EF"/>
    <w:rsid w:val="1F3233D2"/>
    <w:rsid w:val="1F96409E"/>
    <w:rsid w:val="20D963DA"/>
    <w:rsid w:val="210259D9"/>
    <w:rsid w:val="22533231"/>
    <w:rsid w:val="228A45A0"/>
    <w:rsid w:val="22E1312C"/>
    <w:rsid w:val="2343105D"/>
    <w:rsid w:val="25491573"/>
    <w:rsid w:val="26161845"/>
    <w:rsid w:val="26846DC9"/>
    <w:rsid w:val="276E0D20"/>
    <w:rsid w:val="27A1208F"/>
    <w:rsid w:val="28162931"/>
    <w:rsid w:val="2818017E"/>
    <w:rsid w:val="292834C8"/>
    <w:rsid w:val="296E14AB"/>
    <w:rsid w:val="29DD3F3B"/>
    <w:rsid w:val="2A634FCD"/>
    <w:rsid w:val="2A7F3DC1"/>
    <w:rsid w:val="2AAF008B"/>
    <w:rsid w:val="2AD30917"/>
    <w:rsid w:val="2B7C1B78"/>
    <w:rsid w:val="2BC472C3"/>
    <w:rsid w:val="2D7A6E07"/>
    <w:rsid w:val="2D915DAA"/>
    <w:rsid w:val="2E7B1E26"/>
    <w:rsid w:val="2EA50592"/>
    <w:rsid w:val="2EAA4211"/>
    <w:rsid w:val="2F1C5505"/>
    <w:rsid w:val="31967B93"/>
    <w:rsid w:val="321A5A5E"/>
    <w:rsid w:val="32456B21"/>
    <w:rsid w:val="33473D0C"/>
    <w:rsid w:val="33755E91"/>
    <w:rsid w:val="341E0B21"/>
    <w:rsid w:val="348B1E16"/>
    <w:rsid w:val="34F8431E"/>
    <w:rsid w:val="354A07D2"/>
    <w:rsid w:val="355377A7"/>
    <w:rsid w:val="364641AA"/>
    <w:rsid w:val="39F960CF"/>
    <w:rsid w:val="3A1C6EC9"/>
    <w:rsid w:val="3A384FBB"/>
    <w:rsid w:val="3AC5023F"/>
    <w:rsid w:val="3B746A46"/>
    <w:rsid w:val="3B892174"/>
    <w:rsid w:val="3BBE07B8"/>
    <w:rsid w:val="3BCA7C40"/>
    <w:rsid w:val="3C3619BF"/>
    <w:rsid w:val="3C44609B"/>
    <w:rsid w:val="3D8F0976"/>
    <w:rsid w:val="3D9E6801"/>
    <w:rsid w:val="3DFF3B2E"/>
    <w:rsid w:val="400511F4"/>
    <w:rsid w:val="414E7EDB"/>
    <w:rsid w:val="422D07D9"/>
    <w:rsid w:val="433C187A"/>
    <w:rsid w:val="43875273"/>
    <w:rsid w:val="43DD12AF"/>
    <w:rsid w:val="43EA7528"/>
    <w:rsid w:val="44861B76"/>
    <w:rsid w:val="45246A6A"/>
    <w:rsid w:val="455B0EFD"/>
    <w:rsid w:val="46284F2E"/>
    <w:rsid w:val="46F10A60"/>
    <w:rsid w:val="48023A6F"/>
    <w:rsid w:val="48194880"/>
    <w:rsid w:val="48D4628E"/>
    <w:rsid w:val="4A7E1167"/>
    <w:rsid w:val="4B0C0AAD"/>
    <w:rsid w:val="4CEF5BAF"/>
    <w:rsid w:val="4CFD470E"/>
    <w:rsid w:val="4DFF1E22"/>
    <w:rsid w:val="4E257E64"/>
    <w:rsid w:val="4EA27B1F"/>
    <w:rsid w:val="50C335DB"/>
    <w:rsid w:val="514B766A"/>
    <w:rsid w:val="52C04C99"/>
    <w:rsid w:val="52C422AF"/>
    <w:rsid w:val="538074D9"/>
    <w:rsid w:val="53C953AC"/>
    <w:rsid w:val="54AC7F93"/>
    <w:rsid w:val="571B35CB"/>
    <w:rsid w:val="58367E4A"/>
    <w:rsid w:val="585316E8"/>
    <w:rsid w:val="586E1F24"/>
    <w:rsid w:val="58C425E6"/>
    <w:rsid w:val="59973856"/>
    <w:rsid w:val="5A92474A"/>
    <w:rsid w:val="5B555354"/>
    <w:rsid w:val="5C494351"/>
    <w:rsid w:val="5C9D2BB0"/>
    <w:rsid w:val="5CA87726"/>
    <w:rsid w:val="5CD17AB7"/>
    <w:rsid w:val="5DCC1B44"/>
    <w:rsid w:val="5F18471C"/>
    <w:rsid w:val="5F520B3B"/>
    <w:rsid w:val="606D1789"/>
    <w:rsid w:val="611D6152"/>
    <w:rsid w:val="612260F0"/>
    <w:rsid w:val="61B13217"/>
    <w:rsid w:val="61B444E2"/>
    <w:rsid w:val="62A82630"/>
    <w:rsid w:val="63C534B8"/>
    <w:rsid w:val="63EF2552"/>
    <w:rsid w:val="640F6E0B"/>
    <w:rsid w:val="6454227B"/>
    <w:rsid w:val="6508455B"/>
    <w:rsid w:val="65995949"/>
    <w:rsid w:val="659D21F5"/>
    <w:rsid w:val="66552ACF"/>
    <w:rsid w:val="667B6C0B"/>
    <w:rsid w:val="669E76DF"/>
    <w:rsid w:val="66A94083"/>
    <w:rsid w:val="670F1A20"/>
    <w:rsid w:val="671D3E59"/>
    <w:rsid w:val="678C0773"/>
    <w:rsid w:val="68815DFE"/>
    <w:rsid w:val="693370F8"/>
    <w:rsid w:val="699A7DF9"/>
    <w:rsid w:val="69FA7C16"/>
    <w:rsid w:val="6A2E40F1"/>
    <w:rsid w:val="6B723F6F"/>
    <w:rsid w:val="6B851761"/>
    <w:rsid w:val="6BDA0D35"/>
    <w:rsid w:val="6BE959B3"/>
    <w:rsid w:val="6C0E6FBE"/>
    <w:rsid w:val="6C5F0204"/>
    <w:rsid w:val="6C8E6023"/>
    <w:rsid w:val="6CDA03F3"/>
    <w:rsid w:val="6DD95D94"/>
    <w:rsid w:val="6DD977AC"/>
    <w:rsid w:val="6DE22E9A"/>
    <w:rsid w:val="6DEB3974"/>
    <w:rsid w:val="6E290AC9"/>
    <w:rsid w:val="6EDE4456"/>
    <w:rsid w:val="6FB22449"/>
    <w:rsid w:val="6FC30AAA"/>
    <w:rsid w:val="6FDC74A3"/>
    <w:rsid w:val="704E2A69"/>
    <w:rsid w:val="70964089"/>
    <w:rsid w:val="715333C7"/>
    <w:rsid w:val="717C5721"/>
    <w:rsid w:val="726E4B79"/>
    <w:rsid w:val="74453B2C"/>
    <w:rsid w:val="75022074"/>
    <w:rsid w:val="758B5F34"/>
    <w:rsid w:val="75A03B2E"/>
    <w:rsid w:val="75B06521"/>
    <w:rsid w:val="761A276A"/>
    <w:rsid w:val="768C7606"/>
    <w:rsid w:val="782228CA"/>
    <w:rsid w:val="78F65E09"/>
    <w:rsid w:val="7AC6251B"/>
    <w:rsid w:val="7BDE7397"/>
    <w:rsid w:val="7BEE0292"/>
    <w:rsid w:val="7CD07583"/>
    <w:rsid w:val="7D272FE3"/>
    <w:rsid w:val="7D364BC6"/>
    <w:rsid w:val="7EA82548"/>
    <w:rsid w:val="7EC7606C"/>
    <w:rsid w:val="7FFB1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autoRedefine/>
    <w:qFormat/>
    <w:uiPriority w:val="99"/>
    <w:pPr>
      <w:tabs>
        <w:tab w:val="center" w:pos="4252"/>
        <w:tab w:val="right" w:pos="8504"/>
      </w:tabs>
    </w:pPr>
  </w:style>
  <w:style w:type="paragraph" w:styleId="6">
    <w:name w:val="header"/>
    <w:basedOn w:val="1"/>
    <w:autoRedefine/>
    <w:qFormat/>
    <w:uiPriority w:val="99"/>
    <w:pPr>
      <w:widowControl w:val="0"/>
    </w:pPr>
    <w:rPr>
      <w:rFonts w:ascii="Arial" w:hAnsi="Arial" w:eastAsia="MS Mincho"/>
      <w:b/>
      <w:sz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autoRedefine/>
    <w:qFormat/>
    <w:uiPriority w:val="22"/>
    <w:rPr>
      <w:rFonts w:cs="Times New Roman"/>
      <w:b/>
    </w:rPr>
  </w:style>
  <w:style w:type="paragraph" w:customStyle="1" w:styleId="11">
    <w:name w:val="text intend 2"/>
    <w:basedOn w:val="12"/>
    <w:autoRedefine/>
    <w:qFormat/>
    <w:uiPriority w:val="0"/>
    <w:pPr>
      <w:widowControl/>
      <w:numPr>
        <w:numId w:val="2"/>
      </w:numPr>
      <w:tabs>
        <w:tab w:val="left" w:pos="420"/>
      </w:tabs>
      <w:spacing w:after="120"/>
    </w:pPr>
    <w:rPr>
      <w:lang w:val="en-US"/>
    </w:rPr>
  </w:style>
  <w:style w:type="paragraph" w:customStyle="1" w:styleId="12">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3">
    <w:name w:val="List Paragraph"/>
    <w:basedOn w:val="1"/>
    <w:autoRedefine/>
    <w:qFormat/>
    <w:uiPriority w:val="34"/>
    <w:pPr>
      <w:ind w:left="720"/>
      <w:contextualSpacing/>
    </w:pPr>
  </w:style>
  <w:style w:type="paragraph" w:customStyle="1" w:styleId="14">
    <w:name w:val="0 Main text"/>
    <w:basedOn w:val="1"/>
    <w:qFormat/>
    <w:uiPriority w:val="0"/>
    <w:rPr>
      <w:rFonts w:eastAsia="Malgun Gothic"/>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1004</Words>
  <Characters>5540</Characters>
  <Lines>47</Lines>
  <Paragraphs>13</Paragraphs>
  <TotalTime>4</TotalTime>
  <ScaleCrop>false</ScaleCrop>
  <LinksUpToDate>false</LinksUpToDate>
  <CharactersWithSpaces>6503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LC1001H1</cp:lastModifiedBy>
  <dcterms:modified xsi:type="dcterms:W3CDTF">2024-10-02T00:36:01Z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A11AAD0149124EE6B818897B223C256E_13</vt:lpwstr>
  </property>
</Properties>
</file>