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Heading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Heading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ListParagraph"/>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ListParagraph"/>
        <w:numPr>
          <w:ilvl w:val="0"/>
          <w:numId w:val="20"/>
        </w:numPr>
        <w:suppressAutoHyphens/>
        <w:autoSpaceDE/>
        <w:autoSpaceDN/>
        <w:adjustRightInd/>
        <w:snapToGrid/>
        <w:spacing w:after="0"/>
        <w:ind w:firstLineChars="0"/>
        <w:jc w:val="left"/>
      </w:pPr>
      <w:r w:rsidRPr="00147463">
        <w:t xml:space="preserve">The maximum of the additional default value (apart from the existing 20ms value) is at least 160 </w:t>
      </w:r>
      <w:proofErr w:type="spellStart"/>
      <w:r w:rsidRPr="00147463">
        <w:t>ms.</w:t>
      </w:r>
      <w:proofErr w:type="spellEnd"/>
    </w:p>
    <w:p w14:paraId="6F79AE38" w14:textId="77777777" w:rsidR="00666CA3" w:rsidRPr="00147463" w:rsidRDefault="00666CA3" w:rsidP="00666CA3">
      <w:pPr>
        <w:pStyle w:val="ListParagraph"/>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 xml:space="preserve">Legacy UEs (i.e. Rel-17 and Rel-18 UEs) are not expected to be able to camp on a cell with SS/PBCH blocks periodicity larger than 160 </w:t>
      </w:r>
      <w:proofErr w:type="spellStart"/>
      <w:r w:rsidRPr="00147463">
        <w:rPr>
          <w:rFonts w:cs="Times"/>
          <w:lang w:eastAsia="x-none"/>
        </w:rPr>
        <w:t>ms.</w:t>
      </w:r>
      <w:proofErr w:type="spellEnd"/>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 xml:space="preserve">FFS: </w:t>
      </w:r>
      <w:proofErr w:type="spellStart"/>
      <w:r w:rsidRPr="00147463">
        <w:rPr>
          <w:bCs/>
        </w:rPr>
        <w:t>signalling</w:t>
      </w:r>
      <w:proofErr w:type="spellEnd"/>
      <w:r w:rsidRPr="00147463">
        <w:rPr>
          <w:bCs/>
        </w:rPr>
        <w:t xml:space="preserve">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ListParagraph"/>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Support PDSCH repetitions within 20 </w:t>
      </w:r>
      <w:proofErr w:type="spellStart"/>
      <w:r w:rsidRPr="00147463">
        <w:rPr>
          <w:rFonts w:cs="Times"/>
        </w:rPr>
        <w:t>ms</w:t>
      </w:r>
      <w:proofErr w:type="spellEnd"/>
      <w:r w:rsidRPr="00147463">
        <w:rPr>
          <w:rFonts w:cs="Times"/>
        </w:rPr>
        <w:t xml:space="preserve">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Note 3: the above is not related to multiple SIB1 transmissions across 20 </w:t>
      </w:r>
      <w:proofErr w:type="spellStart"/>
      <w:r w:rsidRPr="00147463">
        <w:rPr>
          <w:rFonts w:cs="Times"/>
        </w:rPr>
        <w:t>ms</w:t>
      </w:r>
      <w:proofErr w:type="spellEnd"/>
      <w:r w:rsidRPr="00147463">
        <w:rPr>
          <w:rFonts w:cs="Times"/>
        </w:rPr>
        <w:t xml:space="preserve"> periodicities of SSB, which may not be available when the SSB periodicity is 160 </w:t>
      </w:r>
      <w:proofErr w:type="spellStart"/>
      <w:r w:rsidRPr="00147463">
        <w:rPr>
          <w:rFonts w:cs="Times"/>
        </w:rPr>
        <w:t>ms</w:t>
      </w:r>
      <w:proofErr w:type="spellEnd"/>
      <w:r w:rsidRPr="00147463">
        <w:rPr>
          <w:rFonts w:cs="Times"/>
        </w:rPr>
        <w:t xml:space="preserve">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Heading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ListParagraph"/>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ListParagraph"/>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ListParagraph"/>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ListParagraph"/>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ListParagraph"/>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w:t>
        </w:r>
        <w:proofErr w:type="spellStart"/>
        <w:r w:rsidR="006555FD" w:rsidRPr="006555FD">
          <w:t>ms</w:t>
        </w:r>
        <w:proofErr w:type="spellEnd"/>
        <w:r w:rsidR="006555FD" w:rsidRPr="006555FD">
          <w:t xml:space="preserve"> duration</w:t>
        </w:r>
      </w:ins>
    </w:p>
    <w:p w14:paraId="5CDD3479" w14:textId="4CA495F4" w:rsidR="00E74F5E" w:rsidRDefault="00E74F5E" w:rsidP="00E74F5E">
      <w:pPr>
        <w:pStyle w:val="ListParagraph"/>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ListParagraph"/>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ListParagraph"/>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 xml:space="preserve">t 160 </w:t>
        </w:r>
        <w:proofErr w:type="spellStart"/>
        <w:r>
          <w:t>ms</w:t>
        </w:r>
        <w:proofErr w:type="spellEnd"/>
      </w:ins>
    </w:p>
    <w:p w14:paraId="0CE22BB0" w14:textId="2CF7ACED" w:rsidR="00BF6B0D" w:rsidRPr="00BF6B0D" w:rsidRDefault="00BF6B0D" w:rsidP="00BF6B0D">
      <w:pPr>
        <w:pStyle w:val="ListParagraph"/>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ListParagraph"/>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ListParagraph"/>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ListParagraph"/>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ListParagraph"/>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ListParagraph"/>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ListParagraph"/>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ListParagraph"/>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ListParagraph"/>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ListParagraph"/>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rsidRPr="00E74F5E">
          <w:t>ms.</w:t>
        </w:r>
      </w:ins>
      <w:proofErr w:type="spellEnd"/>
    </w:p>
    <w:p w14:paraId="44F49C9D" w14:textId="56F94545" w:rsidR="00147463" w:rsidRPr="00147463" w:rsidRDefault="00147463">
      <w:pPr>
        <w:pStyle w:val="ListParagraph"/>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Heading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TableGrid"/>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It is not precluded to study, and specify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AA7545" w:rsidRPr="004A042C" w14:paraId="18146F28" w14:textId="77777777" w:rsidTr="002F1600">
        <w:tc>
          <w:tcPr>
            <w:tcW w:w="3102" w:type="dxa"/>
          </w:tcPr>
          <w:p w14:paraId="0FFE8FE9" w14:textId="51D094CF" w:rsidR="00AA7545" w:rsidRPr="004A042C" w:rsidRDefault="00AA7545" w:rsidP="00AA7545">
            <w:pPr>
              <w:spacing w:after="0"/>
              <w:rPr>
                <w:b/>
                <w:lang w:eastAsia="zh-CN"/>
              </w:rPr>
            </w:pPr>
            <w:r>
              <w:rPr>
                <w:b/>
                <w:lang w:eastAsia="zh-CN"/>
              </w:rPr>
              <w:t>X</w:t>
            </w:r>
            <w:r>
              <w:rPr>
                <w:rFonts w:hint="eastAsia"/>
                <w:b/>
                <w:lang w:eastAsia="zh-CN"/>
              </w:rPr>
              <w:t>iaomi</w:t>
            </w:r>
          </w:p>
        </w:tc>
        <w:tc>
          <w:tcPr>
            <w:tcW w:w="6391" w:type="dxa"/>
          </w:tcPr>
          <w:p w14:paraId="33E39804" w14:textId="57D6899B" w:rsidR="00AA7545" w:rsidRPr="004A042C" w:rsidRDefault="00AA7545" w:rsidP="00AA7545">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TableGrid"/>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b/>
                <w:lang w:eastAsia="zh-CN"/>
              </w:rPr>
            </w:pPr>
            <w:r w:rsidRPr="00C93556">
              <w:rPr>
                <w:b/>
                <w:lang w:eastAsia="zh-CN"/>
              </w:rPr>
              <w:t></w:t>
            </w:r>
            <w:r w:rsidRPr="00C93556">
              <w:rPr>
                <w:b/>
                <w:lang w:eastAsia="zh-CN"/>
              </w:rPr>
              <w:tab/>
              <w:t xml:space="preserve">Consider (if beneficial) enhancements on </w:t>
            </w:r>
            <w:r w:rsidRPr="00C93556">
              <w:rPr>
                <w:b/>
                <w:color w:val="FF0000"/>
                <w:lang w:eastAsia="zh-CN"/>
              </w:rPr>
              <w:t>cell</w:t>
            </w:r>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42A55636" w:rsidR="004A042C" w:rsidRPr="00A8162E" w:rsidRDefault="00AA7545" w:rsidP="00A8162E">
            <w:pPr>
              <w:spacing w:after="0"/>
              <w:rPr>
                <w:b/>
                <w:lang w:eastAsia="zh-CN"/>
              </w:rPr>
            </w:pPr>
            <w:r>
              <w:rPr>
                <w:rFonts w:hint="eastAsia"/>
                <w:b/>
                <w:lang w:eastAsia="zh-CN"/>
              </w:rPr>
              <w:t>x</w:t>
            </w:r>
            <w:r>
              <w:rPr>
                <w:b/>
                <w:lang w:eastAsia="zh-CN"/>
              </w:rPr>
              <w:t>iaomi</w:t>
            </w:r>
          </w:p>
        </w:tc>
        <w:tc>
          <w:tcPr>
            <w:tcW w:w="6391" w:type="dxa"/>
          </w:tcPr>
          <w:p w14:paraId="232C6B6B" w14:textId="5BE92B8F" w:rsidR="00AA7545" w:rsidRDefault="00AA7545" w:rsidP="00AA7545">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1B38F3E7" w14:textId="77777777" w:rsidR="00AA7545" w:rsidRDefault="00AA7545" w:rsidP="00AA7545">
            <w:pPr>
              <w:spacing w:after="0"/>
              <w:rPr>
                <w:b/>
                <w:lang w:eastAsia="zh-CN"/>
              </w:rPr>
            </w:pPr>
          </w:p>
          <w:p w14:paraId="7A21A010" w14:textId="77777777" w:rsidR="00AA7545" w:rsidRDefault="00AA7545" w:rsidP="00AA7545">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rsidRPr="00BF6B0D">
              <w:t>The maximum of the additional default value (apart from the existing 20ms value) is at leas</w:t>
            </w:r>
            <w:r>
              <w:t xml:space="preserve">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77068EDA" w14:textId="77777777" w:rsidR="00AA7545" w:rsidRDefault="00AA7545" w:rsidP="00AA7545">
            <w:pPr>
              <w:spacing w:after="0"/>
              <w:rPr>
                <w:b/>
                <w:lang w:eastAsia="zh-CN"/>
              </w:rPr>
            </w:pPr>
          </w:p>
          <w:p w14:paraId="25138195" w14:textId="22FB98DC" w:rsidR="004A042C" w:rsidRPr="00A8162E" w:rsidRDefault="00AA7545" w:rsidP="00AA7545">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4A042C" w:rsidRPr="00A8162E" w14:paraId="7E4A09ED" w14:textId="77777777" w:rsidTr="00A8162E">
        <w:tc>
          <w:tcPr>
            <w:tcW w:w="3102" w:type="dxa"/>
          </w:tcPr>
          <w:p w14:paraId="6D2F8C10" w14:textId="56E0214D" w:rsidR="004A042C" w:rsidRPr="00240F72" w:rsidRDefault="00240F72" w:rsidP="00A8162E">
            <w:pPr>
              <w:spacing w:after="0"/>
              <w:rPr>
                <w:rFonts w:eastAsia="Malgun Gothic"/>
                <w:b/>
                <w:lang w:eastAsia="ko-KR"/>
              </w:rPr>
            </w:pPr>
            <w:r>
              <w:rPr>
                <w:rFonts w:eastAsia="Malgun Gothic" w:hint="eastAsia"/>
                <w:b/>
                <w:lang w:eastAsia="ko-KR"/>
              </w:rPr>
              <w:t>Samsung</w:t>
            </w:r>
          </w:p>
        </w:tc>
        <w:tc>
          <w:tcPr>
            <w:tcW w:w="6391" w:type="dxa"/>
          </w:tcPr>
          <w:p w14:paraId="541D2CBC" w14:textId="082B092F" w:rsidR="004A042C" w:rsidRPr="00240F72" w:rsidRDefault="00240F72" w:rsidP="00A8162E">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observations and agreements for 320 </w:t>
            </w:r>
            <w:proofErr w:type="spellStart"/>
            <w:r>
              <w:rPr>
                <w:rFonts w:eastAsia="Malgun Gothic" w:hint="eastAsia"/>
                <w:b/>
                <w:lang w:eastAsia="ko-KR"/>
              </w:rPr>
              <w:t>ms</w:t>
            </w:r>
            <w:proofErr w:type="spellEnd"/>
            <w:r>
              <w:rPr>
                <w:rFonts w:eastAsia="Malgun Gothic" w:hint="eastAsia"/>
                <w:b/>
                <w:lang w:eastAsia="ko-KR"/>
              </w:rPr>
              <w:t xml:space="preserve"> and wide and narrow beams in RAN1, we don</w:t>
            </w:r>
            <w:r>
              <w:rPr>
                <w:rFonts w:eastAsia="Malgun Gothic"/>
                <w:b/>
                <w:lang w:eastAsia="ko-KR"/>
              </w:rPr>
              <w:t>’</w:t>
            </w:r>
            <w:r>
              <w:rPr>
                <w:rFonts w:eastAsia="Malgun Gothic" w:hint="eastAsia"/>
                <w:b/>
                <w:lang w:eastAsia="ko-KR"/>
              </w:rPr>
              <w:t>t need to add in this WID update.</w:t>
            </w:r>
          </w:p>
        </w:tc>
      </w:tr>
      <w:tr w:rsidR="00605F00" w:rsidRPr="00A8162E" w14:paraId="16B4937A" w14:textId="77777777" w:rsidTr="00A8162E">
        <w:tc>
          <w:tcPr>
            <w:tcW w:w="3102" w:type="dxa"/>
          </w:tcPr>
          <w:p w14:paraId="60562BC4" w14:textId="0D538CA0" w:rsidR="00605F00" w:rsidRDefault="00605F00" w:rsidP="00A8162E">
            <w:pPr>
              <w:spacing w:after="0"/>
              <w:rPr>
                <w:rFonts w:eastAsia="Malgun Gothic" w:hint="eastAsia"/>
                <w:b/>
                <w:lang w:eastAsia="ko-KR"/>
              </w:rPr>
            </w:pPr>
            <w:proofErr w:type="spellStart"/>
            <w:r>
              <w:rPr>
                <w:rFonts w:eastAsia="Malgun Gothic"/>
                <w:b/>
                <w:lang w:eastAsia="ko-KR"/>
              </w:rPr>
              <w:t>Viasat</w:t>
            </w:r>
            <w:proofErr w:type="spellEnd"/>
          </w:p>
        </w:tc>
        <w:tc>
          <w:tcPr>
            <w:tcW w:w="6391" w:type="dxa"/>
          </w:tcPr>
          <w:p w14:paraId="59467B23" w14:textId="77777777" w:rsidR="00605F00" w:rsidRPr="002F1600" w:rsidRDefault="00605F00" w:rsidP="00605F00">
            <w:pPr>
              <w:pStyle w:val="ListParagraph"/>
              <w:numPr>
                <w:ilvl w:val="2"/>
                <w:numId w:val="5"/>
              </w:numPr>
              <w:tabs>
                <w:tab w:val="left" w:pos="0"/>
              </w:tabs>
              <w:autoSpaceDE/>
              <w:autoSpaceDN/>
              <w:adjustRightInd/>
              <w:snapToGrid/>
              <w:spacing w:after="0" w:line="276" w:lineRule="auto"/>
              <w:ind w:firstLineChars="0"/>
              <w:contextualSpacing/>
              <w:rPr>
                <w:highlight w:val="yellow"/>
              </w:rPr>
            </w:pPr>
            <w:ins w:id="51" w:author="Thales" w:date="2024-12-09T16:35:00Z">
              <w:r w:rsidRPr="002F1600">
                <w:rPr>
                  <w:highlight w:val="yellow"/>
                </w:rPr>
                <w:t xml:space="preserve">FFS: </w:t>
              </w:r>
            </w:ins>
            <w:ins w:id="52" w:author="Thales" w:date="2024-12-09T16:31:00Z">
              <w:r w:rsidRPr="002F1600">
                <w:rPr>
                  <w:highlight w:val="yellow"/>
                </w:rPr>
                <w:t>Potential enhancements for transmitting the DL common channels using a wider beam footprint, while DL/UL dedicated channels (incl. PRACH) may be transmitted using a narrower beam footprint</w:t>
              </w:r>
            </w:ins>
          </w:p>
          <w:p w14:paraId="0A9D73E5" w14:textId="77777777" w:rsidR="00605F00" w:rsidRDefault="00605F00" w:rsidP="00A8162E">
            <w:pPr>
              <w:spacing w:after="0"/>
              <w:rPr>
                <w:rFonts w:eastAsia="Malgun Gothic"/>
                <w:b/>
                <w:lang w:eastAsia="ko-KR"/>
              </w:rPr>
            </w:pPr>
          </w:p>
          <w:p w14:paraId="0B96FB32" w14:textId="768F0FB2" w:rsidR="00605F00" w:rsidRDefault="00605F00" w:rsidP="00A8162E">
            <w:pPr>
              <w:spacing w:after="0"/>
              <w:rPr>
                <w:rFonts w:eastAsia="Malgun Gothic"/>
                <w:b/>
                <w:lang w:eastAsia="ko-KR"/>
              </w:rPr>
            </w:pPr>
            <w:r>
              <w:rPr>
                <w:rFonts w:eastAsia="Malgun Gothic"/>
                <w:b/>
                <w:lang w:eastAsia="ko-KR"/>
              </w:rPr>
              <w:t xml:space="preserve">We do not think that this should have a “FFS”.  Since the phrase </w:t>
            </w:r>
            <w:r>
              <w:rPr>
                <w:rFonts w:eastAsia="Malgun Gothic"/>
                <w:b/>
                <w:lang w:eastAsia="ko-KR"/>
              </w:rPr>
              <w:lastRenderedPageBreak/>
              <w:t>“potential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14:paraId="3DB6E52A" w14:textId="77777777" w:rsidR="00605F00" w:rsidRDefault="00605F00" w:rsidP="00A8162E">
            <w:pPr>
              <w:spacing w:after="0"/>
              <w:rPr>
                <w:rFonts w:eastAsia="Malgun Gothic"/>
                <w:b/>
                <w:lang w:eastAsia="ko-KR"/>
              </w:rPr>
            </w:pPr>
          </w:p>
          <w:p w14:paraId="1BC11633" w14:textId="6B0824A8" w:rsidR="00605F00" w:rsidRDefault="00605F00" w:rsidP="00A8162E">
            <w:pPr>
              <w:spacing w:after="0"/>
              <w:rPr>
                <w:rFonts w:eastAsia="Malgun Gothic"/>
                <w:b/>
                <w:lang w:eastAsia="ko-KR"/>
              </w:rPr>
            </w:pPr>
            <w:r>
              <w:rPr>
                <w:rFonts w:eastAsia="Malgun Gothic"/>
                <w:b/>
                <w:lang w:eastAsia="ko-KR"/>
              </w:rPr>
              <w:t xml:space="preserve">This feature is important for operators for reasons outlined in previous </w:t>
            </w:r>
            <w:proofErr w:type="spellStart"/>
            <w:r>
              <w:rPr>
                <w:rFonts w:eastAsia="Malgun Gothic"/>
                <w:b/>
                <w:lang w:eastAsia="ko-KR"/>
              </w:rPr>
              <w:t>Tdocs</w:t>
            </w:r>
            <w:proofErr w:type="spellEnd"/>
            <w:r>
              <w:rPr>
                <w:rFonts w:eastAsia="Malgun Gothic"/>
                <w:b/>
                <w:lang w:eastAsia="ko-KR"/>
              </w:rPr>
              <w:t xml:space="preserve"> from Inmarsat/</w:t>
            </w:r>
            <w:proofErr w:type="spellStart"/>
            <w:r>
              <w:rPr>
                <w:rFonts w:eastAsia="Malgun Gothic"/>
                <w:b/>
                <w:lang w:eastAsia="ko-KR"/>
              </w:rPr>
              <w:t>Viasat</w:t>
            </w:r>
            <w:proofErr w:type="spellEnd"/>
            <w:r>
              <w:rPr>
                <w:rFonts w:eastAsia="Malgun Gothic"/>
                <w:b/>
                <w:lang w:eastAsia="ko-KR"/>
              </w:rPr>
              <w:t>.  Certainly specification impact and alternate ways of achieving the same outcome will be considered in RAN1 discussions.</w:t>
            </w:r>
          </w:p>
          <w:p w14:paraId="1F8738F5" w14:textId="77777777" w:rsidR="00E252A9" w:rsidRDefault="00E252A9" w:rsidP="00A8162E">
            <w:pPr>
              <w:spacing w:after="0"/>
              <w:rPr>
                <w:rFonts w:eastAsia="Malgun Gothic"/>
                <w:b/>
                <w:lang w:eastAsia="ko-KR"/>
              </w:rPr>
            </w:pPr>
          </w:p>
          <w:p w14:paraId="32B0138F" w14:textId="56BF3B73" w:rsidR="00E252A9" w:rsidRDefault="00E252A9" w:rsidP="00A8162E">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64D9E860" w14:textId="590B47DE" w:rsidR="00605F00" w:rsidRDefault="00605F00" w:rsidP="00A8162E">
            <w:pPr>
              <w:spacing w:after="0"/>
              <w:rPr>
                <w:rFonts w:eastAsia="Malgun Gothic" w:hint="eastAsia"/>
                <w:b/>
                <w:lang w:eastAsia="ko-KR"/>
              </w:rPr>
            </w:pP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Heading1"/>
      </w:pPr>
      <w:r>
        <w:t>Conclusions</w:t>
      </w:r>
    </w:p>
    <w:p w14:paraId="6585B6F1" w14:textId="68C65335" w:rsidR="003017AA" w:rsidRDefault="003017AA" w:rsidP="003017AA">
      <w:pPr>
        <w:rPr>
          <w:ins w:id="53" w:author="Thales" w:date="2024-12-09T16:41:00Z"/>
          <w:lang w:eastAsia="zh-CN"/>
        </w:rPr>
      </w:pPr>
    </w:p>
    <w:p w14:paraId="1B73056D" w14:textId="26A3F307" w:rsidR="004A042C" w:rsidRDefault="004A042C" w:rsidP="003017AA">
      <w:pPr>
        <w:rPr>
          <w:ins w:id="54" w:author="Thales" w:date="2024-12-09T16:41:00Z"/>
          <w:lang w:eastAsia="zh-CN"/>
        </w:rPr>
      </w:pPr>
    </w:p>
    <w:p w14:paraId="7AAF1181" w14:textId="293F8A62" w:rsidR="004A042C" w:rsidRDefault="004A042C" w:rsidP="003017AA">
      <w:pPr>
        <w:rPr>
          <w:ins w:id="55"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Heading1"/>
        <w:numPr>
          <w:ilvl w:val="0"/>
          <w:numId w:val="0"/>
        </w:numPr>
        <w:ind w:left="432" w:hanging="432"/>
      </w:pPr>
      <w:r>
        <w:t>References</w:t>
      </w:r>
    </w:p>
    <w:p w14:paraId="13238EF2" w14:textId="3822084D" w:rsidR="00666CA3" w:rsidRDefault="00666CA3">
      <w:pPr>
        <w:pStyle w:val="ListParagraph"/>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 xml:space="preserve">Huawei, </w:t>
      </w:r>
      <w:proofErr w:type="spellStart"/>
      <w:r w:rsidRPr="00147463">
        <w:rPr>
          <w:sz w:val="20"/>
          <w:lang w:eastAsia="zh-CN"/>
        </w:rPr>
        <w:t>HiSilicon</w:t>
      </w:r>
      <w:proofErr w:type="spellEnd"/>
    </w:p>
    <w:p w14:paraId="54B81842"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 xml:space="preserve">CATT, CSCN, CAICT, </w:t>
      </w:r>
      <w:proofErr w:type="spellStart"/>
      <w:r w:rsidRPr="00147463">
        <w:rPr>
          <w:sz w:val="20"/>
          <w:lang w:eastAsia="zh-CN"/>
        </w:rPr>
        <w:t>Baicells</w:t>
      </w:r>
      <w:proofErr w:type="spellEnd"/>
      <w:r w:rsidRPr="00147463">
        <w:rPr>
          <w:sz w:val="20"/>
          <w:lang w:eastAsia="zh-CN"/>
        </w:rPr>
        <w:t xml:space="preserve">, HONOR, Lenovo, OPPO, </w:t>
      </w:r>
      <w:proofErr w:type="spellStart"/>
      <w:r w:rsidRPr="00147463">
        <w:rPr>
          <w:sz w:val="20"/>
          <w:lang w:eastAsia="zh-CN"/>
        </w:rPr>
        <w:t>Spreadtrum</w:t>
      </w:r>
      <w:proofErr w:type="spellEnd"/>
      <w:r w:rsidRPr="00147463">
        <w:rPr>
          <w:sz w:val="20"/>
          <w:lang w:eastAsia="zh-CN"/>
        </w:rPr>
        <w:t xml:space="preserve">, TCL, </w:t>
      </w:r>
      <w:proofErr w:type="spellStart"/>
      <w:r w:rsidRPr="00147463">
        <w:rPr>
          <w:sz w:val="20"/>
          <w:lang w:eastAsia="zh-CN"/>
        </w:rPr>
        <w:t>xiaomi</w:t>
      </w:r>
      <w:proofErr w:type="spellEnd"/>
    </w:p>
    <w:p w14:paraId="28CB2415" w14:textId="77777777" w:rsidR="00147463" w:rsidRPr="00147463" w:rsidRDefault="00147463" w:rsidP="00147463">
      <w:pPr>
        <w:pStyle w:val="ListParagraph"/>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 xml:space="preserve">ZTE Corporation, </w:t>
      </w:r>
      <w:proofErr w:type="spellStart"/>
      <w:r w:rsidRPr="00147463">
        <w:rPr>
          <w:sz w:val="20"/>
          <w:lang w:eastAsia="zh-CN"/>
        </w:rPr>
        <w:t>Sanechips</w:t>
      </w:r>
      <w:proofErr w:type="spellEnd"/>
    </w:p>
    <w:p w14:paraId="0CA536D6" w14:textId="1434028A" w:rsidR="00666CA3" w:rsidRDefault="00147463" w:rsidP="00147463">
      <w:pPr>
        <w:pStyle w:val="ListParagraph"/>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CD7E3" w14:textId="77777777" w:rsidR="00C23932" w:rsidRDefault="00C23932">
      <w:pPr>
        <w:spacing w:after="0"/>
      </w:pPr>
      <w:r>
        <w:separator/>
      </w:r>
    </w:p>
  </w:endnote>
  <w:endnote w:type="continuationSeparator" w:id="0">
    <w:p w14:paraId="6A1F9AC2" w14:textId="77777777" w:rsidR="00C23932" w:rsidRDefault="00C239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974EC" w14:textId="77777777" w:rsidR="00C23932" w:rsidRDefault="00C23932">
      <w:pPr>
        <w:spacing w:after="0"/>
      </w:pPr>
      <w:r>
        <w:separator/>
      </w:r>
    </w:p>
  </w:footnote>
  <w:footnote w:type="continuationSeparator" w:id="0">
    <w:p w14:paraId="459FD89D" w14:textId="77777777" w:rsidR="00C23932" w:rsidRDefault="00C239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10141663">
    <w:abstractNumId w:val="11"/>
  </w:num>
  <w:num w:numId="2" w16cid:durableId="1646396983">
    <w:abstractNumId w:val="12"/>
  </w:num>
  <w:num w:numId="3" w16cid:durableId="1936477056">
    <w:abstractNumId w:val="13"/>
  </w:num>
  <w:num w:numId="4" w16cid:durableId="1031340529">
    <w:abstractNumId w:val="3"/>
  </w:num>
  <w:num w:numId="5" w16cid:durableId="395056049">
    <w:abstractNumId w:val="9"/>
  </w:num>
  <w:num w:numId="6" w16cid:durableId="1741252155">
    <w:abstractNumId w:val="2"/>
  </w:num>
  <w:num w:numId="7" w16cid:durableId="1254706035">
    <w:abstractNumId w:val="1"/>
  </w:num>
  <w:num w:numId="8" w16cid:durableId="1961261555">
    <w:abstractNumId w:val="6"/>
  </w:num>
  <w:num w:numId="9" w16cid:durableId="167908704">
    <w:abstractNumId w:val="20"/>
  </w:num>
  <w:num w:numId="10" w16cid:durableId="191068755">
    <w:abstractNumId w:val="19"/>
  </w:num>
  <w:num w:numId="11" w16cid:durableId="1131826933">
    <w:abstractNumId w:val="7"/>
  </w:num>
  <w:num w:numId="12" w16cid:durableId="1379209007">
    <w:abstractNumId w:val="5"/>
  </w:num>
  <w:num w:numId="13" w16cid:durableId="932006573">
    <w:abstractNumId w:val="14"/>
  </w:num>
  <w:num w:numId="14" w16cid:durableId="980573758">
    <w:abstractNumId w:val="21"/>
  </w:num>
  <w:num w:numId="15" w16cid:durableId="1489595457">
    <w:abstractNumId w:val="10"/>
  </w:num>
  <w:num w:numId="16" w16cid:durableId="1818568520">
    <w:abstractNumId w:val="22"/>
  </w:num>
  <w:num w:numId="17" w16cid:durableId="1417744847">
    <w:abstractNumId w:val="18"/>
  </w:num>
  <w:num w:numId="18" w16cid:durableId="564726715">
    <w:abstractNumId w:val="16"/>
  </w:num>
  <w:num w:numId="19" w16cid:durableId="136075223">
    <w:abstractNumId w:val="23"/>
  </w:num>
  <w:num w:numId="20" w16cid:durableId="195122152">
    <w:abstractNumId w:val="17"/>
  </w:num>
  <w:num w:numId="21" w16cid:durableId="879905143">
    <w:abstractNumId w:val="8"/>
  </w:num>
  <w:num w:numId="22" w16cid:durableId="626202864">
    <w:abstractNumId w:val="0"/>
  </w:num>
  <w:num w:numId="23" w16cid:durableId="1380058710">
    <w:abstractNumId w:val="4"/>
  </w:num>
  <w:num w:numId="24" w16cid:durableId="107639369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46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목록 단,?? ??,?????,????,Grille moyenne 1 - Accent 21,- Bullets,1st level - Bullet List Paragraph,List Paragraph1,Lettre d'introduction,Paragrafo elenco,Normal bullet 2,Bullet list,Numbered List,Lista1,Task Body,3 Txt tabla,列出段落"/>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ListParagraphChar">
    <w:name w:val="List Paragraph Char"/>
    <w:aliases w:val="목록 단 Char,?? ?? Char,????? Char,???? Char,Grille moyenne 1 - Accent 21 Char,- Bullets Char,1st level - Bullet List Paragraph Char,List Paragraph1 Char,Lettre d'introduction Char,Paragrafo elenco Char,Normal bullet 2 Char,Lista1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Revision">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FCEB4-F9E9-408D-A01C-7541CFA82825}">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2135</Words>
  <Characters>12175</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Das, Nandan</cp:lastModifiedBy>
  <cp:revision>4</cp:revision>
  <cp:lastPrinted>2018-12-18T07:25:00Z</cp:lastPrinted>
  <dcterms:created xsi:type="dcterms:W3CDTF">2024-12-10T07:38:00Z</dcterms:created>
  <dcterms:modified xsi:type="dcterms:W3CDTF">2024-12-10T07:44:00Z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