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2989C1" w14:textId="557E334D" w:rsidR="005F6BB8" w:rsidRPr="00A079D3" w:rsidRDefault="005F6BB8" w:rsidP="005F6BB8">
      <w:pPr>
        <w:keepLines/>
        <w:tabs>
          <w:tab w:val="left" w:pos="567"/>
        </w:tabs>
        <w:snapToGrid w:val="0"/>
        <w:rPr>
          <w:rFonts w:ascii="Arial" w:eastAsia="MS Mincho" w:hAnsi="Arial" w:cs="Arial"/>
          <w:b/>
          <w:sz w:val="28"/>
          <w:szCs w:val="28"/>
        </w:rPr>
      </w:pPr>
      <w:bookmarkStart w:id="0" w:name="_Hlk528502858"/>
      <w:r w:rsidRPr="00A079D3">
        <w:rPr>
          <w:rFonts w:ascii="Arial" w:hAnsi="Arial" w:cs="Arial"/>
          <w:b/>
          <w:sz w:val="28"/>
          <w:szCs w:val="28"/>
        </w:rPr>
        <w:t xml:space="preserve">3GPP TSG </w:t>
      </w:r>
      <w:r>
        <w:rPr>
          <w:rFonts w:ascii="Arial" w:hAnsi="Arial" w:cs="Arial"/>
          <w:b/>
          <w:sz w:val="28"/>
          <w:szCs w:val="28"/>
        </w:rPr>
        <w:t>RAN Meeting #10</w:t>
      </w:r>
      <w:r w:rsidR="002E0ADA">
        <w:rPr>
          <w:rFonts w:ascii="Arial" w:hAnsi="Arial" w:cs="Arial"/>
          <w:b/>
          <w:sz w:val="28"/>
          <w:szCs w:val="28"/>
        </w:rPr>
        <w:t>6</w:t>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AF3B42" w:rsidRPr="00AF3B42">
        <w:rPr>
          <w:rFonts w:ascii="Arial" w:hAnsi="Arial" w:cs="Arial"/>
          <w:b/>
          <w:sz w:val="28"/>
          <w:szCs w:val="28"/>
        </w:rPr>
        <w:t>RP-242639</w:t>
      </w:r>
    </w:p>
    <w:p w14:paraId="1157FE80" w14:textId="77777777" w:rsidR="009D0E9B" w:rsidRPr="006439B6" w:rsidRDefault="009D0E9B" w:rsidP="009D0E9B">
      <w:pPr>
        <w:keepLines/>
        <w:tabs>
          <w:tab w:val="left" w:pos="567"/>
        </w:tabs>
        <w:rPr>
          <w:rFonts w:ascii="Arial" w:hAnsi="Arial" w:cs="Arial"/>
          <w:b/>
          <w:sz w:val="28"/>
          <w:szCs w:val="28"/>
          <w:lang w:val="sv-SE" w:eastAsia="en-GB"/>
        </w:rPr>
      </w:pPr>
      <w:r w:rsidRPr="006439B6">
        <w:rPr>
          <w:rFonts w:ascii="Arial" w:hAnsi="Arial" w:cs="Arial"/>
          <w:b/>
          <w:sz w:val="28"/>
          <w:szCs w:val="28"/>
          <w:lang w:val="sv-SE"/>
        </w:rPr>
        <w:t>Madrid, Spain, December 9-12, 2024</w:t>
      </w:r>
    </w:p>
    <w:p w14:paraId="6096A720" w14:textId="6C9E560C" w:rsidR="005F6BB8" w:rsidRPr="006439B6" w:rsidRDefault="005F6BB8" w:rsidP="005F6BB8">
      <w:pPr>
        <w:keepLines/>
        <w:tabs>
          <w:tab w:val="left" w:pos="567"/>
        </w:tabs>
        <w:rPr>
          <w:rFonts w:ascii="Arial" w:hAnsi="Arial" w:cs="Arial"/>
          <w:b/>
          <w:sz w:val="28"/>
          <w:szCs w:val="28"/>
          <w:lang w:val="sv-SE"/>
        </w:rPr>
      </w:pPr>
    </w:p>
    <w:bookmarkEnd w:id="0"/>
    <w:p w14:paraId="24F4F4A6" w14:textId="77777777" w:rsidR="005F6BB8" w:rsidRPr="006439B6" w:rsidRDefault="005F6BB8" w:rsidP="000F1261">
      <w:pPr>
        <w:tabs>
          <w:tab w:val="left" w:pos="3300"/>
        </w:tabs>
        <w:spacing w:after="120"/>
        <w:ind w:left="1985" w:hanging="1985"/>
        <w:rPr>
          <w:rFonts w:ascii="Arial" w:hAnsi="Arial" w:cs="Arial"/>
          <w:b/>
          <w:lang w:val="sv-SE"/>
        </w:rPr>
      </w:pPr>
    </w:p>
    <w:p w14:paraId="43B8EC8A" w14:textId="5BD21177" w:rsidR="00E25574" w:rsidRPr="006439B6" w:rsidRDefault="000F1261" w:rsidP="000F1261">
      <w:pPr>
        <w:tabs>
          <w:tab w:val="left" w:pos="3300"/>
        </w:tabs>
        <w:spacing w:after="120"/>
        <w:ind w:left="1985" w:hanging="1985"/>
        <w:rPr>
          <w:rFonts w:ascii="Arial" w:hAnsi="Arial" w:cs="Arial"/>
          <w:b/>
          <w:lang w:val="sv-SE"/>
        </w:rPr>
      </w:pPr>
      <w:r w:rsidRPr="006439B6">
        <w:rPr>
          <w:rFonts w:ascii="Arial" w:hAnsi="Arial" w:cs="Arial"/>
          <w:b/>
          <w:lang w:val="sv-SE"/>
        </w:rPr>
        <w:tab/>
      </w:r>
      <w:r w:rsidRPr="006439B6">
        <w:rPr>
          <w:rFonts w:ascii="Arial" w:hAnsi="Arial" w:cs="Arial"/>
          <w:b/>
          <w:lang w:val="sv-SE"/>
        </w:rPr>
        <w:tab/>
      </w:r>
    </w:p>
    <w:p w14:paraId="754D930D" w14:textId="38423AAA" w:rsidR="005F6BB8" w:rsidRPr="006439B6" w:rsidRDefault="005F6BB8" w:rsidP="005F6BB8">
      <w:pPr>
        <w:spacing w:after="120"/>
        <w:ind w:left="1985" w:hanging="1985"/>
        <w:rPr>
          <w:rFonts w:ascii="Arial" w:hAnsi="Arial" w:cs="Arial"/>
          <w:lang w:val="sv-SE"/>
        </w:rPr>
      </w:pPr>
      <w:r w:rsidRPr="006439B6">
        <w:rPr>
          <w:rFonts w:ascii="Arial" w:hAnsi="Arial" w:cs="Arial"/>
          <w:b/>
          <w:lang w:val="sv-SE"/>
        </w:rPr>
        <w:t>Agenda item:</w:t>
      </w:r>
      <w:r w:rsidRPr="006439B6">
        <w:rPr>
          <w:rFonts w:ascii="Arial" w:hAnsi="Arial" w:cs="Arial"/>
          <w:lang w:val="sv-SE"/>
        </w:rPr>
        <w:tab/>
      </w:r>
      <w:r w:rsidR="00745365" w:rsidRPr="006439B6">
        <w:rPr>
          <w:rFonts w:ascii="Arial" w:hAnsi="Arial" w:cs="Arial"/>
          <w:lang w:val="sv-SE"/>
        </w:rPr>
        <w:t>1</w:t>
      </w:r>
      <w:r w:rsidR="002E0ADA" w:rsidRPr="006439B6">
        <w:rPr>
          <w:rFonts w:ascii="Arial" w:hAnsi="Arial" w:cs="Arial"/>
          <w:lang w:val="sv-SE"/>
        </w:rPr>
        <w:t>6</w:t>
      </w:r>
    </w:p>
    <w:p w14:paraId="28574B77"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Ericsson</w:t>
      </w:r>
    </w:p>
    <w:p w14:paraId="37F6EC32" w14:textId="6ED0926D"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6D5F54">
        <w:rPr>
          <w:rFonts w:ascii="Arial" w:hAnsi="Arial" w:cs="Arial"/>
          <w:lang w:val="en-US"/>
        </w:rPr>
        <w:t xml:space="preserve">Proposed </w:t>
      </w:r>
      <w:r w:rsidR="00745365">
        <w:rPr>
          <w:rFonts w:ascii="Arial" w:hAnsi="Arial" w:cs="Arial"/>
          <w:lang w:val="en-US"/>
        </w:rPr>
        <w:t>Technical Performance Requirements (TPR) for IMT-2030</w:t>
      </w:r>
    </w:p>
    <w:p w14:paraId="49066BBD" w14:textId="60E8A443"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896C6F" w:rsidRPr="00896C6F">
        <w:rPr>
          <w:rFonts w:ascii="Arial" w:hAnsi="Arial" w:cs="Arial"/>
          <w:bCs/>
          <w:lang w:val="en-US"/>
        </w:rPr>
        <w:t>Discussion</w:t>
      </w:r>
    </w:p>
    <w:p w14:paraId="16601CE3" w14:textId="77777777" w:rsidR="002B6B5E" w:rsidRPr="009177A5" w:rsidRDefault="002B6B5E" w:rsidP="002B6B5E">
      <w:pPr>
        <w:pBdr>
          <w:bottom w:val="single" w:sz="4" w:space="1" w:color="auto"/>
        </w:pBdr>
        <w:rPr>
          <w:rFonts w:ascii="Arial" w:hAnsi="Arial" w:cs="Arial"/>
          <w:lang w:val="en-US"/>
        </w:rPr>
      </w:pPr>
    </w:p>
    <w:p w14:paraId="0040E12C" w14:textId="77777777" w:rsidR="00DB56A2" w:rsidRPr="009177A5" w:rsidRDefault="00DB56A2">
      <w:pPr>
        <w:rPr>
          <w:rFonts w:ascii="Arial" w:hAnsi="Arial" w:cs="Arial"/>
          <w:lang w:val="en-US"/>
        </w:rPr>
      </w:pPr>
    </w:p>
    <w:p w14:paraId="540B0B02" w14:textId="77777777" w:rsidR="00D466E4" w:rsidRDefault="00D2274A" w:rsidP="00D466E4">
      <w:pPr>
        <w:pStyle w:val="Heading1"/>
        <w:rPr>
          <w:lang w:val="en-US"/>
        </w:rPr>
      </w:pPr>
      <w:bookmarkStart w:id="1" w:name="_Hlk183518656"/>
      <w:r>
        <w:rPr>
          <w:lang w:val="en-US"/>
        </w:rPr>
        <w:t>Background</w:t>
      </w:r>
      <w:r w:rsidR="00D466E4" w:rsidRPr="009177A5">
        <w:rPr>
          <w:lang w:val="en-US"/>
        </w:rPr>
        <w:t xml:space="preserve"> </w:t>
      </w:r>
    </w:p>
    <w:p w14:paraId="07096612" w14:textId="6FF7A474" w:rsidR="00FF3907" w:rsidRDefault="00993AC9" w:rsidP="008143CD">
      <w:pPr>
        <w:pStyle w:val="BodyText"/>
        <w:rPr>
          <w:lang w:val="en-US"/>
        </w:rPr>
      </w:pPr>
      <w:r>
        <w:rPr>
          <w:lang w:val="en-US"/>
        </w:rPr>
        <w:t xml:space="preserve">In ITU-R WP5D, a new report </w:t>
      </w:r>
      <w:r w:rsidR="004859D7">
        <w:rPr>
          <w:lang w:val="en-US"/>
        </w:rPr>
        <w:t xml:space="preserve">on Technical Performance Requirements (TPR) </w:t>
      </w:r>
      <w:r>
        <w:rPr>
          <w:lang w:val="en-US"/>
        </w:rPr>
        <w:t>for IMT-2030 is being developed [</w:t>
      </w:r>
      <w:r w:rsidR="00FF3907">
        <w:rPr>
          <w:lang w:val="en-US"/>
        </w:rPr>
        <w:t>1</w:t>
      </w:r>
      <w:r>
        <w:rPr>
          <w:lang w:val="en-US"/>
        </w:rPr>
        <w:t xml:space="preserve">] that corresponds to </w:t>
      </w:r>
      <w:r w:rsidR="00D70BDD" w:rsidRPr="00CD1FEF">
        <w:t xml:space="preserve">ITU-R report </w:t>
      </w:r>
      <w:hyperlink r:id="rId10" w:history="1">
        <w:r w:rsidR="00D70BDD" w:rsidRPr="00CD1FEF">
          <w:rPr>
            <w:rStyle w:val="Hyperlink"/>
          </w:rPr>
          <w:t>M.2410</w:t>
        </w:r>
      </w:hyperlink>
      <w:r w:rsidR="00D70BDD">
        <w:rPr>
          <w:lang w:val="en-US"/>
        </w:rPr>
        <w:t xml:space="preserve"> </w:t>
      </w:r>
      <w:r>
        <w:rPr>
          <w:lang w:val="en-US"/>
        </w:rPr>
        <w:t>[</w:t>
      </w:r>
      <w:r w:rsidR="00D70BDD">
        <w:rPr>
          <w:lang w:val="en-US"/>
        </w:rPr>
        <w:t>5</w:t>
      </w:r>
      <w:r>
        <w:rPr>
          <w:lang w:val="en-US"/>
        </w:rPr>
        <w:t xml:space="preserve">] for IMT-2020. The report will define a set of </w:t>
      </w:r>
      <w:r w:rsidRPr="008A45EB">
        <w:rPr>
          <w:i/>
          <w:iCs/>
          <w:lang w:val="en-US"/>
        </w:rPr>
        <w:t>minimum technical performance requirements</w:t>
      </w:r>
      <w:r>
        <w:rPr>
          <w:lang w:val="en-US"/>
        </w:rPr>
        <w:t xml:space="preserve"> for</w:t>
      </w:r>
      <w:r w:rsidRPr="00BF34F1">
        <w:rPr>
          <w:lang w:val="en-US"/>
        </w:rPr>
        <w:t xml:space="preserve"> IMT-20</w:t>
      </w:r>
      <w:r>
        <w:rPr>
          <w:lang w:val="en-US"/>
        </w:rPr>
        <w:t>30</w:t>
      </w:r>
      <w:r w:rsidRPr="00BF34F1">
        <w:rPr>
          <w:lang w:val="en-US"/>
        </w:rPr>
        <w:t xml:space="preserve"> candidate radio interface technologies</w:t>
      </w:r>
      <w:r>
        <w:rPr>
          <w:lang w:val="en-US"/>
        </w:rPr>
        <w:t xml:space="preserve">. </w:t>
      </w:r>
      <w:r w:rsidR="00FF3907">
        <w:rPr>
          <w:lang w:val="en-US"/>
        </w:rPr>
        <w:t xml:space="preserve">In an LS from WP5D [2], </w:t>
      </w:r>
      <w:r w:rsidR="00051AD0">
        <w:rPr>
          <w:lang w:val="en-US"/>
        </w:rPr>
        <w:t>WP5D invites External Organizations to provide input on the TPR as follows:</w:t>
      </w:r>
    </w:p>
    <w:p w14:paraId="79080CFD" w14:textId="0EECDEA2" w:rsidR="00051AD0" w:rsidRDefault="00051AD0" w:rsidP="00B00582">
      <w:pPr>
        <w:pStyle w:val="BodyText"/>
        <w:numPr>
          <w:ilvl w:val="0"/>
          <w:numId w:val="9"/>
        </w:numPr>
      </w:pPr>
      <w:r>
        <w:t>Proposed c</w:t>
      </w:r>
      <w:r w:rsidRPr="00691F0A">
        <w:t xml:space="preserve">andidate </w:t>
      </w:r>
      <w:r>
        <w:t xml:space="preserve">items for minimum </w:t>
      </w:r>
      <w:r w:rsidRPr="00691F0A">
        <w:t>technical performance requirements based on Usage Scenarios and Capabilities</w:t>
      </w:r>
      <w:r w:rsidR="00D70BDD">
        <w:t xml:space="preserve"> from </w:t>
      </w:r>
      <w:r w:rsidR="00D70BDD" w:rsidRPr="00CD1FEF">
        <w:rPr>
          <w:lang w:eastAsia="zh-CN"/>
        </w:rPr>
        <w:t xml:space="preserve">ITU-R Recommendation </w:t>
      </w:r>
      <w:hyperlink r:id="rId11" w:history="1">
        <w:r w:rsidR="00D70BDD" w:rsidRPr="00CD1FEF">
          <w:rPr>
            <w:rStyle w:val="Hyperlink"/>
            <w:lang w:eastAsia="zh-CN"/>
          </w:rPr>
          <w:t>M.2160</w:t>
        </w:r>
      </w:hyperlink>
      <w:r w:rsidR="00D70BDD">
        <w:rPr>
          <w:lang w:eastAsia="zh-CN"/>
        </w:rPr>
        <w:t xml:space="preserve"> [6]</w:t>
      </w:r>
      <w:r w:rsidRPr="00691F0A">
        <w:t>, including necessary background information and justification</w:t>
      </w:r>
      <w:r>
        <w:t>, which are requested to be provided preferably by WP5D #48 (February 2025 TBC).</w:t>
      </w:r>
      <w:r w:rsidRPr="00691F0A">
        <w:t xml:space="preserve"> </w:t>
      </w:r>
    </w:p>
    <w:p w14:paraId="27438BC0" w14:textId="3025B469" w:rsidR="00051AD0" w:rsidRPr="00691F0A" w:rsidRDefault="00051AD0" w:rsidP="00B00582">
      <w:pPr>
        <w:pStyle w:val="BodyText"/>
        <w:numPr>
          <w:ilvl w:val="0"/>
          <w:numId w:val="9"/>
        </w:numPr>
      </w:pPr>
      <w:r>
        <w:t>Proposed associated target values</w:t>
      </w:r>
      <w:r w:rsidRPr="00691F0A">
        <w:t xml:space="preserve"> for the above </w:t>
      </w:r>
      <w:r>
        <w:t xml:space="preserve">candidate items for the minimum </w:t>
      </w:r>
      <w:r w:rsidRPr="00691F0A">
        <w:t>technical performance requirements</w:t>
      </w:r>
      <w:r>
        <w:t xml:space="preserve"> which are requested to be provided preferably by WP5D #49 (June/July 2025 TBC)</w:t>
      </w:r>
      <w:r w:rsidRPr="00691F0A">
        <w:t xml:space="preserve"> </w:t>
      </w:r>
    </w:p>
    <w:bookmarkEnd w:id="1"/>
    <w:p w14:paraId="5E4098EB" w14:textId="1FF12575" w:rsidR="00993AC9" w:rsidRDefault="00993AC9" w:rsidP="008143CD">
      <w:pPr>
        <w:pStyle w:val="BodyText"/>
        <w:rPr>
          <w:lang w:val="en-US"/>
        </w:rPr>
      </w:pPr>
      <w:r>
        <w:rPr>
          <w:lang w:val="en-US"/>
        </w:rPr>
        <w:t xml:space="preserve">This contribution </w:t>
      </w:r>
      <w:r w:rsidR="00051AD0">
        <w:rPr>
          <w:lang w:val="en-US"/>
        </w:rPr>
        <w:t>proposes candidate TPRs, based on the ongoing discussions in WP5D on the TPR W</w:t>
      </w:r>
      <w:r w:rsidR="00243CE4">
        <w:rPr>
          <w:lang w:val="en-US"/>
        </w:rPr>
        <w:t>o</w:t>
      </w:r>
      <w:r w:rsidR="00051AD0">
        <w:rPr>
          <w:lang w:val="en-US"/>
        </w:rPr>
        <w:t>r</w:t>
      </w:r>
      <w:r w:rsidR="00243CE4">
        <w:rPr>
          <w:lang w:val="en-US"/>
        </w:rPr>
        <w:t>k</w:t>
      </w:r>
      <w:r w:rsidR="00051AD0">
        <w:rPr>
          <w:lang w:val="en-US"/>
        </w:rPr>
        <w:t xml:space="preserve">ing document [1] and </w:t>
      </w:r>
      <w:r>
        <w:rPr>
          <w:lang w:val="en-US"/>
        </w:rPr>
        <w:t>WP5D input</w:t>
      </w:r>
      <w:r w:rsidR="00051AD0">
        <w:rPr>
          <w:lang w:val="en-US"/>
        </w:rPr>
        <w:t xml:space="preserve"> documents</w:t>
      </w:r>
      <w:r>
        <w:rPr>
          <w:lang w:val="en-US"/>
        </w:rPr>
        <w:t xml:space="preserve"> </w:t>
      </w:r>
      <w:r w:rsidR="00051AD0">
        <w:rPr>
          <w:lang w:val="en-US"/>
        </w:rPr>
        <w:t>[3,4]</w:t>
      </w:r>
      <w:r>
        <w:rPr>
          <w:lang w:val="en-US"/>
        </w:rPr>
        <w:t>.</w:t>
      </w:r>
      <w:r w:rsidR="00656B13">
        <w:rPr>
          <w:lang w:val="en-US"/>
        </w:rPr>
        <w:t xml:space="preserve"> </w:t>
      </w:r>
      <w:r w:rsidR="00243CE4">
        <w:rPr>
          <w:lang w:val="en-US"/>
        </w:rPr>
        <w:t xml:space="preserve">Some of the new proposed TPR are presented in more detail. In an Annex to this contribution, a text proposal for a future 3GPP TR is made, with </w:t>
      </w:r>
      <w:r w:rsidR="00B24CB0">
        <w:rPr>
          <w:lang w:val="en-US"/>
        </w:rPr>
        <w:t xml:space="preserve">proposed </w:t>
      </w:r>
      <w:r w:rsidR="00243CE4">
        <w:rPr>
          <w:lang w:val="en-US"/>
        </w:rPr>
        <w:t xml:space="preserve">definitions </w:t>
      </w:r>
      <w:r w:rsidR="00B24CB0">
        <w:rPr>
          <w:lang w:val="en-US"/>
        </w:rPr>
        <w:t>for</w:t>
      </w:r>
      <w:r w:rsidR="00243CE4">
        <w:rPr>
          <w:lang w:val="en-US"/>
        </w:rPr>
        <w:t xml:space="preserve"> th</w:t>
      </w:r>
      <w:r w:rsidR="00B24CB0">
        <w:rPr>
          <w:lang w:val="en-US"/>
        </w:rPr>
        <w:t>e</w:t>
      </w:r>
      <w:r w:rsidR="00243CE4">
        <w:rPr>
          <w:lang w:val="en-US"/>
        </w:rPr>
        <w:t xml:space="preserve"> TPR.</w:t>
      </w:r>
    </w:p>
    <w:p w14:paraId="3B216E31" w14:textId="78A6675D" w:rsidR="00D2274A" w:rsidRDefault="00051AD0" w:rsidP="00B26567">
      <w:pPr>
        <w:pStyle w:val="Heading1"/>
        <w:rPr>
          <w:lang w:val="en-US"/>
        </w:rPr>
      </w:pPr>
      <w:r>
        <w:t>Candidate IMT-2030 TPR</w:t>
      </w:r>
      <w:r w:rsidR="00551262">
        <w:rPr>
          <w:lang w:val="en-US"/>
        </w:rPr>
        <w:t xml:space="preserve"> </w:t>
      </w:r>
    </w:p>
    <w:p w14:paraId="458E8BE7" w14:textId="173DCAC7" w:rsidR="00F83D14" w:rsidRDefault="00F83D14" w:rsidP="00F83D14">
      <w:pPr>
        <w:pStyle w:val="BodyText"/>
      </w:pPr>
      <w:r w:rsidRPr="00CD1FEF">
        <w:rPr>
          <w:lang w:eastAsia="zh-CN"/>
        </w:rPr>
        <w:t xml:space="preserve">The Working document for the draft new Report </w:t>
      </w:r>
      <w:r w:rsidR="002F37BD">
        <w:rPr>
          <w:lang w:eastAsia="zh-CN"/>
        </w:rPr>
        <w:t>on TPR [1]</w:t>
      </w:r>
      <w:r w:rsidRPr="00CD1FEF">
        <w:rPr>
          <w:lang w:eastAsia="zh-CN"/>
        </w:rPr>
        <w:t xml:space="preserve"> lists technical performance requirements, based on the capabilities in </w:t>
      </w:r>
      <w:bookmarkStart w:id="2" w:name="_Hlk182858222"/>
      <w:r w:rsidRPr="00CD1FEF">
        <w:rPr>
          <w:lang w:eastAsia="zh-CN"/>
        </w:rPr>
        <w:t xml:space="preserve">ITU-R Recommendation </w:t>
      </w:r>
      <w:hyperlink r:id="rId12" w:history="1">
        <w:r w:rsidRPr="00CD1FEF">
          <w:rPr>
            <w:rStyle w:val="Hyperlink"/>
            <w:lang w:eastAsia="zh-CN"/>
          </w:rPr>
          <w:t>M.2160</w:t>
        </w:r>
      </w:hyperlink>
      <w:r w:rsidR="00D70BDD">
        <w:rPr>
          <w:lang w:eastAsia="zh-CN"/>
        </w:rPr>
        <w:t xml:space="preserve"> [6]</w:t>
      </w:r>
      <w:bookmarkEnd w:id="2"/>
      <w:r w:rsidR="00D70BDD">
        <w:rPr>
          <w:lang w:eastAsia="zh-CN"/>
        </w:rPr>
        <w:t>.</w:t>
      </w:r>
      <w:r w:rsidRPr="00CD1FEF">
        <w:rPr>
          <w:lang w:eastAsia="zh-CN"/>
        </w:rPr>
        <w:t xml:space="preserve"> Definitions of the TPR </w:t>
      </w:r>
      <w:r w:rsidR="00A42625">
        <w:rPr>
          <w:lang w:eastAsia="zh-CN"/>
        </w:rPr>
        <w:t xml:space="preserve">in [1] </w:t>
      </w:r>
      <w:r w:rsidR="00243CE4">
        <w:rPr>
          <w:lang w:eastAsia="zh-CN"/>
        </w:rPr>
        <w:t xml:space="preserve">are derived from </w:t>
      </w:r>
      <w:r w:rsidRPr="00CD1FEF">
        <w:rPr>
          <w:lang w:eastAsia="zh-CN"/>
        </w:rPr>
        <w:t>that recommendation</w:t>
      </w:r>
      <w:r w:rsidR="00243CE4">
        <w:rPr>
          <w:lang w:eastAsia="zh-CN"/>
        </w:rPr>
        <w:t>,</w:t>
      </w:r>
      <w:r w:rsidRPr="00CD1FEF">
        <w:rPr>
          <w:lang w:eastAsia="zh-CN"/>
        </w:rPr>
        <w:t xml:space="preserve"> the legacy definitions for IMT-2020 in </w:t>
      </w:r>
      <w:r w:rsidRPr="00CD1FEF">
        <w:t xml:space="preserve">Report ITU-R report </w:t>
      </w:r>
      <w:hyperlink r:id="rId13" w:history="1">
        <w:r w:rsidRPr="00CD1FEF">
          <w:rPr>
            <w:rStyle w:val="Hyperlink"/>
          </w:rPr>
          <w:t>M.2410</w:t>
        </w:r>
      </w:hyperlink>
      <w:r w:rsidR="00243CE4">
        <w:t xml:space="preserve"> </w:t>
      </w:r>
      <w:r w:rsidR="00D70BDD">
        <w:t xml:space="preserve">[5], </w:t>
      </w:r>
      <w:r w:rsidR="00243CE4">
        <w:t>plus additional input made to WP5D.</w:t>
      </w:r>
      <w:r w:rsidRPr="00CD1FEF">
        <w:t xml:space="preserve"> </w:t>
      </w:r>
      <w:r w:rsidR="00A42625">
        <w:rPr>
          <w:lang w:eastAsia="zh-CN"/>
        </w:rPr>
        <w:t>Being a “working document” means that the text in [1] is under discussion has varying levels of stability, ranging from text with wide consensus to some proposed TPR with weak support within WP5D. No text is formally agreed.</w:t>
      </w:r>
    </w:p>
    <w:p w14:paraId="5E251051" w14:textId="41F8E63B" w:rsidR="00051AD0" w:rsidRDefault="00320679" w:rsidP="00F83D14">
      <w:pPr>
        <w:pStyle w:val="BodyText"/>
      </w:pPr>
      <w:r>
        <w:t xml:space="preserve">The following are “legacy” TPR from IMT-2020 </w:t>
      </w:r>
      <w:r w:rsidR="00A42625">
        <w:t xml:space="preserve">that </w:t>
      </w:r>
      <w:r>
        <w:t xml:space="preserve">are proposed to be applied also for IMT-2030. </w:t>
      </w:r>
    </w:p>
    <w:p w14:paraId="013D8928" w14:textId="77777777" w:rsidR="000F48A5" w:rsidRDefault="000F48A5" w:rsidP="00B00582">
      <w:pPr>
        <w:pStyle w:val="BodyText"/>
        <w:numPr>
          <w:ilvl w:val="0"/>
          <w:numId w:val="10"/>
        </w:numPr>
      </w:pPr>
      <w:r>
        <w:t>Peak data rate</w:t>
      </w:r>
    </w:p>
    <w:p w14:paraId="14505583" w14:textId="77777777" w:rsidR="000F48A5" w:rsidRDefault="000F48A5" w:rsidP="00B00582">
      <w:pPr>
        <w:pStyle w:val="BodyText"/>
        <w:numPr>
          <w:ilvl w:val="0"/>
          <w:numId w:val="10"/>
        </w:numPr>
      </w:pPr>
      <w:r>
        <w:t>Peak Spectral Efficiency</w:t>
      </w:r>
    </w:p>
    <w:p w14:paraId="30C36DDE" w14:textId="42FA0BF1" w:rsidR="000F48A5" w:rsidRDefault="000F48A5" w:rsidP="00B00582">
      <w:pPr>
        <w:pStyle w:val="BodyText"/>
        <w:numPr>
          <w:ilvl w:val="0"/>
          <w:numId w:val="10"/>
        </w:numPr>
      </w:pPr>
      <w:r>
        <w:t>User experienced data rate</w:t>
      </w:r>
    </w:p>
    <w:p w14:paraId="1CF92217" w14:textId="59AC9774" w:rsidR="000F48A5" w:rsidRDefault="000F48A5" w:rsidP="00B00582">
      <w:pPr>
        <w:pStyle w:val="BodyText"/>
        <w:numPr>
          <w:ilvl w:val="0"/>
          <w:numId w:val="10"/>
        </w:numPr>
      </w:pPr>
      <w:r>
        <w:t>Average Spectral efficiency</w:t>
      </w:r>
    </w:p>
    <w:p w14:paraId="1C9D9078" w14:textId="797D63A2" w:rsidR="000F48A5" w:rsidRDefault="000F48A5" w:rsidP="00B00582">
      <w:pPr>
        <w:pStyle w:val="BodyText"/>
        <w:numPr>
          <w:ilvl w:val="0"/>
          <w:numId w:val="10"/>
        </w:numPr>
      </w:pPr>
      <w:r>
        <w:t>5th percentile user Spectral efficiency</w:t>
      </w:r>
    </w:p>
    <w:p w14:paraId="63BC0357" w14:textId="507432D1" w:rsidR="000F48A5" w:rsidRDefault="000F48A5" w:rsidP="00B00582">
      <w:pPr>
        <w:pStyle w:val="BodyText"/>
        <w:numPr>
          <w:ilvl w:val="0"/>
          <w:numId w:val="10"/>
        </w:numPr>
      </w:pPr>
      <w:r>
        <w:t>Area traffic capacity</w:t>
      </w:r>
    </w:p>
    <w:p w14:paraId="3ED8FFD7" w14:textId="284D9E46" w:rsidR="000F48A5" w:rsidRDefault="000F48A5" w:rsidP="00B00582">
      <w:pPr>
        <w:pStyle w:val="BodyText"/>
        <w:numPr>
          <w:ilvl w:val="0"/>
          <w:numId w:val="10"/>
        </w:numPr>
      </w:pPr>
      <w:bookmarkStart w:id="3" w:name="_Hlk183599340"/>
      <w:r>
        <w:t>Connection Density</w:t>
      </w:r>
      <w:bookmarkEnd w:id="3"/>
    </w:p>
    <w:p w14:paraId="25DBAFC7" w14:textId="2E6E8F68" w:rsidR="000F48A5" w:rsidRDefault="000F48A5" w:rsidP="00B00582">
      <w:pPr>
        <w:pStyle w:val="BodyText"/>
        <w:numPr>
          <w:ilvl w:val="0"/>
          <w:numId w:val="10"/>
        </w:numPr>
      </w:pPr>
      <w:r>
        <w:t>Mobility</w:t>
      </w:r>
    </w:p>
    <w:p w14:paraId="77F32282" w14:textId="2BE5DB7C" w:rsidR="000F48A5" w:rsidRDefault="000F48A5" w:rsidP="00B00582">
      <w:pPr>
        <w:pStyle w:val="BodyText"/>
        <w:numPr>
          <w:ilvl w:val="0"/>
          <w:numId w:val="10"/>
        </w:numPr>
      </w:pPr>
      <w:r>
        <w:t>Mobility interruption time</w:t>
      </w:r>
    </w:p>
    <w:p w14:paraId="00DAD90D" w14:textId="77777777" w:rsidR="00044D24" w:rsidRDefault="00044D24" w:rsidP="00B00582">
      <w:pPr>
        <w:pStyle w:val="BodyText"/>
        <w:numPr>
          <w:ilvl w:val="0"/>
          <w:numId w:val="10"/>
        </w:numPr>
      </w:pPr>
      <w:r>
        <w:t>User plane latency</w:t>
      </w:r>
    </w:p>
    <w:p w14:paraId="1D754632" w14:textId="77777777" w:rsidR="00044D24" w:rsidRDefault="000F48A5" w:rsidP="00B00582">
      <w:pPr>
        <w:pStyle w:val="BodyText"/>
        <w:numPr>
          <w:ilvl w:val="0"/>
          <w:numId w:val="10"/>
        </w:numPr>
      </w:pPr>
      <w:r>
        <w:t xml:space="preserve">Control plane </w:t>
      </w:r>
      <w:proofErr w:type="gramStart"/>
      <w:r>
        <w:t>latency</w:t>
      </w:r>
      <w:proofErr w:type="gramEnd"/>
    </w:p>
    <w:p w14:paraId="2D902880" w14:textId="64BE8F2E" w:rsidR="000F48A5" w:rsidRDefault="00914E06" w:rsidP="00B00582">
      <w:pPr>
        <w:pStyle w:val="BodyText"/>
        <w:numPr>
          <w:ilvl w:val="0"/>
          <w:numId w:val="10"/>
        </w:numPr>
      </w:pPr>
      <w:r>
        <w:t>[</w:t>
      </w:r>
      <w:r w:rsidR="000F48A5">
        <w:t>Reliability</w:t>
      </w:r>
      <w:r>
        <w:t>]</w:t>
      </w:r>
    </w:p>
    <w:p w14:paraId="0E6E894D" w14:textId="3438EA51" w:rsidR="000F48A5" w:rsidRDefault="000F48A5" w:rsidP="00B00582">
      <w:pPr>
        <w:pStyle w:val="BodyText"/>
        <w:numPr>
          <w:ilvl w:val="0"/>
          <w:numId w:val="10"/>
        </w:numPr>
      </w:pPr>
      <w:r>
        <w:t>Bandwidth</w:t>
      </w:r>
    </w:p>
    <w:p w14:paraId="4EE574C3" w14:textId="2127A30B" w:rsidR="00320679" w:rsidRPr="00CD1FEF" w:rsidRDefault="000F48A5" w:rsidP="00B00582">
      <w:pPr>
        <w:pStyle w:val="BodyText"/>
        <w:numPr>
          <w:ilvl w:val="0"/>
          <w:numId w:val="10"/>
        </w:numPr>
      </w:pPr>
      <w:r>
        <w:t>Energy Efficiency / Sustainability</w:t>
      </w:r>
    </w:p>
    <w:p w14:paraId="3B516965" w14:textId="6B4E7DF0" w:rsidR="003646FC" w:rsidRPr="002B3C59" w:rsidRDefault="00F76768" w:rsidP="00EB20E6">
      <w:pPr>
        <w:pStyle w:val="BodyText"/>
      </w:pPr>
      <w:r w:rsidRPr="003B5A89">
        <w:t xml:space="preserve">Definitions can largely remain with some updates, noting that the definitions in 3GPP did not fully align with ITU-R definitions from IMT-2020. For </w:t>
      </w:r>
      <w:r w:rsidR="00B24CB0" w:rsidRPr="00B24CB0">
        <w:rPr>
          <w:i/>
          <w:iCs/>
        </w:rPr>
        <w:t>E</w:t>
      </w:r>
      <w:r w:rsidRPr="00B24CB0">
        <w:rPr>
          <w:i/>
          <w:iCs/>
        </w:rPr>
        <w:t>nergy efficiency</w:t>
      </w:r>
      <w:r w:rsidRPr="003B5A89">
        <w:t xml:space="preserve">, a revised </w:t>
      </w:r>
      <w:proofErr w:type="spellStart"/>
      <w:r w:rsidRPr="003B5A89">
        <w:t>quantitive</w:t>
      </w:r>
      <w:proofErr w:type="spellEnd"/>
      <w:r w:rsidRPr="003B5A89">
        <w:t xml:space="preserve"> TPR is proposed.</w:t>
      </w:r>
      <w:r w:rsidR="003B5A89">
        <w:t xml:space="preserve"> This is further described </w:t>
      </w:r>
      <w:r w:rsidR="003B5A89" w:rsidRPr="00DF3680">
        <w:t>below</w:t>
      </w:r>
      <w:r w:rsidR="006E5EC5">
        <w:t xml:space="preserve"> in section 3</w:t>
      </w:r>
      <w:r w:rsidR="003B5A89">
        <w:t>.</w:t>
      </w:r>
      <w:r w:rsidR="002B3C59">
        <w:t xml:space="preserve"> In WP5D Energy efficiency is treated as part </w:t>
      </w:r>
      <w:r w:rsidR="002B3C59" w:rsidRPr="002B3C59">
        <w:rPr>
          <w:i/>
          <w:iCs/>
        </w:rPr>
        <w:t>Sustainability</w:t>
      </w:r>
      <w:r w:rsidR="002B3C59">
        <w:t xml:space="preserve">, but the broader aspects of that capability will most likely not remain as </w:t>
      </w:r>
      <w:proofErr w:type="gramStart"/>
      <w:r w:rsidR="002B3C59">
        <w:t>TPR, but</w:t>
      </w:r>
      <w:proofErr w:type="gramEnd"/>
      <w:r w:rsidR="002B3C59">
        <w:t xml:space="preserve"> could </w:t>
      </w:r>
      <w:r w:rsidR="000237D7">
        <w:t>potentially</w:t>
      </w:r>
      <w:r w:rsidR="002B3C59">
        <w:t xml:space="preserve"> be part o</w:t>
      </w:r>
      <w:r w:rsidR="000237D7">
        <w:t>f the submission template.</w:t>
      </w:r>
    </w:p>
    <w:p w14:paraId="6B8A7D02" w14:textId="354AF395" w:rsidR="00F76768" w:rsidRDefault="00F76768" w:rsidP="00EB20E6">
      <w:pPr>
        <w:pStyle w:val="BodyText"/>
      </w:pPr>
      <w:r>
        <w:t>The following are “new” TPR</w:t>
      </w:r>
      <w:r w:rsidRPr="00F76768">
        <w:t xml:space="preserve"> </w:t>
      </w:r>
      <w:r w:rsidR="581DB707">
        <w:t xml:space="preserve">which were </w:t>
      </w:r>
      <w:r>
        <w:t xml:space="preserve">proposed for IMT-2030, based on the </w:t>
      </w:r>
      <w:r w:rsidR="003B5A89">
        <w:t xml:space="preserve">extended and new </w:t>
      </w:r>
      <w:r>
        <w:t xml:space="preserve">Usage scenarios described </w:t>
      </w:r>
      <w:r w:rsidRPr="00CD1FEF">
        <w:rPr>
          <w:lang w:eastAsia="zh-CN"/>
        </w:rPr>
        <w:t xml:space="preserve">in </w:t>
      </w:r>
      <w:r w:rsidR="00D70BDD" w:rsidRPr="00CD1FEF">
        <w:rPr>
          <w:lang w:eastAsia="zh-CN"/>
        </w:rPr>
        <w:t xml:space="preserve">ITU-R Recommendation </w:t>
      </w:r>
      <w:hyperlink r:id="rId14">
        <w:r w:rsidR="00D70BDD" w:rsidRPr="011B805A">
          <w:rPr>
            <w:rStyle w:val="Hyperlink"/>
            <w:lang w:eastAsia="zh-CN"/>
          </w:rPr>
          <w:t>M.2160</w:t>
        </w:r>
      </w:hyperlink>
      <w:r w:rsidR="00D70BDD">
        <w:rPr>
          <w:lang w:eastAsia="zh-CN"/>
        </w:rPr>
        <w:t xml:space="preserve"> [6]</w:t>
      </w:r>
      <w:r>
        <w:t>.</w:t>
      </w:r>
    </w:p>
    <w:p w14:paraId="4830583F" w14:textId="502E2834" w:rsidR="003B5A89" w:rsidRDefault="003B5A89" w:rsidP="00B00582">
      <w:pPr>
        <w:pStyle w:val="BodyText"/>
        <w:numPr>
          <w:ilvl w:val="0"/>
          <w:numId w:val="10"/>
        </w:numPr>
      </w:pPr>
      <w:r w:rsidRPr="003B5A89">
        <w:t xml:space="preserve">Joint requirement on data rate, </w:t>
      </w:r>
      <w:proofErr w:type="gramStart"/>
      <w:r w:rsidRPr="003B5A89">
        <w:t>latency</w:t>
      </w:r>
      <w:proofErr w:type="gramEnd"/>
      <w:r w:rsidRPr="003B5A89">
        <w:t xml:space="preserve"> and reliability</w:t>
      </w:r>
      <w:r w:rsidR="00914E06">
        <w:t xml:space="preserve"> (to replace </w:t>
      </w:r>
      <w:r w:rsidR="00914E06" w:rsidRPr="00914E06">
        <w:rPr>
          <w:i/>
          <w:iCs/>
        </w:rPr>
        <w:t>Reliability</w:t>
      </w:r>
      <w:r w:rsidR="00914E06">
        <w:t>)</w:t>
      </w:r>
    </w:p>
    <w:p w14:paraId="63365038" w14:textId="325A2AFF" w:rsidR="003B5A89" w:rsidRDefault="003B5A89" w:rsidP="00B00582">
      <w:pPr>
        <w:pStyle w:val="BodyText"/>
        <w:numPr>
          <w:ilvl w:val="0"/>
          <w:numId w:val="10"/>
        </w:numPr>
      </w:pPr>
      <w:r>
        <w:t>Positioning</w:t>
      </w:r>
      <w:r>
        <w:tab/>
      </w:r>
    </w:p>
    <w:p w14:paraId="21782652" w14:textId="6B89ABBE" w:rsidR="00F76768" w:rsidRDefault="003B5A89" w:rsidP="00B00582">
      <w:pPr>
        <w:pStyle w:val="BodyText"/>
        <w:numPr>
          <w:ilvl w:val="0"/>
          <w:numId w:val="10"/>
        </w:numPr>
      </w:pPr>
      <w:r>
        <w:t>Sensing-related capabilities</w:t>
      </w:r>
    </w:p>
    <w:p w14:paraId="149F8BCE" w14:textId="7B226F10" w:rsidR="00B24CB0" w:rsidRDefault="00B24CB0" w:rsidP="00EB20E6">
      <w:pPr>
        <w:pStyle w:val="BodyText"/>
      </w:pPr>
      <w:r>
        <w:t xml:space="preserve">Further details on the three new TPR are </w:t>
      </w:r>
      <w:r w:rsidRPr="00DF3680">
        <w:t>given below</w:t>
      </w:r>
      <w:r w:rsidR="006E5EC5">
        <w:t xml:space="preserve"> in section 3</w:t>
      </w:r>
      <w:r>
        <w:t>.</w:t>
      </w:r>
    </w:p>
    <w:p w14:paraId="3A2D5103" w14:textId="4A2D5E54" w:rsidR="00F76768" w:rsidRDefault="003B5A89" w:rsidP="00EB20E6">
      <w:pPr>
        <w:pStyle w:val="BodyText"/>
      </w:pPr>
      <w:r>
        <w:t xml:space="preserve">Several additional TPR are presently in the WP5D working </w:t>
      </w:r>
      <w:r w:rsidR="006A648F">
        <w:t>document but</w:t>
      </w:r>
      <w:r>
        <w:t xml:space="preserve"> are not proposed here</w:t>
      </w:r>
      <w:r w:rsidR="00B24CB0">
        <w:t xml:space="preserve"> for inclusion</w:t>
      </w:r>
      <w:r>
        <w:t xml:space="preserve">. These include </w:t>
      </w:r>
      <w:r w:rsidRPr="003B5A89">
        <w:rPr>
          <w:i/>
          <w:iCs/>
        </w:rPr>
        <w:t>AI-related capabilities</w:t>
      </w:r>
      <w:r>
        <w:t xml:space="preserve">, that has potential to be describes as a TPR, at least for inspection. </w:t>
      </w:r>
      <w:r w:rsidRPr="003B5A89">
        <w:rPr>
          <w:i/>
          <w:iCs/>
        </w:rPr>
        <w:t>Sustainable data rate</w:t>
      </w:r>
      <w:r>
        <w:t xml:space="preserve"> is proposed as a potential TPR for UE energy efficiency and there are several TPR specifically proposed for the </w:t>
      </w:r>
      <w:r w:rsidRPr="003B5A89">
        <w:rPr>
          <w:i/>
          <w:iCs/>
        </w:rPr>
        <w:t>XR</w:t>
      </w:r>
      <w:r>
        <w:t xml:space="preserve"> use case. </w:t>
      </w:r>
      <w:r w:rsidRPr="006A648F">
        <w:rPr>
          <w:i/>
          <w:iCs/>
        </w:rPr>
        <w:t xml:space="preserve">Security, </w:t>
      </w:r>
      <w:proofErr w:type="gramStart"/>
      <w:r w:rsidRPr="006A648F">
        <w:rPr>
          <w:i/>
          <w:iCs/>
        </w:rPr>
        <w:t>Resilience</w:t>
      </w:r>
      <w:proofErr w:type="gramEnd"/>
      <w:r>
        <w:t xml:space="preserve"> and </w:t>
      </w:r>
      <w:r w:rsidRPr="006A648F">
        <w:rPr>
          <w:i/>
          <w:iCs/>
        </w:rPr>
        <w:t>Interoperability</w:t>
      </w:r>
      <w:r>
        <w:t xml:space="preserve"> are proposed, but may instead be covered by the submission template for IMT-2030. The same is true for </w:t>
      </w:r>
      <w:r w:rsidRPr="006A648F">
        <w:rPr>
          <w:i/>
          <w:iCs/>
        </w:rPr>
        <w:t>Coverage</w:t>
      </w:r>
      <w:r>
        <w:t>, which will most likely be covered by link budgets to be provided in the submission template.</w:t>
      </w:r>
    </w:p>
    <w:p w14:paraId="1F69587D" w14:textId="53645016" w:rsidR="003646FC" w:rsidRDefault="00B24CB0" w:rsidP="003646FC">
      <w:pPr>
        <w:pStyle w:val="Heading1"/>
      </w:pPr>
      <w:r>
        <w:t xml:space="preserve">Revised and </w:t>
      </w:r>
      <w:r w:rsidR="003646FC">
        <w:t>new TPR for IMT-2030</w:t>
      </w:r>
    </w:p>
    <w:p w14:paraId="3590206D" w14:textId="072119D9" w:rsidR="00516626" w:rsidRDefault="00516626" w:rsidP="00516626">
      <w:pPr>
        <w:pStyle w:val="BodyText"/>
      </w:pPr>
      <w:r>
        <w:t xml:space="preserve">Further </w:t>
      </w:r>
      <w:r w:rsidR="009D283E">
        <w:t xml:space="preserve">details </w:t>
      </w:r>
      <w:r>
        <w:t>o</w:t>
      </w:r>
      <w:r w:rsidR="009D283E">
        <w:t>n</w:t>
      </w:r>
      <w:r>
        <w:t xml:space="preserve"> the following TPR </w:t>
      </w:r>
      <w:r w:rsidR="009D283E">
        <w:t>parts are</w:t>
      </w:r>
      <w:r>
        <w:t xml:space="preserve"> presented here:</w:t>
      </w:r>
    </w:p>
    <w:p w14:paraId="7538D042" w14:textId="4D5FF66F" w:rsidR="00516626" w:rsidRDefault="00516626" w:rsidP="00B00582">
      <w:pPr>
        <w:pStyle w:val="BodyText"/>
        <w:numPr>
          <w:ilvl w:val="0"/>
          <w:numId w:val="3"/>
        </w:numPr>
      </w:pPr>
      <w:r>
        <w:t xml:space="preserve">Joint requirement on </w:t>
      </w:r>
      <w:bookmarkStart w:id="4" w:name="_Hlk182942027"/>
      <w:r>
        <w:t>Data rate, Latency, and Reliability</w:t>
      </w:r>
      <w:bookmarkEnd w:id="4"/>
    </w:p>
    <w:p w14:paraId="1F9A6BF0" w14:textId="39801463" w:rsidR="00516626" w:rsidRDefault="00516626" w:rsidP="00B00582">
      <w:pPr>
        <w:pStyle w:val="BodyText"/>
        <w:numPr>
          <w:ilvl w:val="0"/>
          <w:numId w:val="3"/>
        </w:numPr>
      </w:pPr>
      <w:r>
        <w:t>Positioning</w:t>
      </w:r>
    </w:p>
    <w:p w14:paraId="022BA8B0" w14:textId="2BE7306E" w:rsidR="00516626" w:rsidRDefault="00516626" w:rsidP="00B00582">
      <w:pPr>
        <w:pStyle w:val="BodyText"/>
        <w:numPr>
          <w:ilvl w:val="0"/>
          <w:numId w:val="3"/>
        </w:numPr>
      </w:pPr>
      <w:r>
        <w:t>Sensing</w:t>
      </w:r>
    </w:p>
    <w:p w14:paraId="5FF31AE3" w14:textId="3E2F88AF" w:rsidR="00516626" w:rsidRDefault="00516626" w:rsidP="00B00582">
      <w:pPr>
        <w:pStyle w:val="BodyText"/>
        <w:numPr>
          <w:ilvl w:val="0"/>
          <w:numId w:val="3"/>
        </w:numPr>
      </w:pPr>
      <w:r>
        <w:t>Energy efficiency</w:t>
      </w:r>
    </w:p>
    <w:p w14:paraId="0FE6CDCB" w14:textId="3CFB7AF8" w:rsidR="00516626" w:rsidRPr="00516626" w:rsidRDefault="00516626" w:rsidP="00516626">
      <w:pPr>
        <w:pStyle w:val="BodyText"/>
      </w:pPr>
      <w:r>
        <w:t xml:space="preserve">Detailed text proposals for the Working Document related to the TPR are given </w:t>
      </w:r>
      <w:r w:rsidR="000C2711">
        <w:t>below</w:t>
      </w:r>
      <w:r>
        <w:t>.</w:t>
      </w:r>
    </w:p>
    <w:p w14:paraId="78C81DEA" w14:textId="1B74F059" w:rsidR="00F83D14" w:rsidRDefault="00F83D14" w:rsidP="00F83D14">
      <w:pPr>
        <w:pStyle w:val="Heading2"/>
      </w:pPr>
      <w:r>
        <w:t xml:space="preserve">Joint </w:t>
      </w:r>
      <w:r w:rsidRPr="00F83D14">
        <w:t>requirement on Data rate, Latency, and Reliability</w:t>
      </w:r>
    </w:p>
    <w:p w14:paraId="60239158" w14:textId="10D8850B" w:rsidR="00FA41BC" w:rsidRDefault="00914E06" w:rsidP="00914E06">
      <w:pPr>
        <w:pStyle w:val="BodyText"/>
        <w:rPr>
          <w:lang w:eastAsia="zh-CN"/>
        </w:rPr>
      </w:pPr>
      <w:r>
        <w:rPr>
          <w:lang w:eastAsia="zh-CN"/>
        </w:rPr>
        <w:t>IMT-2020 has</w:t>
      </w:r>
      <w:r w:rsidR="00FA41BC">
        <w:rPr>
          <w:lang w:eastAsia="zh-CN"/>
        </w:rPr>
        <w:t xml:space="preserve"> separate </w:t>
      </w:r>
      <w:r>
        <w:rPr>
          <w:lang w:eastAsia="zh-CN"/>
        </w:rPr>
        <w:t>capabilities</w:t>
      </w:r>
      <w:r w:rsidR="00FA41BC">
        <w:rPr>
          <w:lang w:eastAsia="zh-CN"/>
        </w:rPr>
        <w:t xml:space="preserve"> for latency, data rate (user experienced), and reliability. </w:t>
      </w:r>
      <w:r>
        <w:rPr>
          <w:lang w:eastAsia="zh-CN"/>
        </w:rPr>
        <w:t>T</w:t>
      </w:r>
      <w:r w:rsidR="00FA41BC">
        <w:rPr>
          <w:lang w:eastAsia="zh-CN"/>
        </w:rPr>
        <w:t xml:space="preserve">he corresponding TPR for latency was evaluated through analysis and the TPRs for data rate and reliability were evaluated by simulation. </w:t>
      </w:r>
    </w:p>
    <w:p w14:paraId="4F8BD53A" w14:textId="14B28E3D" w:rsidR="00FA41BC" w:rsidRDefault="00FA41BC" w:rsidP="00914E06">
      <w:pPr>
        <w:pStyle w:val="BodyText"/>
        <w:rPr>
          <w:lang w:eastAsia="zh-CN"/>
        </w:rPr>
      </w:pPr>
      <w:r>
        <w:rPr>
          <w:lang w:eastAsia="zh-CN"/>
        </w:rPr>
        <w:t>Although being fundamental performance metrics for a Radio Interface Technology (RIT), improved peak bitrate or reduced minimum latency would enable few new use cases seen as individual metrics. IMT-2030 is however not only an extension of the legacy IMT-2020 capabilities, but also an expansion into new use cases within the six usage scenarios of the “wheel diagram”</w:t>
      </w:r>
      <w:r w:rsidR="00914E06">
        <w:rPr>
          <w:lang w:eastAsia="zh-CN"/>
        </w:rPr>
        <w:t xml:space="preserve"> in </w:t>
      </w:r>
      <w:r w:rsidR="00D70BDD" w:rsidRPr="00CD1FEF">
        <w:rPr>
          <w:lang w:eastAsia="zh-CN"/>
        </w:rPr>
        <w:t xml:space="preserve">ITU-R Recommendation </w:t>
      </w:r>
      <w:hyperlink r:id="rId15" w:history="1">
        <w:r w:rsidR="00D70BDD" w:rsidRPr="00CD1FEF">
          <w:rPr>
            <w:rStyle w:val="Hyperlink"/>
            <w:lang w:eastAsia="zh-CN"/>
          </w:rPr>
          <w:t>M.2160</w:t>
        </w:r>
      </w:hyperlink>
      <w:r w:rsidR="00D70BDD">
        <w:rPr>
          <w:lang w:eastAsia="zh-CN"/>
        </w:rPr>
        <w:t xml:space="preserve"> [6]</w:t>
      </w:r>
      <w:r>
        <w:rPr>
          <w:lang w:eastAsia="zh-CN"/>
        </w:rPr>
        <w:t xml:space="preserve">. Many new use cases </w:t>
      </w:r>
      <w:bookmarkStart w:id="5" w:name="_Hlk182942141"/>
      <w:r>
        <w:rPr>
          <w:lang w:eastAsia="zh-CN"/>
        </w:rPr>
        <w:t>rely on combinations of data rate, latency, and reliability</w:t>
      </w:r>
      <w:bookmarkEnd w:id="5"/>
      <w:r>
        <w:rPr>
          <w:lang w:eastAsia="zh-CN"/>
        </w:rPr>
        <w:t xml:space="preserve"> to function as shown in Figure 1. Examples include extended reality (XR), remote driving and video conferencing. To reflect these new use cases, a Technical Performance Requirement (TPR) is proposed that jointly evaluates the capabilities </w:t>
      </w:r>
      <w:r>
        <w:rPr>
          <w:i/>
          <w:iCs/>
          <w:lang w:eastAsia="zh-CN"/>
        </w:rPr>
        <w:t>Data rate, Latency</w:t>
      </w:r>
      <w:r>
        <w:rPr>
          <w:lang w:eastAsia="zh-CN"/>
        </w:rPr>
        <w:t xml:space="preserve"> and </w:t>
      </w:r>
      <w:r>
        <w:rPr>
          <w:i/>
          <w:iCs/>
          <w:lang w:eastAsia="zh-CN"/>
        </w:rPr>
        <w:t>Reliability</w:t>
      </w:r>
      <w:r>
        <w:rPr>
          <w:lang w:eastAsia="zh-CN"/>
        </w:rPr>
        <w:t xml:space="preserve">.  </w:t>
      </w:r>
    </w:p>
    <w:p w14:paraId="3A3172BE" w14:textId="5BC2D94F" w:rsidR="00F83D14" w:rsidRDefault="00914E06" w:rsidP="002E3BE6">
      <w:pPr>
        <w:pStyle w:val="BodyText"/>
      </w:pPr>
      <w:r>
        <w:t>The</w:t>
      </w:r>
      <w:r w:rsidR="006B503A">
        <w:t xml:space="preserve"> joint requirement </w:t>
      </w:r>
      <w:r>
        <w:rPr>
          <w:lang w:eastAsia="zh-CN"/>
        </w:rPr>
        <w:t>can be seen as a generalization of the reliability requirement and the evaluation methodology would be similar</w:t>
      </w:r>
      <w:r w:rsidR="006B503A">
        <w:t xml:space="preserve">. By setting and evaluating such a requirement with higher data rates </w:t>
      </w:r>
      <w:r w:rsidR="000F08F9">
        <w:t xml:space="preserve">than for IMT-2020 </w:t>
      </w:r>
      <w:r w:rsidR="006B503A">
        <w:t xml:space="preserve">it would replace </w:t>
      </w:r>
      <w:r w:rsidR="006B503A" w:rsidRPr="00680A9A">
        <w:rPr>
          <w:i/>
          <w:iCs/>
        </w:rPr>
        <w:t>Reliability</w:t>
      </w:r>
      <w:r w:rsidR="006B503A">
        <w:t xml:space="preserve"> and could cover multiple combinations of </w:t>
      </w:r>
      <w:r w:rsidR="006B503A" w:rsidRPr="006B503A">
        <w:t>Data rate, Latency, and Reliability</w:t>
      </w:r>
      <w:r w:rsidR="006B503A">
        <w:t xml:space="preserve"> for various use cases.</w:t>
      </w:r>
    </w:p>
    <w:p w14:paraId="6EE9E70B" w14:textId="77777777" w:rsidR="00516626" w:rsidRPr="00CD1FEF" w:rsidRDefault="00516626" w:rsidP="00516626">
      <w:pPr>
        <w:keepNext/>
        <w:jc w:val="center"/>
      </w:pPr>
      <w:bookmarkStart w:id="6" w:name="_Hlk182942226"/>
      <w:r>
        <w:rPr>
          <w:noProof/>
          <w:lang w:eastAsia="zh-CN"/>
        </w:rPr>
        <w:drawing>
          <wp:inline distT="0" distB="0" distL="0" distR="0" wp14:anchorId="3A674169" wp14:editId="26452905">
            <wp:extent cx="4253865" cy="2727325"/>
            <wp:effectExtent l="0" t="0" r="0" b="0"/>
            <wp:docPr id="115526596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53865" cy="2727325"/>
                    </a:xfrm>
                    <a:prstGeom prst="rect">
                      <a:avLst/>
                    </a:prstGeom>
                    <a:noFill/>
                    <a:ln>
                      <a:noFill/>
                    </a:ln>
                  </pic:spPr>
                </pic:pic>
              </a:graphicData>
            </a:graphic>
          </wp:inline>
        </w:drawing>
      </w:r>
    </w:p>
    <w:p w14:paraId="1E519253" w14:textId="681C17AE" w:rsidR="00516626" w:rsidRDefault="00516626" w:rsidP="00516626">
      <w:pPr>
        <w:pStyle w:val="Figuretitle"/>
        <w:rPr>
          <w:lang w:eastAsia="zh-CN"/>
        </w:rPr>
      </w:pPr>
      <w:r w:rsidRPr="00CD1FEF">
        <w:t xml:space="preserve">Figure 1: Example use cases requiring different </w:t>
      </w:r>
      <w:r w:rsidRPr="00CD1FEF">
        <w:rPr>
          <w:lang w:eastAsia="zh-CN"/>
        </w:rPr>
        <w:t>combinations of data rate, latency, and reliability</w:t>
      </w:r>
      <w:r w:rsidR="002E3BE6">
        <w:rPr>
          <w:lang w:eastAsia="zh-CN"/>
        </w:rPr>
        <w:t>.</w:t>
      </w:r>
    </w:p>
    <w:bookmarkEnd w:id="6"/>
    <w:p w14:paraId="6A771FCD" w14:textId="77777777" w:rsidR="00516626" w:rsidRPr="00516626" w:rsidRDefault="00516626" w:rsidP="00516626">
      <w:pPr>
        <w:rPr>
          <w:lang w:eastAsia="zh-CN"/>
        </w:rPr>
      </w:pPr>
    </w:p>
    <w:p w14:paraId="128DCFA1" w14:textId="2230597B" w:rsidR="00B26567" w:rsidRPr="00491CEF" w:rsidRDefault="00B26567" w:rsidP="00B26567">
      <w:pPr>
        <w:pStyle w:val="Heading2"/>
      </w:pPr>
      <w:r w:rsidRPr="00491CEF">
        <w:t>Energy efficiency</w:t>
      </w:r>
    </w:p>
    <w:p w14:paraId="1F3EB1F9" w14:textId="77777777" w:rsidR="009C34EF" w:rsidRDefault="009C34EF" w:rsidP="009C34EF">
      <w:pPr>
        <w:pStyle w:val="BodyText"/>
        <w:rPr>
          <w:szCs w:val="18"/>
        </w:rPr>
      </w:pPr>
      <w:r>
        <w:rPr>
          <w:lang w:eastAsia="zh-CN"/>
        </w:rPr>
        <w:t xml:space="preserve">For IMT-2020, </w:t>
      </w:r>
      <w:r>
        <w:rPr>
          <w:szCs w:val="18"/>
        </w:rPr>
        <w:t xml:space="preserve">Energy efficiency </w:t>
      </w:r>
      <w:r>
        <w:t>of the network and the device related</w:t>
      </w:r>
      <w:r>
        <w:rPr>
          <w:szCs w:val="18"/>
        </w:rPr>
        <w:t xml:space="preserve"> to the support for two </w:t>
      </w:r>
      <w:r>
        <w:t>aspects</w:t>
      </w:r>
      <w:r>
        <w:rPr>
          <w:szCs w:val="18"/>
        </w:rPr>
        <w:t>:</w:t>
      </w:r>
    </w:p>
    <w:p w14:paraId="433E5488" w14:textId="289898E4" w:rsidR="009C34EF" w:rsidRDefault="009C34EF" w:rsidP="00213D89">
      <w:pPr>
        <w:pStyle w:val="BodyText"/>
        <w:numPr>
          <w:ilvl w:val="0"/>
          <w:numId w:val="13"/>
        </w:numPr>
        <w:rPr>
          <w:szCs w:val="18"/>
        </w:rPr>
      </w:pPr>
      <w:r>
        <w:t>Efficient data transmission in a loaded case (demonstrated by average spectral efficiency</w:t>
      </w:r>
      <w:proofErr w:type="gramStart"/>
      <w:r>
        <w:t>);</w:t>
      </w:r>
      <w:proofErr w:type="gramEnd"/>
    </w:p>
    <w:p w14:paraId="493DAC4A" w14:textId="74709E27" w:rsidR="009C34EF" w:rsidRDefault="009C34EF" w:rsidP="00213D89">
      <w:pPr>
        <w:pStyle w:val="BodyText"/>
        <w:numPr>
          <w:ilvl w:val="0"/>
          <w:numId w:val="13"/>
        </w:numPr>
        <w:rPr>
          <w:szCs w:val="18"/>
        </w:rPr>
      </w:pPr>
      <w:r>
        <w:t>Low energy consumption when there is no data (demonstrated by the capability to support a high sleep ratio and long sleep duration).</w:t>
      </w:r>
    </w:p>
    <w:p w14:paraId="0AAC7D5D" w14:textId="4E20B7C5" w:rsidR="009C34EF" w:rsidRPr="00CD1FEF" w:rsidRDefault="009C34EF" w:rsidP="00581CFD">
      <w:pPr>
        <w:pStyle w:val="BodyText"/>
        <w:rPr>
          <w:lang w:eastAsia="zh-CN"/>
        </w:rPr>
      </w:pPr>
      <w:r>
        <w:rPr>
          <w:lang w:eastAsia="zh-CN"/>
        </w:rPr>
        <w:t>While the requirement for IMT-2020 in ITU-R was to demonstrate the presence of the capability, evaluations were in fact quantitative, though no limits were put on the resulting sleep ratio and duration.</w:t>
      </w:r>
      <w:r w:rsidR="00213D89">
        <w:rPr>
          <w:lang w:eastAsia="zh-CN"/>
        </w:rPr>
        <w:t xml:space="preserve"> </w:t>
      </w:r>
      <w:r w:rsidRPr="00CD1FEF">
        <w:rPr>
          <w:lang w:eastAsia="zh-CN"/>
        </w:rPr>
        <w:t xml:space="preserve">Quantitative evaluation for IMT-2030 is possible, based on the sleep ratio/duration parameters or on related metrics also involving power models. </w:t>
      </w:r>
      <w:r w:rsidR="00581CFD">
        <w:rPr>
          <w:lang w:eastAsia="zh-CN"/>
        </w:rPr>
        <w:t>On</w:t>
      </w:r>
      <w:r w:rsidR="002D60EB">
        <w:rPr>
          <w:lang w:eastAsia="zh-CN"/>
        </w:rPr>
        <w:t>e</w:t>
      </w:r>
      <w:r w:rsidR="00581CFD">
        <w:rPr>
          <w:lang w:eastAsia="zh-CN"/>
        </w:rPr>
        <w:t xml:space="preserve"> possible choice of power models are the ones from the 3GPP study in</w:t>
      </w:r>
      <w:r w:rsidR="00581CFD" w:rsidRPr="00CD1FEF">
        <w:rPr>
          <w:lang w:eastAsia="zh-CN"/>
        </w:rPr>
        <w:t xml:space="preserve"> </w:t>
      </w:r>
      <w:hyperlink r:id="rId17" w:history="1">
        <w:r w:rsidR="00581CFD" w:rsidRPr="00CD1FEF">
          <w:rPr>
            <w:rStyle w:val="Hyperlink"/>
            <w:lang w:eastAsia="zh-CN"/>
          </w:rPr>
          <w:t>TR 38.864</w:t>
        </w:r>
      </w:hyperlink>
      <w:r w:rsidRPr="00CD1FEF">
        <w:rPr>
          <w:lang w:eastAsia="zh-CN"/>
        </w:rPr>
        <w:t>.</w:t>
      </w:r>
    </w:p>
    <w:p w14:paraId="16520140" w14:textId="435E78EF" w:rsidR="009C34EF" w:rsidRPr="00CD1FEF" w:rsidRDefault="009C34EF" w:rsidP="009C34EF">
      <w:pPr>
        <w:rPr>
          <w:lang w:eastAsia="zh-CN"/>
        </w:rPr>
      </w:pPr>
      <w:r w:rsidRPr="00CD1FEF">
        <w:rPr>
          <w:lang w:eastAsia="zh-CN"/>
        </w:rPr>
        <w:t>It is proposed to introduce a quantitative TPR on Energy Efficiency for IMT-2030. There are several possibilities for the ambition level of the requirement:</w:t>
      </w:r>
    </w:p>
    <w:p w14:paraId="6306AB05" w14:textId="2C6428F7" w:rsidR="009C34EF" w:rsidRPr="00CD1FEF" w:rsidRDefault="009C34EF" w:rsidP="00213D89">
      <w:pPr>
        <w:pStyle w:val="BodyText"/>
        <w:numPr>
          <w:ilvl w:val="0"/>
          <w:numId w:val="11"/>
        </w:numPr>
        <w:rPr>
          <w:lang w:eastAsia="zh-CN"/>
        </w:rPr>
      </w:pPr>
      <w:r w:rsidRPr="00CD1FEF">
        <w:rPr>
          <w:lang w:eastAsia="zh-CN"/>
        </w:rPr>
        <w:t>An evaluation to demonstrate</w:t>
      </w:r>
      <w:r w:rsidRPr="00CD1FEF">
        <w:t xml:space="preserve"> </w:t>
      </w:r>
      <w:r w:rsidRPr="00CD1FEF">
        <w:rPr>
          <w:lang w:eastAsia="zh-CN"/>
        </w:rPr>
        <w:t xml:space="preserve">the capability to support a high sleep ratio and long sleep duration (Inspection; </w:t>
      </w:r>
      <w:proofErr w:type="gramStart"/>
      <w:r w:rsidRPr="00CD1FEF">
        <w:rPr>
          <w:lang w:eastAsia="zh-CN"/>
        </w:rPr>
        <w:t>Similar to</w:t>
      </w:r>
      <w:proofErr w:type="gramEnd"/>
      <w:r w:rsidRPr="00CD1FEF">
        <w:rPr>
          <w:lang w:eastAsia="zh-CN"/>
        </w:rPr>
        <w:t xml:space="preserve"> IMT-2020 evaluation)</w:t>
      </w:r>
    </w:p>
    <w:p w14:paraId="11DBD68E" w14:textId="0A2C38D4" w:rsidR="009C34EF" w:rsidRPr="00CD1FEF" w:rsidRDefault="009C34EF" w:rsidP="00213D89">
      <w:pPr>
        <w:pStyle w:val="BodyText"/>
        <w:numPr>
          <w:ilvl w:val="0"/>
          <w:numId w:val="11"/>
        </w:numPr>
        <w:rPr>
          <w:lang w:eastAsia="zh-CN"/>
        </w:rPr>
      </w:pPr>
      <w:r w:rsidRPr="00CD1FEF">
        <w:rPr>
          <w:lang w:eastAsia="zh-CN"/>
        </w:rPr>
        <w:t>A quantitative evaluation to demonstrate</w:t>
      </w:r>
      <w:r w:rsidRPr="00CD1FEF">
        <w:t xml:space="preserve"> </w:t>
      </w:r>
      <w:r w:rsidRPr="00CD1FEF">
        <w:rPr>
          <w:lang w:eastAsia="zh-CN"/>
        </w:rPr>
        <w:t>the level of sleep ratio and long sleep duration supported by the RIT (Analysis; With TPR limits on</w:t>
      </w:r>
      <w:r w:rsidRPr="00CD1FEF">
        <w:t xml:space="preserve"> </w:t>
      </w:r>
      <w:r w:rsidRPr="00CD1FEF">
        <w:rPr>
          <w:lang w:eastAsia="zh-CN"/>
        </w:rPr>
        <w:t>sleep ratio and sleep duration)</w:t>
      </w:r>
    </w:p>
    <w:p w14:paraId="39C2C31A" w14:textId="5D8CDB21" w:rsidR="009C34EF" w:rsidRPr="00CD1FEF" w:rsidRDefault="009C34EF" w:rsidP="00213D89">
      <w:pPr>
        <w:pStyle w:val="BodyText"/>
        <w:numPr>
          <w:ilvl w:val="0"/>
          <w:numId w:val="11"/>
        </w:numPr>
        <w:rPr>
          <w:lang w:eastAsia="zh-CN"/>
        </w:rPr>
      </w:pPr>
      <w:r w:rsidRPr="00CD1FEF">
        <w:rPr>
          <w:lang w:eastAsia="zh-CN"/>
        </w:rPr>
        <w:t>A quantitative evaluation to demonstrate</w:t>
      </w:r>
      <w:r w:rsidRPr="00CD1FEF">
        <w:t xml:space="preserve"> </w:t>
      </w:r>
      <w:r w:rsidRPr="00CD1FEF">
        <w:rPr>
          <w:lang w:eastAsia="zh-CN"/>
        </w:rPr>
        <w:t>the power savings of sleep ratio and sleep duration for the RIT using power models (Analysis without user data traffic; With TPR limits on relative energy savings)</w:t>
      </w:r>
    </w:p>
    <w:p w14:paraId="7FC39B27" w14:textId="7FBF7114" w:rsidR="009C34EF" w:rsidRPr="00CD1FEF" w:rsidRDefault="009C34EF" w:rsidP="00213D89">
      <w:pPr>
        <w:pStyle w:val="BodyText"/>
        <w:numPr>
          <w:ilvl w:val="0"/>
          <w:numId w:val="11"/>
        </w:numPr>
        <w:rPr>
          <w:lang w:eastAsia="zh-CN"/>
        </w:rPr>
      </w:pPr>
      <w:r w:rsidRPr="00CD1FEF">
        <w:rPr>
          <w:lang w:eastAsia="zh-CN"/>
        </w:rPr>
        <w:t>A quantitative evaluation to demonstrate</w:t>
      </w:r>
      <w:r w:rsidRPr="00CD1FEF">
        <w:t xml:space="preserve"> </w:t>
      </w:r>
      <w:r w:rsidRPr="00CD1FEF">
        <w:rPr>
          <w:lang w:eastAsia="zh-CN"/>
        </w:rPr>
        <w:t>the power savings of sleep ratio and sleep duration for the RIT using power models (Simulation with user data traffic; With TPR limits on relative energy savings)</w:t>
      </w:r>
    </w:p>
    <w:p w14:paraId="6BE8D91D" w14:textId="77777777" w:rsidR="00213D89" w:rsidRPr="00CD1FEF" w:rsidRDefault="00213D89" w:rsidP="00213D89">
      <w:pPr>
        <w:pStyle w:val="BodyText"/>
        <w:rPr>
          <w:lang w:eastAsia="zh-CN"/>
        </w:rPr>
      </w:pPr>
      <w:r w:rsidRPr="00CD1FEF">
        <w:rPr>
          <w:lang w:eastAsia="zh-CN"/>
        </w:rPr>
        <w:t>Level 1) above is the same TPR as for IMT-2020, while level 2) is based on the same type of evaluation, but with limits for the TPR (sleep ratio and duration).</w:t>
      </w:r>
    </w:p>
    <w:p w14:paraId="5EDE256B" w14:textId="77777777" w:rsidR="00213D89" w:rsidRPr="00CD1FEF" w:rsidRDefault="00213D89" w:rsidP="00213D89">
      <w:pPr>
        <w:pStyle w:val="BodyText"/>
        <w:rPr>
          <w:lang w:eastAsia="zh-CN"/>
        </w:rPr>
      </w:pPr>
      <w:r w:rsidRPr="00CD1FEF">
        <w:rPr>
          <w:lang w:eastAsia="zh-CN"/>
        </w:rPr>
        <w:t xml:space="preserve">Level 3) and 4) are further advancement that also involve power models. In 3) the power model is applied to the different sleep modes of the RIT and the related sleep durations for a case without data traffic, to estimate how much power saving they would achieve. Level 4) is a further step where the power model is applied in a system level simulation, </w:t>
      </w:r>
      <w:r>
        <w:rPr>
          <w:lang w:eastAsia="zh-CN"/>
        </w:rPr>
        <w:t>with simulated user data traffic.</w:t>
      </w:r>
    </w:p>
    <w:p w14:paraId="1555B79B" w14:textId="0276FF1A" w:rsidR="00213D89" w:rsidRDefault="00C5779A" w:rsidP="000C2711">
      <w:pPr>
        <w:pStyle w:val="BodyText"/>
        <w:rPr>
          <w:lang w:eastAsia="zh-CN"/>
        </w:rPr>
      </w:pPr>
      <w:r>
        <w:rPr>
          <w:lang w:eastAsia="zh-CN"/>
        </w:rPr>
        <w:t xml:space="preserve">An important qualitative difference between the ambition levels 1 to 4 above, is the use of a power model in the latter two. </w:t>
      </w:r>
      <w:r w:rsidR="00213D89">
        <w:rPr>
          <w:lang w:eastAsia="zh-CN"/>
        </w:rPr>
        <w:t xml:space="preserve">By using a power model with level 3, a tangible measure of power savings is provided, and the way power is saved is concretized. </w:t>
      </w:r>
      <w:r>
        <w:rPr>
          <w:lang w:eastAsia="zh-CN"/>
        </w:rPr>
        <w:t xml:space="preserve">A power model used for evaluating the energy saving potential of a future 6G RIT should preferably be future-looking and </w:t>
      </w:r>
      <w:r w:rsidRPr="00954157">
        <w:rPr>
          <w:lang w:eastAsia="zh-CN"/>
        </w:rPr>
        <w:t>demonstrate that a RIT has potential for exploiting future advances on efficient power savings</w:t>
      </w:r>
      <w:r>
        <w:rPr>
          <w:lang w:eastAsia="zh-CN"/>
        </w:rPr>
        <w:t xml:space="preserve">. </w:t>
      </w:r>
    </w:p>
    <w:p w14:paraId="69EC454A" w14:textId="274689FE" w:rsidR="00C5779A" w:rsidRDefault="00C5779A" w:rsidP="000C2711">
      <w:pPr>
        <w:pStyle w:val="BodyText"/>
        <w:rPr>
          <w:lang w:eastAsia="zh-CN"/>
        </w:rPr>
      </w:pPr>
      <w:r>
        <w:rPr>
          <w:lang w:eastAsia="zh-CN"/>
        </w:rPr>
        <w:t xml:space="preserve">The difference between ambition level 3 and 4 above is the use of user data traffic in level 4, while in level 3 no user data traffic is included in the evaluations. While user data traffic can have a very large impact on the energy consumption of an individual radio base station in a lab environment, it has low impact on the total energy consumption of a live nationwide network. The reason is that averaging over time and space, the average physical resource utilization of a typical 5G network is in the single-digit percentage range. The energy consumption in a nationwide network is therefore today very much dominated by the energy cost of providing coverage rather than by the actual user data traffic. Hence an evaluation that ignores user data traffic, as in ambition level 3 above, still captures most of the total network energy consumption.  </w:t>
      </w:r>
    </w:p>
    <w:p w14:paraId="15D99D47" w14:textId="6CDAE194" w:rsidR="00C5779A" w:rsidRDefault="00C5779A" w:rsidP="000C2711">
      <w:pPr>
        <w:pStyle w:val="BodyText"/>
        <w:rPr>
          <w:lang w:eastAsia="zh-CN"/>
        </w:rPr>
      </w:pPr>
      <w:r>
        <w:rPr>
          <w:lang w:eastAsia="zh-CN"/>
        </w:rPr>
        <w:t>It is for the reasons above proposed to use ambition level 3 for further work on Energy efficiency.</w:t>
      </w:r>
    </w:p>
    <w:p w14:paraId="1D26D755" w14:textId="3983A058" w:rsidR="006D5F54" w:rsidRPr="00491CEF" w:rsidRDefault="006D5F54" w:rsidP="006D5F54">
      <w:pPr>
        <w:pStyle w:val="Heading2"/>
      </w:pPr>
      <w:r w:rsidRPr="00491CEF">
        <w:t>Positioning</w:t>
      </w:r>
    </w:p>
    <w:p w14:paraId="35A1B7AB" w14:textId="1BE947B1" w:rsidR="006D5F54" w:rsidRDefault="006D5F54" w:rsidP="00EB20E6">
      <w:pPr>
        <w:pStyle w:val="BodyText"/>
      </w:pPr>
      <w:r>
        <w:t>For positioning of active/connected objects, m</w:t>
      </w:r>
      <w:r w:rsidRPr="00DD266B">
        <w:t>inimum requirements should be defined for a limited number of use cases</w:t>
      </w:r>
      <w:r>
        <w:t>.</w:t>
      </w:r>
      <w:r w:rsidRPr="00DD266B">
        <w:t xml:space="preserve"> </w:t>
      </w:r>
      <w:r>
        <w:t>It is noted that the positioning performance depends on the geometry and density of transmitters and receivers. Furthermore,</w:t>
      </w:r>
      <w:r w:rsidRPr="00DD266B">
        <w:t xml:space="preserve"> the </w:t>
      </w:r>
      <w:r>
        <w:t xml:space="preserve">positioning </w:t>
      </w:r>
      <w:r w:rsidRPr="00DD266B">
        <w:t xml:space="preserve">signals </w:t>
      </w:r>
      <w:r>
        <w:t>typically need to be heard</w:t>
      </w:r>
      <w:r w:rsidRPr="00DD266B">
        <w:t xml:space="preserve"> from/at multiple sites</w:t>
      </w:r>
      <w:r>
        <w:t>, which will impact the minimum required signal strength</w:t>
      </w:r>
      <w:r w:rsidR="00A20196">
        <w:t xml:space="preserve"> and </w:t>
      </w:r>
      <w:r>
        <w:t>quality at the receiver</w:t>
      </w:r>
      <w:r w:rsidRPr="00DD266B">
        <w:t xml:space="preserve">. </w:t>
      </w:r>
      <w:r>
        <w:t>Thus,</w:t>
      </w:r>
      <w:r w:rsidRPr="00DD266B">
        <w:t xml:space="preserve"> deployment with advantageous </w:t>
      </w:r>
      <w:r>
        <w:t xml:space="preserve">(serving cell) </w:t>
      </w:r>
      <w:r w:rsidRPr="00DD266B">
        <w:t xml:space="preserve">connectivity does not </w:t>
      </w:r>
      <w:r>
        <w:t xml:space="preserve">in itself </w:t>
      </w:r>
      <w:r w:rsidRPr="00DD266B">
        <w:t>guarantee good positioning</w:t>
      </w:r>
      <w:r>
        <w:t xml:space="preserve"> performance</w:t>
      </w:r>
      <w:r w:rsidRPr="00DD266B">
        <w:t xml:space="preserve">. </w:t>
      </w:r>
      <w:r>
        <w:t>Additionally, both horizontal and vertical positioning accuracy are important, at least for some use cases.</w:t>
      </w:r>
    </w:p>
    <w:p w14:paraId="180FE8AD" w14:textId="08F080AC" w:rsidR="006D5F54" w:rsidRDefault="006D5F54" w:rsidP="00EB20E6">
      <w:pPr>
        <w:pStyle w:val="BodyText"/>
      </w:pPr>
      <w:r>
        <w:t>It is further noted that p</w:t>
      </w:r>
      <w:r w:rsidRPr="00DD266B">
        <w:t xml:space="preserve">ositioning accuracy on cm-level may only be reached in </w:t>
      </w:r>
      <w:r w:rsidRPr="00B45951">
        <w:t>some specific environments and deployments</w:t>
      </w:r>
      <w:r w:rsidR="00476C74">
        <w:t xml:space="preserve"> and therefore cannot be a generic requirement</w:t>
      </w:r>
      <w:r>
        <w:t>.</w:t>
      </w:r>
    </w:p>
    <w:p w14:paraId="748BE9B6" w14:textId="3558F056" w:rsidR="002E3BE6" w:rsidRPr="00535503" w:rsidRDefault="002E3BE6" w:rsidP="002E3BE6">
      <w:pPr>
        <w:pStyle w:val="Heading3"/>
        <w:rPr>
          <w:lang w:eastAsia="zh-CN"/>
        </w:rPr>
      </w:pPr>
      <w:r>
        <w:rPr>
          <w:lang w:eastAsia="zh-CN"/>
        </w:rPr>
        <w:t>Usage scenario for positioning</w:t>
      </w:r>
    </w:p>
    <w:p w14:paraId="3691E0AE" w14:textId="77777777" w:rsidR="002E3BE6" w:rsidRDefault="002E3BE6" w:rsidP="00424087">
      <w:pPr>
        <w:pStyle w:val="BodyText"/>
        <w:rPr>
          <w:lang w:eastAsia="zh-CN"/>
        </w:rPr>
      </w:pPr>
      <w:r>
        <w:rPr>
          <w:lang w:eastAsia="zh-CN"/>
        </w:rPr>
        <w:t>The Immersive Communication usage scenario extends the enhanced Mobile Broadband (</w:t>
      </w:r>
      <w:proofErr w:type="spellStart"/>
      <w:r>
        <w:rPr>
          <w:lang w:eastAsia="zh-CN"/>
        </w:rPr>
        <w:t>eMBB</w:t>
      </w:r>
      <w:proofErr w:type="spellEnd"/>
      <w:r>
        <w:rPr>
          <w:lang w:eastAsia="zh-CN"/>
        </w:rPr>
        <w:t xml:space="preserve">) usage scenario and covers use cases that provide an immersive experience to users, including interactions with machine interfaces. Such immersive applications will merge digital objects, information, and overlays to provide virtual, mixed, and augmented reality (VR, MR, and AR respectively) experiences, which are commonly referred to as extended reality (XR) applications. </w:t>
      </w:r>
    </w:p>
    <w:p w14:paraId="15654CE7" w14:textId="77777777" w:rsidR="002E3BE6" w:rsidRDefault="002E3BE6" w:rsidP="00424087">
      <w:pPr>
        <w:pStyle w:val="BodyText"/>
        <w:rPr>
          <w:lang w:eastAsia="zh-CN"/>
        </w:rPr>
      </w:pPr>
      <w:r>
        <w:rPr>
          <w:lang w:eastAsia="zh-CN"/>
        </w:rPr>
        <w:t>To maintain proper orientation in time and 3D space in XR, there is a need for keeping track of the position and location of various connected objects, including handheld devices (smart phones) as well as wearables such as AR glasses, connected vehicles, and collaborative robots (</w:t>
      </w:r>
      <w:proofErr w:type="spellStart"/>
      <w:r>
        <w:rPr>
          <w:lang w:eastAsia="zh-CN"/>
        </w:rPr>
        <w:t>cobots</w:t>
      </w:r>
      <w:proofErr w:type="spellEnd"/>
      <w:r>
        <w:rPr>
          <w:lang w:eastAsia="zh-CN"/>
        </w:rPr>
        <w:t>). It is therefore expected that Immersive Communication use cases will require support of high reliability and low latency communication as well as precise positioning of connected objects and devices for responsive and accurate interaction. Therefore, TPRs for the Positioning capability should be defined and evaluated in the Immersive Communication usage scenario.</w:t>
      </w:r>
    </w:p>
    <w:p w14:paraId="4CB60AF4" w14:textId="5C0030F1" w:rsidR="002E3BE6" w:rsidRDefault="002E3BE6" w:rsidP="002E3BE6">
      <w:pPr>
        <w:pStyle w:val="Heading3"/>
        <w:rPr>
          <w:lang w:eastAsia="zh-CN"/>
        </w:rPr>
      </w:pPr>
      <w:r>
        <w:rPr>
          <w:lang w:eastAsia="zh-CN"/>
        </w:rPr>
        <w:t xml:space="preserve">Proposals on Positioning for </w:t>
      </w:r>
      <w:r w:rsidR="00F33F25">
        <w:rPr>
          <w:lang w:eastAsia="zh-CN"/>
        </w:rPr>
        <w:t>a TPR in a future TR</w:t>
      </w:r>
    </w:p>
    <w:p w14:paraId="7ECF0416" w14:textId="46834D7E" w:rsidR="002E3BE6" w:rsidRDefault="002E3BE6" w:rsidP="00424087">
      <w:pPr>
        <w:pStyle w:val="BodyText"/>
      </w:pPr>
      <w:r>
        <w:t xml:space="preserve">The following aspects need to be highlighted in </w:t>
      </w:r>
      <w:r w:rsidR="00920956">
        <w:t>a TPR for positioning</w:t>
      </w:r>
      <w:r>
        <w:t>:</w:t>
      </w:r>
    </w:p>
    <w:p w14:paraId="66DCAAD7" w14:textId="1FBDC636" w:rsidR="002E3BE6" w:rsidRDefault="00F33F25" w:rsidP="00B00582">
      <w:pPr>
        <w:pStyle w:val="BodyText"/>
        <w:numPr>
          <w:ilvl w:val="0"/>
          <w:numId w:val="4"/>
        </w:numPr>
      </w:pPr>
      <w:r>
        <w:t>H</w:t>
      </w:r>
      <w:r w:rsidR="002E3BE6">
        <w:t>orizontal and vertical position estimation performance can be different</w:t>
      </w:r>
      <w:r w:rsidR="002E3BE6" w:rsidRPr="00237491">
        <w:t xml:space="preserve"> depending on </w:t>
      </w:r>
      <w:r w:rsidR="002E3BE6" w:rsidRPr="00852B9C">
        <w:t>the system configuration and deployment</w:t>
      </w:r>
      <w:r w:rsidR="002E3BE6">
        <w:t xml:space="preserve">. </w:t>
      </w:r>
      <w:r w:rsidR="002E3BE6" w:rsidRPr="00852B9C">
        <w:t>Additionally,</w:t>
      </w:r>
      <w:r w:rsidR="002E3BE6" w:rsidRPr="00237491">
        <w:t xml:space="preserve"> the </w:t>
      </w:r>
      <w:r w:rsidR="002E3BE6" w:rsidRPr="00852B9C">
        <w:t>requirements on the horizontal error and vertical error put</w:t>
      </w:r>
      <w:r w:rsidR="002E3BE6" w:rsidRPr="00237491">
        <w:t xml:space="preserve"> by </w:t>
      </w:r>
      <w:r w:rsidR="002E3BE6" w:rsidRPr="00852B9C">
        <w:t>an application can be different.</w:t>
      </w:r>
      <w:r w:rsidR="002E3BE6">
        <w:t xml:space="preserve"> For this reason, there needs to be separate requirement entries for horizontal and vertical accuracy.</w:t>
      </w:r>
    </w:p>
    <w:p w14:paraId="3A92D4D8" w14:textId="77777777" w:rsidR="002E3BE6" w:rsidRDefault="002E3BE6" w:rsidP="00B00582">
      <w:pPr>
        <w:pStyle w:val="BodyText"/>
        <w:numPr>
          <w:ilvl w:val="0"/>
          <w:numId w:val="4"/>
        </w:numPr>
      </w:pPr>
      <w:r>
        <w:t>The position estimation error should be seen as having a spatial distribution. The accuracy should thus be defined as a percentile point of the cumulative distribution (CDF) of the positioning errors.</w:t>
      </w:r>
    </w:p>
    <w:p w14:paraId="40719692" w14:textId="68658D19" w:rsidR="002E3BE6" w:rsidRDefault="002E3BE6" w:rsidP="00B00582">
      <w:pPr>
        <w:pStyle w:val="BodyText"/>
        <w:numPr>
          <w:ilvl w:val="0"/>
          <w:numId w:val="4"/>
        </w:numPr>
      </w:pPr>
      <w:r>
        <w:t>Position estimation accuracy is dependent on many parameters, including signal bandwidth, measurement capabilities, deployment</w:t>
      </w:r>
      <w:r w:rsidR="00E64489">
        <w:t>, radio conditions,</w:t>
      </w:r>
      <w:r>
        <w:t xml:space="preserve"> etc. Those will be defined for the test environment in the respective evaluation configuration. Since bandwidth has an impact on the possible positioning accuracy but is also dependent on the operating band frequency, it is proposed that minimum requirements are defined </w:t>
      </w:r>
      <w:r w:rsidR="00695BDB">
        <w:t>for more than one</w:t>
      </w:r>
      <w:r>
        <w:t xml:space="preserve"> bandwidth</w:t>
      </w:r>
      <w:r w:rsidR="00695BDB">
        <w:t xml:space="preserve"> configuration</w:t>
      </w:r>
      <w:r>
        <w:t>.</w:t>
      </w:r>
    </w:p>
    <w:p w14:paraId="20858006" w14:textId="77777777" w:rsidR="002E3BE6" w:rsidRDefault="002E3BE6" w:rsidP="00EB20E6">
      <w:pPr>
        <w:pStyle w:val="BodyText"/>
      </w:pPr>
    </w:p>
    <w:p w14:paraId="355DE840" w14:textId="0E259053" w:rsidR="006D5F54" w:rsidRPr="00491CEF" w:rsidRDefault="006D5F54" w:rsidP="006D5F54">
      <w:pPr>
        <w:pStyle w:val="Heading2"/>
      </w:pPr>
      <w:r w:rsidRPr="00491CEF">
        <w:t>Sensing-related capabilities</w:t>
      </w:r>
    </w:p>
    <w:p w14:paraId="17BBD327" w14:textId="10281C86" w:rsidR="006D5F54" w:rsidRPr="00424087" w:rsidRDefault="006D5F54" w:rsidP="00424087">
      <w:pPr>
        <w:pStyle w:val="BodyText"/>
      </w:pPr>
      <w:r w:rsidRPr="00424087">
        <w:t>In a first step, the objective of sensing and the related sensing tasks need to be defined, applicable for a limited number of use cases (e.g., Transport</w:t>
      </w:r>
      <w:r w:rsidR="00970337">
        <w:t>ation</w:t>
      </w:r>
      <w:r w:rsidRPr="00424087">
        <w:t>, Industry, UAV</w:t>
      </w:r>
      <w:r w:rsidR="00970337">
        <w:t xml:space="preserve">, </w:t>
      </w:r>
      <w:r w:rsidR="00970337" w:rsidRPr="00424087">
        <w:t>Smart home</w:t>
      </w:r>
      <w:r w:rsidRPr="00424087">
        <w:t xml:space="preserve">). Some examples of sensing tasks are presence/absence detection, localisation of passive/non-connected objects, velocity/direction estimation, distance estimation, condition detection (e.g., weather), etc. </w:t>
      </w:r>
    </w:p>
    <w:p w14:paraId="75FCBD76" w14:textId="0DA0D082" w:rsidR="00424087" w:rsidRPr="007C3969" w:rsidRDefault="00424087" w:rsidP="00424087">
      <w:pPr>
        <w:pStyle w:val="Heading3"/>
        <w:rPr>
          <w:lang w:eastAsia="zh-CN"/>
        </w:rPr>
      </w:pPr>
      <w:r>
        <w:rPr>
          <w:lang w:eastAsia="zh-CN"/>
        </w:rPr>
        <w:t xml:space="preserve">Sensing tasks and use </w:t>
      </w:r>
      <w:proofErr w:type="gramStart"/>
      <w:r>
        <w:rPr>
          <w:lang w:eastAsia="zh-CN"/>
        </w:rPr>
        <w:t>cases</w:t>
      </w:r>
      <w:proofErr w:type="gramEnd"/>
    </w:p>
    <w:p w14:paraId="7BFD4CE7" w14:textId="246360EC" w:rsidR="00424087" w:rsidRDefault="00424087" w:rsidP="00424087">
      <w:pPr>
        <w:pStyle w:val="BodyText"/>
        <w:rPr>
          <w:lang w:eastAsia="zh-CN"/>
        </w:rPr>
      </w:pPr>
      <w:r>
        <w:rPr>
          <w:lang w:eastAsia="zh-CN"/>
        </w:rPr>
        <w:t xml:space="preserve">There are many possible use cases for sensing. As an example, the 3GPP SA1 study in </w:t>
      </w:r>
      <w:hyperlink r:id="rId18" w:history="1">
        <w:r w:rsidRPr="00BC55BD">
          <w:rPr>
            <w:rStyle w:val="Hyperlink"/>
            <w:lang w:eastAsia="zh-CN"/>
          </w:rPr>
          <w:t xml:space="preserve">3GPP </w:t>
        </w:r>
        <w:r w:rsidRPr="00BC55BD">
          <w:rPr>
            <w:rStyle w:val="Hyperlink"/>
            <w:lang w:val="en-US" w:eastAsia="zh-CN"/>
          </w:rPr>
          <w:t>TR 22.837</w:t>
        </w:r>
      </w:hyperlink>
      <w:r>
        <w:rPr>
          <w:lang w:eastAsia="zh-CN"/>
        </w:rPr>
        <w:t xml:space="preserve"> suggest 62 use cases. </w:t>
      </w:r>
      <w:r w:rsidR="006039A5">
        <w:rPr>
          <w:lang w:eastAsia="zh-CN"/>
        </w:rPr>
        <w:t>Looking forward</w:t>
      </w:r>
      <w:r>
        <w:rPr>
          <w:lang w:eastAsia="zh-CN"/>
        </w:rPr>
        <w:t xml:space="preserve"> the number of use cases may increase</w:t>
      </w:r>
      <w:r w:rsidRPr="003B3E0D">
        <w:rPr>
          <w:lang w:eastAsia="zh-CN"/>
        </w:rPr>
        <w:t xml:space="preserve"> </w:t>
      </w:r>
      <w:r>
        <w:rPr>
          <w:lang w:eastAsia="zh-CN"/>
        </w:rPr>
        <w:t>further, making an adequate and flexible standardization framework necessary to accommodate the growing number, without unnecessary complications.</w:t>
      </w:r>
    </w:p>
    <w:p w14:paraId="3F7C2FA1" w14:textId="029FBD18" w:rsidR="00424087" w:rsidRDefault="00424087" w:rsidP="00424087">
      <w:pPr>
        <w:pStyle w:val="BodyText"/>
        <w:rPr>
          <w:lang w:eastAsia="zh-CN"/>
        </w:rPr>
      </w:pPr>
      <w:r>
        <w:rPr>
          <w:lang w:eastAsia="zh-CN"/>
        </w:rPr>
        <w:t xml:space="preserve">It is further noted that even though there can potentially be </w:t>
      </w:r>
      <w:proofErr w:type="gramStart"/>
      <w:r>
        <w:rPr>
          <w:lang w:eastAsia="zh-CN"/>
        </w:rPr>
        <w:t>a large number of</w:t>
      </w:r>
      <w:proofErr w:type="gramEnd"/>
      <w:r>
        <w:rPr>
          <w:lang w:eastAsia="zh-CN"/>
        </w:rPr>
        <w:t xml:space="preserve"> sensing use cases, there is a limited set of actual sensing task categories that need to be supported in a system capable of sensing. With a set of standardized </w:t>
      </w:r>
      <w:r w:rsidR="00036E15">
        <w:rPr>
          <w:lang w:eastAsia="zh-CN"/>
        </w:rPr>
        <w:t xml:space="preserve">common </w:t>
      </w:r>
      <w:r>
        <w:rPr>
          <w:lang w:eastAsia="zh-CN"/>
        </w:rPr>
        <w:t xml:space="preserve">sensing tasks, enabling a new use case would entail selecting sensing tasks needed from the standardized set and ensuring that the relevant Key Performance Indicator (KPI) target values for the new use case exist. Thus, supporting a new sensing use case would not affect the standardized elements and will make the sensing TPR scalable.   </w:t>
      </w:r>
    </w:p>
    <w:p w14:paraId="1A3C1B1E" w14:textId="77777777" w:rsidR="00424087" w:rsidRDefault="00424087" w:rsidP="00424087">
      <w:pPr>
        <w:pStyle w:val="BodyText"/>
        <w:rPr>
          <w:lang w:eastAsia="zh-CN"/>
        </w:rPr>
      </w:pPr>
      <w:r>
        <w:rPr>
          <w:lang w:eastAsia="zh-CN"/>
        </w:rPr>
        <w:t>Example sensing tasks:</w:t>
      </w:r>
    </w:p>
    <w:p w14:paraId="0EE90965" w14:textId="77777777" w:rsidR="00424087" w:rsidRDefault="00424087" w:rsidP="00B00582">
      <w:pPr>
        <w:pStyle w:val="BodyText"/>
        <w:numPr>
          <w:ilvl w:val="0"/>
          <w:numId w:val="5"/>
        </w:numPr>
        <w:rPr>
          <w:lang w:eastAsia="zh-CN"/>
        </w:rPr>
      </w:pPr>
      <w:r>
        <w:rPr>
          <w:lang w:eastAsia="zh-CN"/>
        </w:rPr>
        <w:t>Object detection (e.g., presence/absence detection)</w:t>
      </w:r>
    </w:p>
    <w:p w14:paraId="1D1A23B6" w14:textId="77777777" w:rsidR="00424087" w:rsidRDefault="00424087" w:rsidP="00B00582">
      <w:pPr>
        <w:pStyle w:val="BodyText"/>
        <w:numPr>
          <w:ilvl w:val="0"/>
          <w:numId w:val="5"/>
        </w:numPr>
        <w:rPr>
          <w:lang w:eastAsia="zh-CN"/>
        </w:rPr>
      </w:pPr>
      <w:r>
        <w:rPr>
          <w:lang w:eastAsia="zh-CN"/>
        </w:rPr>
        <w:t>Object characterization (e.g., classification, size determination, feature extraction),</w:t>
      </w:r>
    </w:p>
    <w:p w14:paraId="0ED8C38E" w14:textId="77777777" w:rsidR="00424087" w:rsidRDefault="00424087" w:rsidP="00B00582">
      <w:pPr>
        <w:pStyle w:val="BodyText"/>
        <w:numPr>
          <w:ilvl w:val="0"/>
          <w:numId w:val="5"/>
        </w:numPr>
        <w:rPr>
          <w:lang w:eastAsia="zh-CN"/>
        </w:rPr>
      </w:pPr>
      <w:r>
        <w:rPr>
          <w:lang w:eastAsia="zh-CN"/>
        </w:rPr>
        <w:t>Movement detection (e.g., detection of a movement occurrence),</w:t>
      </w:r>
    </w:p>
    <w:p w14:paraId="2CD2C82C" w14:textId="77777777" w:rsidR="00424087" w:rsidRDefault="00424087" w:rsidP="00B00582">
      <w:pPr>
        <w:pStyle w:val="BodyText"/>
        <w:numPr>
          <w:ilvl w:val="0"/>
          <w:numId w:val="5"/>
        </w:numPr>
        <w:rPr>
          <w:lang w:eastAsia="zh-CN"/>
        </w:rPr>
      </w:pPr>
      <w:r>
        <w:rPr>
          <w:lang w:eastAsia="zh-CN"/>
        </w:rPr>
        <w:t>Movement characterization (e.g., velocity estimation),</w:t>
      </w:r>
    </w:p>
    <w:p w14:paraId="2D56128F" w14:textId="77777777" w:rsidR="00424087" w:rsidRDefault="00424087" w:rsidP="00B00582">
      <w:pPr>
        <w:pStyle w:val="BodyText"/>
        <w:numPr>
          <w:ilvl w:val="0"/>
          <w:numId w:val="5"/>
        </w:numPr>
        <w:rPr>
          <w:lang w:eastAsia="zh-CN"/>
        </w:rPr>
      </w:pPr>
      <w:r>
        <w:rPr>
          <w:lang w:eastAsia="zh-CN"/>
        </w:rPr>
        <w:t>Localization (at least of passive/non-connected objects),</w:t>
      </w:r>
    </w:p>
    <w:p w14:paraId="5A12B1DE" w14:textId="77777777" w:rsidR="00424087" w:rsidRDefault="00424087" w:rsidP="00B00582">
      <w:pPr>
        <w:pStyle w:val="BodyText"/>
        <w:numPr>
          <w:ilvl w:val="0"/>
          <w:numId w:val="5"/>
        </w:numPr>
        <w:rPr>
          <w:lang w:eastAsia="zh-CN"/>
        </w:rPr>
      </w:pPr>
      <w:r>
        <w:rPr>
          <w:lang w:eastAsia="zh-CN"/>
        </w:rPr>
        <w:t>Mapping (building a map of unknown environment).</w:t>
      </w:r>
    </w:p>
    <w:p w14:paraId="6322F7CF" w14:textId="77777777" w:rsidR="00424087" w:rsidRDefault="00424087" w:rsidP="00424087">
      <w:pPr>
        <w:pStyle w:val="BodyText"/>
        <w:rPr>
          <w:lang w:eastAsia="zh-CN"/>
        </w:rPr>
      </w:pPr>
      <w:r>
        <w:rPr>
          <w:lang w:eastAsia="zh-CN"/>
        </w:rPr>
        <w:t>Each basic sensing task is characterized with at least one KPI that defines the minimum requirement. This is illustrated in Figure 4.</w:t>
      </w:r>
    </w:p>
    <w:p w14:paraId="4F899E75" w14:textId="77777777" w:rsidR="00424087" w:rsidRDefault="00424087" w:rsidP="00424087">
      <w:pPr>
        <w:pStyle w:val="BodyText"/>
        <w:rPr>
          <w:lang w:eastAsia="zh-CN"/>
        </w:rPr>
      </w:pPr>
      <w:r>
        <w:rPr>
          <w:lang w:eastAsia="zh-CN"/>
        </w:rPr>
        <w:t>A sensing task can be defined as follows:</w:t>
      </w:r>
    </w:p>
    <w:p w14:paraId="6D90DBAC" w14:textId="77777777" w:rsidR="00424087" w:rsidRDefault="00424087" w:rsidP="00424087">
      <w:pPr>
        <w:pStyle w:val="BodyText"/>
        <w:ind w:left="720"/>
        <w:rPr>
          <w:lang w:eastAsia="zh-CN"/>
        </w:rPr>
      </w:pPr>
      <w:r w:rsidRPr="001F6CEF">
        <w:rPr>
          <w:lang w:eastAsia="zh-CN"/>
        </w:rPr>
        <w:t>A sensing task is a processing function in an ISAC-capable system, which is performed to achieve a certain sensing goal with respect to one or more sensing target(s), based on radio frequency measurements</w:t>
      </w:r>
      <w:r>
        <w:rPr>
          <w:lang w:eastAsia="zh-CN"/>
        </w:rPr>
        <w:t>.</w:t>
      </w:r>
    </w:p>
    <w:p w14:paraId="69484846" w14:textId="77777777" w:rsidR="00424087" w:rsidRDefault="00424087" w:rsidP="00424087">
      <w:pPr>
        <w:pStyle w:val="ListParagraph"/>
        <w:rPr>
          <w:lang w:eastAsia="zh-CN"/>
        </w:rPr>
      </w:pPr>
    </w:p>
    <w:p w14:paraId="150989C3" w14:textId="77777777" w:rsidR="00424087" w:rsidRDefault="00424087" w:rsidP="00C33C38">
      <w:pPr>
        <w:keepNext/>
        <w:jc w:val="center"/>
      </w:pPr>
      <w:r w:rsidRPr="00D87145">
        <w:rPr>
          <w:noProof/>
        </w:rPr>
        <w:drawing>
          <wp:inline distT="0" distB="0" distL="0" distR="0" wp14:anchorId="18CC67E1" wp14:editId="46D23EEA">
            <wp:extent cx="4535030" cy="3299530"/>
            <wp:effectExtent l="0" t="0" r="0" b="0"/>
            <wp:docPr id="1279625690"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625690" name="Picture 3" descr="A diagram of a diagram&#10;&#10;Description automatically generated"/>
                    <pic:cNvPicPr/>
                  </pic:nvPicPr>
                  <pic:blipFill>
                    <a:blip r:embed="rId19"/>
                    <a:stretch>
                      <a:fillRect/>
                    </a:stretch>
                  </pic:blipFill>
                  <pic:spPr>
                    <a:xfrm>
                      <a:off x="0" y="0"/>
                      <a:ext cx="4546615" cy="3307959"/>
                    </a:xfrm>
                    <a:prstGeom prst="rect">
                      <a:avLst/>
                    </a:prstGeom>
                  </pic:spPr>
                </pic:pic>
              </a:graphicData>
            </a:graphic>
          </wp:inline>
        </w:drawing>
      </w:r>
    </w:p>
    <w:p w14:paraId="29F6B9A2" w14:textId="77777777" w:rsidR="00424087" w:rsidRDefault="00424087" w:rsidP="00424087">
      <w:pPr>
        <w:pStyle w:val="FigureNo"/>
      </w:pPr>
      <w:r>
        <w:t xml:space="preserve">Figure </w:t>
      </w:r>
      <w:r>
        <w:fldChar w:fldCharType="begin"/>
      </w:r>
      <w:r>
        <w:instrText xml:space="preserve"> SEQ Figure \* ARABIC </w:instrText>
      </w:r>
      <w:r>
        <w:fldChar w:fldCharType="separate"/>
      </w:r>
      <w:r>
        <w:rPr>
          <w:noProof/>
        </w:rPr>
        <w:t>4</w:t>
      </w:r>
      <w:r>
        <w:fldChar w:fldCharType="end"/>
      </w:r>
    </w:p>
    <w:p w14:paraId="793C53BD" w14:textId="77777777" w:rsidR="00424087" w:rsidRDefault="00424087" w:rsidP="00424087">
      <w:pPr>
        <w:pStyle w:val="Figuretitle"/>
        <w:rPr>
          <w:lang w:eastAsia="zh-CN"/>
        </w:rPr>
      </w:pPr>
      <w:r w:rsidRPr="006D594D">
        <w:rPr>
          <w:lang w:val="en-US"/>
        </w:rPr>
        <w:t xml:space="preserve">An example on how </w:t>
      </w:r>
      <w:r>
        <w:rPr>
          <w:bCs/>
          <w:lang w:val="en-US"/>
        </w:rPr>
        <w:t>a small set of</w:t>
      </w:r>
      <w:r w:rsidRPr="006D594D">
        <w:rPr>
          <w:lang w:val="en-US"/>
        </w:rPr>
        <w:t xml:space="preserve"> sensing tasks provide a general interface to accommodate </w:t>
      </w:r>
      <w:proofErr w:type="gramStart"/>
      <w:r w:rsidRPr="006D594D">
        <w:rPr>
          <w:lang w:val="en-US"/>
        </w:rPr>
        <w:t>a large number of</w:t>
      </w:r>
      <w:proofErr w:type="gramEnd"/>
      <w:r w:rsidRPr="006D594D">
        <w:rPr>
          <w:lang w:val="en-US"/>
        </w:rPr>
        <w:t xml:space="preserve"> use cases</w:t>
      </w:r>
      <w:r w:rsidRPr="00B833E5">
        <w:rPr>
          <w:i/>
          <w:iCs/>
          <w:sz w:val="18"/>
          <w:szCs w:val="18"/>
          <w:lang w:val="en-US"/>
        </w:rPr>
        <w:t>.</w:t>
      </w:r>
    </w:p>
    <w:p w14:paraId="298F457F" w14:textId="73D0946B" w:rsidR="00424087" w:rsidRDefault="00424087" w:rsidP="00424087">
      <w:pPr>
        <w:pStyle w:val="Heading3"/>
        <w:rPr>
          <w:lang w:eastAsia="zh-CN"/>
        </w:rPr>
      </w:pPr>
      <w:r>
        <w:rPr>
          <w:lang w:eastAsia="zh-CN"/>
        </w:rPr>
        <w:t>Relevant test environments for Sensing</w:t>
      </w:r>
    </w:p>
    <w:p w14:paraId="7869DC0C" w14:textId="03627961" w:rsidR="00424087" w:rsidRDefault="00424087" w:rsidP="00C5779A">
      <w:pPr>
        <w:pStyle w:val="BodyText"/>
        <w:rPr>
          <w:lang w:eastAsia="zh-CN"/>
        </w:rPr>
      </w:pPr>
      <w:r>
        <w:rPr>
          <w:lang w:eastAsia="zh-CN"/>
        </w:rPr>
        <w:t xml:space="preserve">Prioritization among possible test environments will also be needed. Even for an outdoor deployment with </w:t>
      </w:r>
      <w:proofErr w:type="gramStart"/>
      <w:r>
        <w:rPr>
          <w:lang w:eastAsia="zh-CN"/>
        </w:rPr>
        <w:t>macro BSs</w:t>
      </w:r>
      <w:proofErr w:type="gramEnd"/>
      <w:r>
        <w:rPr>
          <w:lang w:eastAsia="zh-CN"/>
        </w:rPr>
        <w:t xml:space="preserve">, different sensing test environments may need to be defined for outdoor sensing of target objects at a ground level and outdoor sensing for low-altitude aerial vehicles, where at least the channel characteristics are likely to be different, and a new parameters for aerial vehicles may need to be developed. </w:t>
      </w:r>
      <w:r w:rsidR="00B565BD">
        <w:rPr>
          <w:lang w:eastAsia="zh-CN"/>
        </w:rPr>
        <w:t>Two outdoor test environments are proposed, one for</w:t>
      </w:r>
      <w:r w:rsidR="00B565BD" w:rsidRPr="00B565BD">
        <w:t xml:space="preserve"> </w:t>
      </w:r>
      <w:r w:rsidR="00B565BD" w:rsidRPr="00B565BD">
        <w:rPr>
          <w:lang w:eastAsia="zh-CN"/>
        </w:rPr>
        <w:t>low-altitude aerial vehicles</w:t>
      </w:r>
      <w:r w:rsidR="00B565BD">
        <w:rPr>
          <w:lang w:eastAsia="zh-CN"/>
        </w:rPr>
        <w:t xml:space="preserve"> and one for </w:t>
      </w:r>
      <w:r w:rsidR="00251956">
        <w:rPr>
          <w:lang w:eastAsia="zh-CN"/>
        </w:rPr>
        <w:t>ground-level objects.</w:t>
      </w:r>
    </w:p>
    <w:p w14:paraId="20225A97" w14:textId="77777777" w:rsidR="00424087" w:rsidRDefault="00424087" w:rsidP="00424087">
      <w:pPr>
        <w:rPr>
          <w:lang w:eastAsia="zh-CN"/>
        </w:rPr>
      </w:pPr>
    </w:p>
    <w:p w14:paraId="5503F0C1" w14:textId="77777777" w:rsidR="009626C2" w:rsidRDefault="009626C2" w:rsidP="009626C2">
      <w:pPr>
        <w:pStyle w:val="Heading1"/>
        <w:rPr>
          <w:lang w:val="en-US"/>
        </w:rPr>
      </w:pPr>
      <w:r>
        <w:rPr>
          <w:lang w:val="en-US"/>
        </w:rPr>
        <w:t>Evaluation parameters</w:t>
      </w:r>
    </w:p>
    <w:p w14:paraId="13380F82" w14:textId="77777777" w:rsidR="009626C2" w:rsidRDefault="009626C2" w:rsidP="009626C2">
      <w:pPr>
        <w:pStyle w:val="BodyText"/>
        <w:rPr>
          <w:lang w:val="en-US"/>
        </w:rPr>
      </w:pPr>
      <w:r>
        <w:rPr>
          <w:lang w:val="en-US"/>
        </w:rPr>
        <w:t xml:space="preserve">For the TPR listed above, several parameters need to be set to define the requirements while others will be defined for the evaluation. </w:t>
      </w:r>
      <w:r w:rsidRPr="00B71A80">
        <w:rPr>
          <w:lang w:val="en-US"/>
        </w:rPr>
        <w:t xml:space="preserve">In ITU-R WP5D, a new report on </w:t>
      </w:r>
      <w:r>
        <w:rPr>
          <w:lang w:val="en-US"/>
        </w:rPr>
        <w:t>Guidelines for the evaluation of</w:t>
      </w:r>
      <w:r w:rsidRPr="00B71A80">
        <w:rPr>
          <w:lang w:val="en-US"/>
        </w:rPr>
        <w:t xml:space="preserve"> IMT-2030 is being developed [</w:t>
      </w:r>
      <w:r>
        <w:rPr>
          <w:lang w:val="en-US"/>
        </w:rPr>
        <w:t>7</w:t>
      </w:r>
      <w:r w:rsidRPr="00B71A80">
        <w:rPr>
          <w:lang w:val="en-US"/>
        </w:rPr>
        <w:t>] that corresponds to ITU-R report M.241</w:t>
      </w:r>
      <w:r>
        <w:rPr>
          <w:lang w:val="en-US"/>
        </w:rPr>
        <w:t>2</w:t>
      </w:r>
      <w:r w:rsidRPr="00B71A80">
        <w:rPr>
          <w:lang w:val="en-US"/>
        </w:rPr>
        <w:t xml:space="preserve"> [</w:t>
      </w:r>
      <w:r>
        <w:rPr>
          <w:lang w:val="en-US"/>
        </w:rPr>
        <w:t>8</w:t>
      </w:r>
      <w:r w:rsidRPr="00B71A80">
        <w:rPr>
          <w:lang w:val="en-US"/>
        </w:rPr>
        <w:t>] for IMT-2020</w:t>
      </w:r>
      <w:r>
        <w:rPr>
          <w:lang w:val="en-US"/>
        </w:rPr>
        <w:t>. The document is presently at an early stage, with much of the evaluation methodology inherited from IMT-2020.</w:t>
      </w:r>
    </w:p>
    <w:p w14:paraId="6240E98D" w14:textId="237A476A" w:rsidR="003931F0" w:rsidRDefault="003931F0" w:rsidP="009626C2">
      <w:pPr>
        <w:pStyle w:val="BodyText"/>
        <w:rPr>
          <w:lang w:val="en-US"/>
        </w:rPr>
      </w:pPr>
      <w:r>
        <w:rPr>
          <w:lang w:val="en-US"/>
        </w:rPr>
        <w:t>As a first input</w:t>
      </w:r>
      <w:r w:rsidR="00D45D6F">
        <w:rPr>
          <w:lang w:val="en-US"/>
        </w:rPr>
        <w:t xml:space="preserve"> to the update of the evaluation parameters, it is proposed to:</w:t>
      </w:r>
    </w:p>
    <w:p w14:paraId="27E967E5" w14:textId="77777777" w:rsidR="00E85E8C" w:rsidRDefault="00047BC5" w:rsidP="00047BC5">
      <w:pPr>
        <w:pStyle w:val="BodyText"/>
        <w:numPr>
          <w:ilvl w:val="0"/>
          <w:numId w:val="17"/>
        </w:numPr>
      </w:pPr>
      <w:r>
        <w:t xml:space="preserve">Add </w:t>
      </w:r>
      <w:r w:rsidR="003628D5">
        <w:t xml:space="preserve">a frequency band in the </w:t>
      </w:r>
      <w:r w:rsidR="0060633C">
        <w:t xml:space="preserve">range </w:t>
      </w:r>
      <w:r>
        <w:t>7</w:t>
      </w:r>
      <w:r w:rsidR="006C17F6">
        <w:t>-8</w:t>
      </w:r>
      <w:r>
        <w:t xml:space="preserve"> GHz to </w:t>
      </w:r>
      <w:r w:rsidR="0060633C">
        <w:t xml:space="preserve">the existing set of IMT-2020 </w:t>
      </w:r>
      <w:r w:rsidR="00E85E8C">
        <w:t>f</w:t>
      </w:r>
      <w:r w:rsidR="0060633C">
        <w:t xml:space="preserve">requency bands. </w:t>
      </w:r>
    </w:p>
    <w:p w14:paraId="35307E5F" w14:textId="1286AE80" w:rsidR="00EB0860" w:rsidRDefault="00E85E8C" w:rsidP="00047BC5">
      <w:pPr>
        <w:pStyle w:val="BodyText"/>
        <w:numPr>
          <w:ilvl w:val="0"/>
          <w:numId w:val="17"/>
        </w:numPr>
      </w:pPr>
      <w:r>
        <w:t xml:space="preserve">For the frequency band </w:t>
      </w:r>
      <w:r w:rsidR="00881E74">
        <w:t>in the range 7-8GHz</w:t>
      </w:r>
      <w:r w:rsidR="00D46891">
        <w:t xml:space="preserve">, use up to </w:t>
      </w:r>
      <w:r w:rsidR="00371925">
        <w:t xml:space="preserve">four times more antennas elements than </w:t>
      </w:r>
      <w:r w:rsidR="00652428">
        <w:t>used for 4GHz for IMT-2020.</w:t>
      </w:r>
    </w:p>
    <w:p w14:paraId="1677C7DF" w14:textId="736E0724" w:rsidR="00551262" w:rsidRDefault="006039A5" w:rsidP="00B445A4">
      <w:pPr>
        <w:pStyle w:val="Heading1"/>
        <w:rPr>
          <w:lang w:val="en-US"/>
        </w:rPr>
      </w:pPr>
      <w:r>
        <w:rPr>
          <w:lang w:val="en-US"/>
        </w:rPr>
        <w:t>Proposals</w:t>
      </w:r>
    </w:p>
    <w:p w14:paraId="1A457DA1" w14:textId="0F6935AF" w:rsidR="006039A5" w:rsidRDefault="004859D7" w:rsidP="00896C6F">
      <w:pPr>
        <w:pStyle w:val="BodyText"/>
        <w:rPr>
          <w:lang w:val="en-US"/>
        </w:rPr>
      </w:pPr>
      <w:r>
        <w:rPr>
          <w:lang w:val="en-US"/>
        </w:rPr>
        <w:t xml:space="preserve">This contribution </w:t>
      </w:r>
      <w:r w:rsidR="006039A5">
        <w:rPr>
          <w:lang w:val="en-US"/>
        </w:rPr>
        <w:t xml:space="preserve">presents a list of </w:t>
      </w:r>
      <w:proofErr w:type="gramStart"/>
      <w:r w:rsidR="006039A5">
        <w:rPr>
          <w:lang w:val="en-US"/>
        </w:rPr>
        <w:t>candidate</w:t>
      </w:r>
      <w:proofErr w:type="gramEnd"/>
      <w:r w:rsidR="006039A5">
        <w:rPr>
          <w:lang w:val="en-US"/>
        </w:rPr>
        <w:t xml:space="preserve"> TPR, proposed to be used in the LS response to ITU-R WP5D:</w:t>
      </w:r>
    </w:p>
    <w:p w14:paraId="12C81FF0" w14:textId="77777777" w:rsidR="00D70BDD" w:rsidRDefault="00D70BDD" w:rsidP="00D70BDD">
      <w:pPr>
        <w:pStyle w:val="BodyText"/>
        <w:numPr>
          <w:ilvl w:val="0"/>
          <w:numId w:val="15"/>
        </w:numPr>
      </w:pPr>
      <w:r>
        <w:t>Peak data rate</w:t>
      </w:r>
    </w:p>
    <w:p w14:paraId="227DE712" w14:textId="77777777" w:rsidR="00D70BDD" w:rsidRDefault="00D70BDD" w:rsidP="00D70BDD">
      <w:pPr>
        <w:pStyle w:val="BodyText"/>
        <w:numPr>
          <w:ilvl w:val="0"/>
          <w:numId w:val="15"/>
        </w:numPr>
      </w:pPr>
      <w:r>
        <w:t>Peak Spectral Efficiency</w:t>
      </w:r>
    </w:p>
    <w:p w14:paraId="53166FCF" w14:textId="77777777" w:rsidR="00D70BDD" w:rsidRDefault="00D70BDD" w:rsidP="00D70BDD">
      <w:pPr>
        <w:pStyle w:val="BodyText"/>
        <w:numPr>
          <w:ilvl w:val="0"/>
          <w:numId w:val="15"/>
        </w:numPr>
      </w:pPr>
      <w:r>
        <w:t>User experienced data rate</w:t>
      </w:r>
    </w:p>
    <w:p w14:paraId="1ECC42F9" w14:textId="77777777" w:rsidR="00D70BDD" w:rsidRDefault="00D70BDD" w:rsidP="00D70BDD">
      <w:pPr>
        <w:pStyle w:val="BodyText"/>
        <w:numPr>
          <w:ilvl w:val="0"/>
          <w:numId w:val="15"/>
        </w:numPr>
      </w:pPr>
      <w:r>
        <w:t>Average Spectral efficiency</w:t>
      </w:r>
    </w:p>
    <w:p w14:paraId="1D321E14" w14:textId="77777777" w:rsidR="00D70BDD" w:rsidRDefault="00D70BDD" w:rsidP="00D70BDD">
      <w:pPr>
        <w:pStyle w:val="BodyText"/>
        <w:numPr>
          <w:ilvl w:val="0"/>
          <w:numId w:val="15"/>
        </w:numPr>
      </w:pPr>
      <w:r>
        <w:t>5th percentile user Spectral efficiency</w:t>
      </w:r>
    </w:p>
    <w:p w14:paraId="26B8B404" w14:textId="77777777" w:rsidR="00D70BDD" w:rsidRDefault="00D70BDD" w:rsidP="00D70BDD">
      <w:pPr>
        <w:pStyle w:val="BodyText"/>
        <w:numPr>
          <w:ilvl w:val="0"/>
          <w:numId w:val="15"/>
        </w:numPr>
      </w:pPr>
      <w:r>
        <w:t>Area traffic capacity</w:t>
      </w:r>
    </w:p>
    <w:p w14:paraId="16DED3A0" w14:textId="77777777" w:rsidR="00D70BDD" w:rsidRDefault="00D70BDD" w:rsidP="00D70BDD">
      <w:pPr>
        <w:pStyle w:val="BodyText"/>
        <w:numPr>
          <w:ilvl w:val="0"/>
          <w:numId w:val="15"/>
        </w:numPr>
      </w:pPr>
      <w:r>
        <w:t>Connection Density</w:t>
      </w:r>
    </w:p>
    <w:p w14:paraId="7D695040" w14:textId="77777777" w:rsidR="00D70BDD" w:rsidRDefault="00D70BDD" w:rsidP="00D70BDD">
      <w:pPr>
        <w:pStyle w:val="BodyText"/>
        <w:numPr>
          <w:ilvl w:val="0"/>
          <w:numId w:val="15"/>
        </w:numPr>
      </w:pPr>
      <w:r>
        <w:t>Mobility</w:t>
      </w:r>
    </w:p>
    <w:p w14:paraId="4C38B11E" w14:textId="77777777" w:rsidR="00D70BDD" w:rsidRDefault="00D70BDD" w:rsidP="00D70BDD">
      <w:pPr>
        <w:pStyle w:val="BodyText"/>
        <w:numPr>
          <w:ilvl w:val="0"/>
          <w:numId w:val="15"/>
        </w:numPr>
      </w:pPr>
      <w:r>
        <w:t>Mobility interruption time</w:t>
      </w:r>
    </w:p>
    <w:p w14:paraId="35EFAE21" w14:textId="77777777" w:rsidR="00D70BDD" w:rsidRDefault="00D70BDD" w:rsidP="00D70BDD">
      <w:pPr>
        <w:pStyle w:val="BodyText"/>
        <w:numPr>
          <w:ilvl w:val="0"/>
          <w:numId w:val="15"/>
        </w:numPr>
      </w:pPr>
      <w:r>
        <w:t>User plane latency</w:t>
      </w:r>
    </w:p>
    <w:p w14:paraId="46F806D9" w14:textId="77777777" w:rsidR="00D70BDD" w:rsidRDefault="00D70BDD" w:rsidP="00D70BDD">
      <w:pPr>
        <w:pStyle w:val="BodyText"/>
        <w:numPr>
          <w:ilvl w:val="0"/>
          <w:numId w:val="15"/>
        </w:numPr>
      </w:pPr>
      <w:r>
        <w:t xml:space="preserve">Control plane </w:t>
      </w:r>
      <w:proofErr w:type="gramStart"/>
      <w:r>
        <w:t>latency</w:t>
      </w:r>
      <w:proofErr w:type="gramEnd"/>
    </w:p>
    <w:p w14:paraId="342B8B06" w14:textId="77777777" w:rsidR="00D70BDD" w:rsidRDefault="00D70BDD" w:rsidP="00D70BDD">
      <w:pPr>
        <w:pStyle w:val="BodyText"/>
        <w:numPr>
          <w:ilvl w:val="0"/>
          <w:numId w:val="15"/>
        </w:numPr>
      </w:pPr>
      <w:r>
        <w:t>[Reliability]</w:t>
      </w:r>
    </w:p>
    <w:p w14:paraId="05813701" w14:textId="77777777" w:rsidR="00D70BDD" w:rsidRDefault="00D70BDD" w:rsidP="00D70BDD">
      <w:pPr>
        <w:pStyle w:val="BodyText"/>
        <w:numPr>
          <w:ilvl w:val="0"/>
          <w:numId w:val="15"/>
        </w:numPr>
      </w:pPr>
      <w:r>
        <w:t>Bandwidth</w:t>
      </w:r>
    </w:p>
    <w:p w14:paraId="4927E253" w14:textId="77777777" w:rsidR="00D70BDD" w:rsidRPr="00CD1FEF" w:rsidRDefault="00D70BDD" w:rsidP="00D70BDD">
      <w:pPr>
        <w:pStyle w:val="BodyText"/>
        <w:numPr>
          <w:ilvl w:val="0"/>
          <w:numId w:val="15"/>
        </w:numPr>
      </w:pPr>
      <w:r>
        <w:t>Energy Efficiency / Sustainability</w:t>
      </w:r>
    </w:p>
    <w:p w14:paraId="14D66F8F" w14:textId="77777777" w:rsidR="00D70BDD" w:rsidRDefault="00D70BDD" w:rsidP="00D70BDD">
      <w:pPr>
        <w:pStyle w:val="BodyText"/>
        <w:numPr>
          <w:ilvl w:val="0"/>
          <w:numId w:val="15"/>
        </w:numPr>
      </w:pPr>
      <w:r w:rsidRPr="003B5A89">
        <w:t xml:space="preserve">Joint requirement on data rate, </w:t>
      </w:r>
      <w:proofErr w:type="gramStart"/>
      <w:r w:rsidRPr="003B5A89">
        <w:t>latency</w:t>
      </w:r>
      <w:proofErr w:type="gramEnd"/>
      <w:r w:rsidRPr="003B5A89">
        <w:t xml:space="preserve"> and reliability</w:t>
      </w:r>
      <w:r>
        <w:t xml:space="preserve"> (to replace </w:t>
      </w:r>
      <w:r w:rsidRPr="00914E06">
        <w:rPr>
          <w:i/>
          <w:iCs/>
        </w:rPr>
        <w:t>Reliability</w:t>
      </w:r>
      <w:r>
        <w:t>)</w:t>
      </w:r>
    </w:p>
    <w:p w14:paraId="01828F8E" w14:textId="77777777" w:rsidR="00D70BDD" w:rsidRDefault="00D70BDD" w:rsidP="00D70BDD">
      <w:pPr>
        <w:pStyle w:val="BodyText"/>
        <w:numPr>
          <w:ilvl w:val="0"/>
          <w:numId w:val="15"/>
        </w:numPr>
      </w:pPr>
      <w:r>
        <w:t>Positioning</w:t>
      </w:r>
      <w:r>
        <w:tab/>
      </w:r>
    </w:p>
    <w:p w14:paraId="08C9DC75" w14:textId="77777777" w:rsidR="00D70BDD" w:rsidRDefault="00D70BDD" w:rsidP="00D70BDD">
      <w:pPr>
        <w:pStyle w:val="BodyText"/>
        <w:numPr>
          <w:ilvl w:val="0"/>
          <w:numId w:val="15"/>
        </w:numPr>
      </w:pPr>
      <w:r>
        <w:t>Sensing-related capabilities</w:t>
      </w:r>
    </w:p>
    <w:p w14:paraId="238CEA2F" w14:textId="77777777" w:rsidR="00D70BDD" w:rsidRDefault="006039A5" w:rsidP="00896C6F">
      <w:pPr>
        <w:pStyle w:val="BodyText"/>
        <w:rPr>
          <w:lang w:val="en-US"/>
        </w:rPr>
      </w:pPr>
      <w:r>
        <w:rPr>
          <w:lang w:val="en-US"/>
        </w:rPr>
        <w:t>For some revised and new TPR, further details and reasoning is given</w:t>
      </w:r>
      <w:r w:rsidR="00D70BDD">
        <w:rPr>
          <w:lang w:val="en-US"/>
        </w:rPr>
        <w:t xml:space="preserve"> above in Section 3</w:t>
      </w:r>
      <w:r>
        <w:rPr>
          <w:lang w:val="en-US"/>
        </w:rPr>
        <w:t xml:space="preserve">. </w:t>
      </w:r>
    </w:p>
    <w:p w14:paraId="19C5CAA7" w14:textId="6D1D2C68" w:rsidR="006039A5" w:rsidRDefault="006039A5" w:rsidP="00896C6F">
      <w:pPr>
        <w:pStyle w:val="BodyText"/>
        <w:rPr>
          <w:lang w:val="en-US"/>
        </w:rPr>
      </w:pPr>
      <w:r>
        <w:rPr>
          <w:lang w:val="en-US"/>
        </w:rPr>
        <w:t xml:space="preserve">In the </w:t>
      </w:r>
      <w:r w:rsidR="00D70BDD">
        <w:rPr>
          <w:lang w:val="en-US"/>
        </w:rPr>
        <w:t>attachment</w:t>
      </w:r>
      <w:r>
        <w:rPr>
          <w:lang w:val="en-US"/>
        </w:rPr>
        <w:t xml:space="preserve">, a text proposal is given as input to a future TR on the </w:t>
      </w:r>
      <w:r w:rsidRPr="006039A5">
        <w:rPr>
          <w:lang w:val="en-US"/>
        </w:rPr>
        <w:t>Study on Scenarios and Requirements for</w:t>
      </w:r>
      <w:r>
        <w:rPr>
          <w:lang w:val="en-US"/>
        </w:rPr>
        <w:t xml:space="preserve"> IMT-2030, specifically for a chapter on Key Performance Indicators.</w:t>
      </w:r>
    </w:p>
    <w:p w14:paraId="344C2B7F" w14:textId="77777777" w:rsidR="004E022E" w:rsidRDefault="004E022E" w:rsidP="00896C6F">
      <w:pPr>
        <w:pStyle w:val="BodyText"/>
        <w:rPr>
          <w:lang w:val="en-US"/>
        </w:rPr>
      </w:pPr>
    </w:p>
    <w:p w14:paraId="670C0F1F" w14:textId="3DD838F6" w:rsidR="00E665AE" w:rsidRDefault="004E022E" w:rsidP="00896C6F">
      <w:pPr>
        <w:pStyle w:val="BodyText"/>
        <w:rPr>
          <w:lang w:val="en-US"/>
        </w:rPr>
      </w:pPr>
      <w:r>
        <w:rPr>
          <w:lang w:val="en-US"/>
        </w:rPr>
        <w:t>Based on the above we propose:</w:t>
      </w:r>
    </w:p>
    <w:p w14:paraId="4B1AC178" w14:textId="19FEB464" w:rsidR="004E022E" w:rsidRDefault="004E022E" w:rsidP="004E022E">
      <w:pPr>
        <w:pStyle w:val="BodyText"/>
        <w:numPr>
          <w:ilvl w:val="0"/>
          <w:numId w:val="16"/>
        </w:numPr>
        <w:rPr>
          <w:lang w:val="en-US"/>
        </w:rPr>
      </w:pPr>
      <w:r>
        <w:rPr>
          <w:lang w:val="en-US"/>
        </w:rPr>
        <w:t xml:space="preserve">That the attached text proposal is agreed to be included in the TR </w:t>
      </w:r>
      <w:r w:rsidR="002F660E">
        <w:rPr>
          <w:lang w:val="en-US"/>
        </w:rPr>
        <w:t>for</w:t>
      </w:r>
      <w:r>
        <w:rPr>
          <w:lang w:val="en-US"/>
        </w:rPr>
        <w:t xml:space="preserve"> the </w:t>
      </w:r>
      <w:r w:rsidRPr="006039A5">
        <w:rPr>
          <w:lang w:val="en-US"/>
        </w:rPr>
        <w:t>Study on Scenarios and Requirements for</w:t>
      </w:r>
      <w:r>
        <w:rPr>
          <w:lang w:val="en-US"/>
        </w:rPr>
        <w:t xml:space="preserve"> IMT-2030</w:t>
      </w:r>
    </w:p>
    <w:p w14:paraId="70E9D660" w14:textId="67D262F1" w:rsidR="004E022E" w:rsidRPr="00B445A4" w:rsidRDefault="004E022E" w:rsidP="004E022E">
      <w:pPr>
        <w:pStyle w:val="BodyText"/>
        <w:numPr>
          <w:ilvl w:val="0"/>
          <w:numId w:val="16"/>
        </w:numPr>
        <w:rPr>
          <w:lang w:val="en-US"/>
        </w:rPr>
      </w:pPr>
      <w:r>
        <w:rPr>
          <w:lang w:val="en-US"/>
        </w:rPr>
        <w:t xml:space="preserve">The attached draft LS is agreed to be </w:t>
      </w:r>
      <w:r w:rsidR="002F660E">
        <w:rPr>
          <w:lang w:val="en-US"/>
        </w:rPr>
        <w:t>sent to</w:t>
      </w:r>
      <w:r>
        <w:rPr>
          <w:lang w:val="en-US"/>
        </w:rPr>
        <w:t xml:space="preserve"> ITU-R WP5D</w:t>
      </w:r>
      <w:r w:rsidR="002F660E">
        <w:rPr>
          <w:lang w:val="en-US"/>
        </w:rPr>
        <w:t xml:space="preserve"> as a </w:t>
      </w:r>
      <w:proofErr w:type="gramStart"/>
      <w:r w:rsidR="002F660E">
        <w:rPr>
          <w:lang w:val="en-US"/>
        </w:rPr>
        <w:t>response</w:t>
      </w:r>
      <w:proofErr w:type="gramEnd"/>
    </w:p>
    <w:p w14:paraId="5F0B496A" w14:textId="13DCFFAA" w:rsidR="00D466E4" w:rsidRPr="009177A5" w:rsidRDefault="00D466E4" w:rsidP="00D466E4">
      <w:pPr>
        <w:pStyle w:val="Heading1"/>
        <w:rPr>
          <w:lang w:val="en-US"/>
        </w:rPr>
      </w:pPr>
      <w:r w:rsidRPr="009177A5">
        <w:rPr>
          <w:lang w:val="en-US"/>
        </w:rPr>
        <w:t>References</w:t>
      </w:r>
    </w:p>
    <w:p w14:paraId="47ED73DD" w14:textId="14992509" w:rsidR="00FF3907" w:rsidRPr="00E264C4" w:rsidRDefault="00FF3907" w:rsidP="00B00582">
      <w:pPr>
        <w:pStyle w:val="EX"/>
        <w:numPr>
          <w:ilvl w:val="0"/>
          <w:numId w:val="2"/>
        </w:numPr>
        <w:overflowPunct w:val="0"/>
        <w:autoSpaceDE w:val="0"/>
        <w:autoSpaceDN w:val="0"/>
        <w:adjustRightInd w:val="0"/>
        <w:textAlignment w:val="baseline"/>
        <w:rPr>
          <w:lang w:val="en-US"/>
        </w:rPr>
      </w:pPr>
      <w:r w:rsidRPr="00FF3907">
        <w:rPr>
          <w:lang w:val="en-US"/>
        </w:rPr>
        <w:t>“Working Document towards a Preliminary Draft New Report ITU-R M.[IMT-2030.TECH PERF REQ]: Minimum requirements related to technical performance for IMT-2030 radio interface(s</w:t>
      </w:r>
      <w:r w:rsidRPr="00E264C4">
        <w:rPr>
          <w:lang w:val="en-US"/>
        </w:rPr>
        <w:t xml:space="preserve">)”, </w:t>
      </w:r>
      <w:hyperlink r:id="rId20" w:history="1">
        <w:r w:rsidRPr="00966BDE">
          <w:rPr>
            <w:rStyle w:val="Hyperlink"/>
            <w:lang w:val="en-US"/>
          </w:rPr>
          <w:t>Annex 5.7 to Document 5D/413</w:t>
        </w:r>
      </w:hyperlink>
      <w:r w:rsidRPr="00E264C4">
        <w:rPr>
          <w:lang w:val="en-US"/>
        </w:rPr>
        <w:t xml:space="preserve"> (Working Party 5D Chairman’s Report).</w:t>
      </w:r>
    </w:p>
    <w:p w14:paraId="4BBDBB1A" w14:textId="6BEB4C62" w:rsidR="006211C6" w:rsidRPr="006211C6" w:rsidRDefault="00C34231">
      <w:pPr>
        <w:pStyle w:val="EX"/>
        <w:numPr>
          <w:ilvl w:val="0"/>
          <w:numId w:val="2"/>
        </w:numPr>
        <w:overflowPunct w:val="0"/>
        <w:autoSpaceDE w:val="0"/>
        <w:autoSpaceDN w:val="0"/>
        <w:adjustRightInd w:val="0"/>
        <w:textAlignment w:val="baseline"/>
        <w:rPr>
          <w:sz w:val="24"/>
          <w:lang w:val="en-US"/>
        </w:rPr>
      </w:pPr>
      <w:r w:rsidRPr="004F0C1E">
        <w:rPr>
          <w:lang w:val="en-US"/>
        </w:rPr>
        <w:t xml:space="preserve">“Minimum requirements related to technical performance for IMT-2030 radio interface(s); </w:t>
      </w:r>
      <w:r w:rsidR="004F0C1E" w:rsidRPr="004F0C1E">
        <w:rPr>
          <w:lang w:val="en-US"/>
        </w:rPr>
        <w:t>Liaison Statement to External Organizations</w:t>
      </w:r>
      <w:r w:rsidRPr="004F0C1E">
        <w:rPr>
          <w:lang w:val="en-US"/>
        </w:rPr>
        <w:t xml:space="preserve">”, </w:t>
      </w:r>
      <w:r w:rsidR="004F0C1E" w:rsidRPr="004F0C1E">
        <w:rPr>
          <w:lang w:val="en-US"/>
        </w:rPr>
        <w:t xml:space="preserve">Source: </w:t>
      </w:r>
      <w:bookmarkStart w:id="7" w:name="_Hlk182685491"/>
      <w:r w:rsidR="006211C6">
        <w:rPr>
          <w:lang w:val="en-US"/>
        </w:rPr>
        <w:t xml:space="preserve">ITU-R WP5D, </w:t>
      </w:r>
      <w:proofErr w:type="spellStart"/>
      <w:r w:rsidR="006211C6">
        <w:rPr>
          <w:lang w:val="en-US"/>
        </w:rPr>
        <w:t>Tdoc</w:t>
      </w:r>
      <w:proofErr w:type="spellEnd"/>
      <w:r w:rsidR="006211C6">
        <w:rPr>
          <w:lang w:val="en-US"/>
        </w:rPr>
        <w:t xml:space="preserve"> </w:t>
      </w:r>
      <w:hyperlink r:id="rId21" w:history="1">
        <w:r w:rsidR="006211C6" w:rsidRPr="0033062A">
          <w:rPr>
            <w:rStyle w:val="Hyperlink"/>
            <w:lang w:val="en-US"/>
          </w:rPr>
          <w:t>R</w:t>
        </w:r>
        <w:r w:rsidR="003849D6">
          <w:rPr>
            <w:rStyle w:val="Hyperlink"/>
            <w:lang w:val="en-US"/>
          </w:rPr>
          <w:t>T</w:t>
        </w:r>
        <w:r w:rsidR="006211C6" w:rsidRPr="0033062A">
          <w:rPr>
            <w:rStyle w:val="Hyperlink"/>
            <w:lang w:val="en-US"/>
          </w:rPr>
          <w:t>-240015</w:t>
        </w:r>
      </w:hyperlink>
      <w:r w:rsidR="006211C6">
        <w:rPr>
          <w:lang w:val="en-US"/>
        </w:rPr>
        <w:t>.</w:t>
      </w:r>
    </w:p>
    <w:p w14:paraId="3FD3FC4A" w14:textId="77777777" w:rsidR="009471B6" w:rsidRPr="004F0C1E" w:rsidRDefault="006D5F54">
      <w:pPr>
        <w:pStyle w:val="EX"/>
        <w:numPr>
          <w:ilvl w:val="0"/>
          <w:numId w:val="2"/>
        </w:numPr>
        <w:overflowPunct w:val="0"/>
        <w:autoSpaceDE w:val="0"/>
        <w:autoSpaceDN w:val="0"/>
        <w:adjustRightInd w:val="0"/>
        <w:textAlignment w:val="baseline"/>
        <w:rPr>
          <w:sz w:val="24"/>
          <w:lang w:val="en-US"/>
        </w:rPr>
      </w:pPr>
      <w:r w:rsidRPr="004F0C1E">
        <w:rPr>
          <w:lang w:val="en-US"/>
        </w:rPr>
        <w:t xml:space="preserve">“Proposals for the Working Document Towards a Preliminary Draft New Report ITU-R M.[IMT-2030.TECH PERF REQ]”, Source: </w:t>
      </w:r>
      <w:proofErr w:type="spellStart"/>
      <w:r w:rsidRPr="004F0C1E">
        <w:rPr>
          <w:lang w:val="en-US"/>
        </w:rPr>
        <w:t>Telefon</w:t>
      </w:r>
      <w:proofErr w:type="spellEnd"/>
      <w:r w:rsidRPr="004F0C1E">
        <w:rPr>
          <w:lang w:val="en-US"/>
        </w:rPr>
        <w:t xml:space="preserve"> AB – LM Ericsson, Document </w:t>
      </w:r>
      <w:hyperlink r:id="rId22" w:history="1">
        <w:r w:rsidRPr="004F0C1E">
          <w:rPr>
            <w:rStyle w:val="Hyperlink"/>
            <w:lang w:val="en-US"/>
          </w:rPr>
          <w:t>5D/218</w:t>
        </w:r>
      </w:hyperlink>
      <w:r w:rsidRPr="004F0C1E">
        <w:rPr>
          <w:lang w:val="en-US"/>
        </w:rPr>
        <w:t>, 13 June 2024.</w:t>
      </w:r>
      <w:bookmarkEnd w:id="7"/>
    </w:p>
    <w:p w14:paraId="7739F034" w14:textId="6EE77957" w:rsidR="009471B6" w:rsidRDefault="00FA41BC" w:rsidP="00B00582">
      <w:pPr>
        <w:pStyle w:val="EX"/>
        <w:numPr>
          <w:ilvl w:val="0"/>
          <w:numId w:val="2"/>
        </w:numPr>
        <w:overflowPunct w:val="0"/>
        <w:autoSpaceDE w:val="0"/>
        <w:autoSpaceDN w:val="0"/>
        <w:adjustRightInd w:val="0"/>
        <w:textAlignment w:val="baseline"/>
        <w:rPr>
          <w:lang w:val="en-US"/>
        </w:rPr>
      </w:pPr>
      <w:r w:rsidRPr="009471B6">
        <w:rPr>
          <w:lang w:val="en-US"/>
        </w:rPr>
        <w:t xml:space="preserve">“Proposals for the Working Document Towards a Preliminary Draft New Report ITU-R </w:t>
      </w:r>
      <w:proofErr w:type="gramStart"/>
      <w:r w:rsidRPr="009471B6">
        <w:rPr>
          <w:lang w:val="en-US"/>
        </w:rPr>
        <w:t>M.[</w:t>
      </w:r>
      <w:proofErr w:type="gramEnd"/>
      <w:r w:rsidRPr="009471B6">
        <w:rPr>
          <w:lang w:val="en-US"/>
        </w:rPr>
        <w:t xml:space="preserve">IMT-2030.TECH PERF REQ]”, Source: </w:t>
      </w:r>
      <w:proofErr w:type="spellStart"/>
      <w:r w:rsidRPr="009471B6">
        <w:rPr>
          <w:lang w:val="en-US"/>
        </w:rPr>
        <w:t>Telefon</w:t>
      </w:r>
      <w:proofErr w:type="spellEnd"/>
      <w:r w:rsidRPr="009471B6">
        <w:rPr>
          <w:lang w:val="en-US"/>
        </w:rPr>
        <w:t xml:space="preserve"> AB – LM Ericsson, Document </w:t>
      </w:r>
      <w:hyperlink r:id="rId23" w:history="1">
        <w:r w:rsidRPr="00EE097E">
          <w:rPr>
            <w:rStyle w:val="Hyperlink"/>
            <w:lang w:val="en-US"/>
          </w:rPr>
          <w:t>5D/387</w:t>
        </w:r>
      </w:hyperlink>
      <w:r w:rsidRPr="009471B6">
        <w:rPr>
          <w:lang w:val="en-US"/>
        </w:rPr>
        <w:t>, 23 September 2024.</w:t>
      </w:r>
    </w:p>
    <w:p w14:paraId="30DB8BF5" w14:textId="0660465C" w:rsidR="00B46F28" w:rsidRPr="00D70BDD" w:rsidRDefault="00D70BDD" w:rsidP="00B00582">
      <w:pPr>
        <w:pStyle w:val="EX"/>
        <w:numPr>
          <w:ilvl w:val="0"/>
          <w:numId w:val="2"/>
        </w:numPr>
        <w:overflowPunct w:val="0"/>
        <w:autoSpaceDE w:val="0"/>
        <w:autoSpaceDN w:val="0"/>
        <w:adjustRightInd w:val="0"/>
        <w:jc w:val="both"/>
        <w:textAlignment w:val="baseline"/>
        <w:rPr>
          <w:lang w:eastAsia="zh-CN"/>
        </w:rPr>
      </w:pPr>
      <w:r>
        <w:rPr>
          <w:lang w:val="en-US"/>
        </w:rPr>
        <w:t xml:space="preserve">ITU-R </w:t>
      </w:r>
      <w:r w:rsidR="00993AC9" w:rsidRPr="00B46F28">
        <w:rPr>
          <w:lang w:val="en-US"/>
        </w:rPr>
        <w:t xml:space="preserve">Report </w:t>
      </w:r>
      <w:hyperlink r:id="rId24" w:history="1">
        <w:r w:rsidR="00993AC9" w:rsidRPr="00B46F28">
          <w:rPr>
            <w:rStyle w:val="Hyperlink"/>
            <w:lang w:val="en-US"/>
          </w:rPr>
          <w:t>M.2410-0 (11/2017)</w:t>
        </w:r>
      </w:hyperlink>
      <w:r w:rsidR="00993AC9" w:rsidRPr="00B46F28">
        <w:rPr>
          <w:lang w:val="en-US"/>
        </w:rPr>
        <w:t>, “Minimum requirements related to technical performance for IMT-2020radio interface(s)”.</w:t>
      </w:r>
    </w:p>
    <w:p w14:paraId="38BD4D15" w14:textId="3ED9097C" w:rsidR="00D70BDD" w:rsidRDefault="00D70BDD" w:rsidP="00B00582">
      <w:pPr>
        <w:pStyle w:val="EX"/>
        <w:numPr>
          <w:ilvl w:val="0"/>
          <w:numId w:val="2"/>
        </w:numPr>
        <w:overflowPunct w:val="0"/>
        <w:autoSpaceDE w:val="0"/>
        <w:autoSpaceDN w:val="0"/>
        <w:adjustRightInd w:val="0"/>
        <w:jc w:val="both"/>
        <w:textAlignment w:val="baseline"/>
        <w:rPr>
          <w:lang w:eastAsia="zh-CN"/>
        </w:rPr>
      </w:pPr>
      <w:r w:rsidRPr="00CD1FEF">
        <w:rPr>
          <w:lang w:eastAsia="zh-CN"/>
        </w:rPr>
        <w:t xml:space="preserve">ITU-R Recommendation </w:t>
      </w:r>
      <w:hyperlink r:id="rId25" w:history="1">
        <w:r w:rsidRPr="00CD1FEF">
          <w:rPr>
            <w:rStyle w:val="Hyperlink"/>
            <w:lang w:eastAsia="zh-CN"/>
          </w:rPr>
          <w:t>M.2160</w:t>
        </w:r>
      </w:hyperlink>
      <w:r w:rsidR="00E264C4">
        <w:rPr>
          <w:rStyle w:val="Hyperlink"/>
          <w:lang w:eastAsia="zh-CN"/>
        </w:rPr>
        <w:t>-0 (11/2023)</w:t>
      </w:r>
      <w:r>
        <w:rPr>
          <w:lang w:eastAsia="zh-CN"/>
        </w:rPr>
        <w:t>, “</w:t>
      </w:r>
      <w:r w:rsidR="00E264C4" w:rsidRPr="00E264C4">
        <w:rPr>
          <w:lang w:eastAsia="zh-CN"/>
        </w:rPr>
        <w:t>Framework and overall objectives of the future development of IMT for 2030 and beyond</w:t>
      </w:r>
      <w:r>
        <w:rPr>
          <w:lang w:eastAsia="zh-CN"/>
        </w:rPr>
        <w:t>”</w:t>
      </w:r>
      <w:r w:rsidR="00E264C4">
        <w:rPr>
          <w:lang w:eastAsia="zh-CN"/>
        </w:rPr>
        <w:t>.</w:t>
      </w:r>
    </w:p>
    <w:p w14:paraId="30CFBCBE" w14:textId="32C84FFD" w:rsidR="009E2C32" w:rsidRDefault="008E127D" w:rsidP="0013569A">
      <w:pPr>
        <w:pStyle w:val="EX"/>
        <w:numPr>
          <w:ilvl w:val="0"/>
          <w:numId w:val="2"/>
        </w:numPr>
        <w:overflowPunct w:val="0"/>
        <w:autoSpaceDE w:val="0"/>
        <w:autoSpaceDN w:val="0"/>
        <w:adjustRightInd w:val="0"/>
        <w:jc w:val="both"/>
        <w:textAlignment w:val="baseline"/>
        <w:rPr>
          <w:lang w:eastAsia="zh-CN"/>
        </w:rPr>
      </w:pPr>
      <w:r>
        <w:rPr>
          <w:lang w:eastAsia="zh-CN"/>
        </w:rPr>
        <w:t>“Working Document towards Preliminary Draft New Report ITU-R M.[IMT-2030.EVAL]: Guidelines for evaluation of radio interface technologies for IMT-2030”</w:t>
      </w:r>
      <w:r w:rsidR="004D2965">
        <w:rPr>
          <w:lang w:eastAsia="zh-CN"/>
        </w:rPr>
        <w:t xml:space="preserve">, </w:t>
      </w:r>
      <w:hyperlink r:id="rId26" w:history="1">
        <w:r w:rsidR="00FA0347" w:rsidRPr="00495728">
          <w:rPr>
            <w:rStyle w:val="Hyperlink"/>
            <w:lang w:eastAsia="zh-CN"/>
          </w:rPr>
          <w:t xml:space="preserve">Annex 5.2 </w:t>
        </w:r>
        <w:r w:rsidR="00C63CA3" w:rsidRPr="00495728">
          <w:rPr>
            <w:rStyle w:val="Hyperlink"/>
            <w:lang w:eastAsia="zh-CN"/>
          </w:rPr>
          <w:t>Document</w:t>
        </w:r>
        <w:r w:rsidR="00644E58" w:rsidRPr="00495728">
          <w:rPr>
            <w:rStyle w:val="Hyperlink"/>
            <w:lang w:eastAsia="zh-CN"/>
          </w:rPr>
          <w:t xml:space="preserve"> 5D/</w:t>
        </w:r>
        <w:r w:rsidR="00D66A13" w:rsidRPr="00495728">
          <w:rPr>
            <w:rStyle w:val="Hyperlink"/>
            <w:lang w:eastAsia="zh-CN"/>
          </w:rPr>
          <w:t>413</w:t>
        </w:r>
      </w:hyperlink>
      <w:r w:rsidR="00C63CA3">
        <w:rPr>
          <w:lang w:eastAsia="zh-CN"/>
        </w:rPr>
        <w:t xml:space="preserve"> (</w:t>
      </w:r>
      <w:r w:rsidR="00FA0347" w:rsidRPr="00FA0347">
        <w:rPr>
          <w:lang w:eastAsia="zh-CN"/>
        </w:rPr>
        <w:t>Working Party 5D Chair’s Report</w:t>
      </w:r>
      <w:r w:rsidR="00C63CA3">
        <w:rPr>
          <w:lang w:eastAsia="zh-CN"/>
        </w:rPr>
        <w:t>)</w:t>
      </w:r>
      <w:r w:rsidR="00FA0347">
        <w:rPr>
          <w:lang w:eastAsia="zh-CN"/>
        </w:rPr>
        <w:t>.</w:t>
      </w:r>
    </w:p>
    <w:p w14:paraId="0EB82230" w14:textId="5C03062C" w:rsidR="00D70BDD" w:rsidRDefault="00D44466" w:rsidP="00B00582">
      <w:pPr>
        <w:pStyle w:val="EX"/>
        <w:numPr>
          <w:ilvl w:val="0"/>
          <w:numId w:val="2"/>
        </w:numPr>
        <w:overflowPunct w:val="0"/>
        <w:autoSpaceDE w:val="0"/>
        <w:autoSpaceDN w:val="0"/>
        <w:adjustRightInd w:val="0"/>
        <w:jc w:val="both"/>
        <w:textAlignment w:val="baseline"/>
        <w:rPr>
          <w:lang w:eastAsia="zh-CN"/>
        </w:rPr>
      </w:pPr>
      <w:r>
        <w:rPr>
          <w:lang w:eastAsia="zh-CN"/>
        </w:rPr>
        <w:t>M.2412</w:t>
      </w:r>
    </w:p>
    <w:sectPr w:rsidR="00D70BD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0F1E3" w14:textId="77777777" w:rsidR="00E36661" w:rsidRDefault="00E36661">
      <w:r>
        <w:separator/>
      </w:r>
    </w:p>
  </w:endnote>
  <w:endnote w:type="continuationSeparator" w:id="0">
    <w:p w14:paraId="63750E03" w14:textId="77777777" w:rsidR="00E36661" w:rsidRDefault="00E36661">
      <w:r>
        <w:continuationSeparator/>
      </w:r>
    </w:p>
  </w:endnote>
  <w:endnote w:type="continuationNotice" w:id="1">
    <w:p w14:paraId="5EB2FD4D" w14:textId="77777777" w:rsidR="00E36661" w:rsidRDefault="00E36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3B3C7" w14:textId="77777777" w:rsidR="00E36661" w:rsidRDefault="00E36661">
      <w:r>
        <w:separator/>
      </w:r>
    </w:p>
  </w:footnote>
  <w:footnote w:type="continuationSeparator" w:id="0">
    <w:p w14:paraId="31A75061" w14:textId="77777777" w:rsidR="00E36661" w:rsidRDefault="00E36661">
      <w:r>
        <w:continuationSeparator/>
      </w:r>
    </w:p>
  </w:footnote>
  <w:footnote w:type="continuationNotice" w:id="1">
    <w:p w14:paraId="33FADC47" w14:textId="77777777" w:rsidR="00E36661" w:rsidRDefault="00E366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12300"/>
    <w:multiLevelType w:val="hybridMultilevel"/>
    <w:tmpl w:val="F724E8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B921FBF"/>
    <w:multiLevelType w:val="hybridMultilevel"/>
    <w:tmpl w:val="383E2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484E93"/>
    <w:multiLevelType w:val="hybridMultilevel"/>
    <w:tmpl w:val="21F4F5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873052"/>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F214B3"/>
    <w:multiLevelType w:val="hybridMultilevel"/>
    <w:tmpl w:val="A8EE63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EF25CF8"/>
    <w:multiLevelType w:val="hybridMultilevel"/>
    <w:tmpl w:val="A7029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3F25A7"/>
    <w:multiLevelType w:val="hybridMultilevel"/>
    <w:tmpl w:val="84E6FB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EC61AB"/>
    <w:multiLevelType w:val="hybridMultilevel"/>
    <w:tmpl w:val="2C0E79C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DBD4BC1"/>
    <w:multiLevelType w:val="hybridMultilevel"/>
    <w:tmpl w:val="F602760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FB3758A"/>
    <w:multiLevelType w:val="hybridMultilevel"/>
    <w:tmpl w:val="019887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44F14A2"/>
    <w:multiLevelType w:val="hybridMultilevel"/>
    <w:tmpl w:val="DBAE5338"/>
    <w:lvl w:ilvl="0" w:tplc="561C098E">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BC199F"/>
    <w:multiLevelType w:val="hybridMultilevel"/>
    <w:tmpl w:val="3986218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6E61ED3"/>
    <w:multiLevelType w:val="hybridMultilevel"/>
    <w:tmpl w:val="672205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7C45926"/>
    <w:multiLevelType w:val="hybridMultilevel"/>
    <w:tmpl w:val="6A28D8EA"/>
    <w:lvl w:ilvl="0" w:tplc="8ABCC49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85420704">
    <w:abstractNumId w:val="8"/>
  </w:num>
  <w:num w:numId="2" w16cid:durableId="14700366">
    <w:abstractNumId w:val="13"/>
  </w:num>
  <w:num w:numId="3" w16cid:durableId="320080448">
    <w:abstractNumId w:val="15"/>
  </w:num>
  <w:num w:numId="4" w16cid:durableId="419642016">
    <w:abstractNumId w:val="11"/>
  </w:num>
  <w:num w:numId="5" w16cid:durableId="1608536846">
    <w:abstractNumId w:val="2"/>
  </w:num>
  <w:num w:numId="6" w16cid:durableId="291521756">
    <w:abstractNumId w:val="14"/>
  </w:num>
  <w:num w:numId="7" w16cid:durableId="1522208568">
    <w:abstractNumId w:val="4"/>
  </w:num>
  <w:num w:numId="8" w16cid:durableId="955720843">
    <w:abstractNumId w:val="6"/>
  </w:num>
  <w:num w:numId="9" w16cid:durableId="1470903894">
    <w:abstractNumId w:val="16"/>
  </w:num>
  <w:num w:numId="10" w16cid:durableId="2013608003">
    <w:abstractNumId w:val="7"/>
  </w:num>
  <w:num w:numId="11" w16cid:durableId="866411367">
    <w:abstractNumId w:val="9"/>
  </w:num>
  <w:num w:numId="12" w16cid:durableId="528376621">
    <w:abstractNumId w:val="0"/>
  </w:num>
  <w:num w:numId="13" w16cid:durableId="1664120337">
    <w:abstractNumId w:val="10"/>
  </w:num>
  <w:num w:numId="14" w16cid:durableId="2069065055">
    <w:abstractNumId w:val="12"/>
  </w:num>
  <w:num w:numId="15" w16cid:durableId="100994419">
    <w:abstractNumId w:val="3"/>
  </w:num>
  <w:num w:numId="16" w16cid:durableId="1419714928">
    <w:abstractNumId w:val="1"/>
  </w:num>
  <w:num w:numId="17" w16cid:durableId="109053926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activeWritingStyle w:appName="MSWord" w:lang="en-US" w:vendorID="64" w:dllVersion="0" w:nlCheck="1" w:checkStyle="0"/>
  <w:activeWritingStyle w:appName="MSWord" w:lang="en-GB"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3BBA"/>
    <w:rsid w:val="00011776"/>
    <w:rsid w:val="00016CA3"/>
    <w:rsid w:val="00022B48"/>
    <w:rsid w:val="000237D7"/>
    <w:rsid w:val="000237F0"/>
    <w:rsid w:val="00036E15"/>
    <w:rsid w:val="00037BA8"/>
    <w:rsid w:val="00044D24"/>
    <w:rsid w:val="00047BC5"/>
    <w:rsid w:val="00047F45"/>
    <w:rsid w:val="00051AD0"/>
    <w:rsid w:val="00051DF2"/>
    <w:rsid w:val="0006072E"/>
    <w:rsid w:val="00063B5C"/>
    <w:rsid w:val="00067B1B"/>
    <w:rsid w:val="00077FB1"/>
    <w:rsid w:val="000917DF"/>
    <w:rsid w:val="000A252F"/>
    <w:rsid w:val="000A5706"/>
    <w:rsid w:val="000B5585"/>
    <w:rsid w:val="000C0308"/>
    <w:rsid w:val="000C0855"/>
    <w:rsid w:val="000C2711"/>
    <w:rsid w:val="000C5F61"/>
    <w:rsid w:val="000E5D87"/>
    <w:rsid w:val="000F08F9"/>
    <w:rsid w:val="000F1261"/>
    <w:rsid w:val="000F3B48"/>
    <w:rsid w:val="000F41F1"/>
    <w:rsid w:val="000F48A5"/>
    <w:rsid w:val="000F7F74"/>
    <w:rsid w:val="0010279D"/>
    <w:rsid w:val="001102C2"/>
    <w:rsid w:val="00113182"/>
    <w:rsid w:val="001168CC"/>
    <w:rsid w:val="00124AB3"/>
    <w:rsid w:val="001260A0"/>
    <w:rsid w:val="00133064"/>
    <w:rsid w:val="001334C7"/>
    <w:rsid w:val="00133B5A"/>
    <w:rsid w:val="00134CFA"/>
    <w:rsid w:val="0013569A"/>
    <w:rsid w:val="001357BA"/>
    <w:rsid w:val="00163220"/>
    <w:rsid w:val="001638B9"/>
    <w:rsid w:val="00166C84"/>
    <w:rsid w:val="00166D2E"/>
    <w:rsid w:val="00172FC1"/>
    <w:rsid w:val="00174101"/>
    <w:rsid w:val="00181130"/>
    <w:rsid w:val="00186510"/>
    <w:rsid w:val="00187095"/>
    <w:rsid w:val="001909A3"/>
    <w:rsid w:val="001930DF"/>
    <w:rsid w:val="001B2B7D"/>
    <w:rsid w:val="001C6C56"/>
    <w:rsid w:val="001C758F"/>
    <w:rsid w:val="001D3293"/>
    <w:rsid w:val="001D46A7"/>
    <w:rsid w:val="001E06E1"/>
    <w:rsid w:val="001E4630"/>
    <w:rsid w:val="001E7A9E"/>
    <w:rsid w:val="001F16CC"/>
    <w:rsid w:val="0020370A"/>
    <w:rsid w:val="00205FAC"/>
    <w:rsid w:val="0021189D"/>
    <w:rsid w:val="00213D89"/>
    <w:rsid w:val="00237340"/>
    <w:rsid w:val="002374EE"/>
    <w:rsid w:val="00243CE4"/>
    <w:rsid w:val="00246998"/>
    <w:rsid w:val="00251956"/>
    <w:rsid w:val="00260933"/>
    <w:rsid w:val="00265D42"/>
    <w:rsid w:val="00272990"/>
    <w:rsid w:val="00281DE1"/>
    <w:rsid w:val="00290443"/>
    <w:rsid w:val="00294CF5"/>
    <w:rsid w:val="002A118B"/>
    <w:rsid w:val="002A4267"/>
    <w:rsid w:val="002B3C59"/>
    <w:rsid w:val="002B6B5E"/>
    <w:rsid w:val="002C233C"/>
    <w:rsid w:val="002C781B"/>
    <w:rsid w:val="002C7FC7"/>
    <w:rsid w:val="002D2D54"/>
    <w:rsid w:val="002D60EB"/>
    <w:rsid w:val="002E0ADA"/>
    <w:rsid w:val="002E3BE6"/>
    <w:rsid w:val="002E3E1A"/>
    <w:rsid w:val="002F37BD"/>
    <w:rsid w:val="002F612D"/>
    <w:rsid w:val="002F660E"/>
    <w:rsid w:val="00302151"/>
    <w:rsid w:val="00304CB4"/>
    <w:rsid w:val="00304E78"/>
    <w:rsid w:val="00306ED0"/>
    <w:rsid w:val="00311D17"/>
    <w:rsid w:val="00314711"/>
    <w:rsid w:val="00314EDE"/>
    <w:rsid w:val="00320346"/>
    <w:rsid w:val="00320679"/>
    <w:rsid w:val="00324C7A"/>
    <w:rsid w:val="00326A41"/>
    <w:rsid w:val="003271A7"/>
    <w:rsid w:val="0033062A"/>
    <w:rsid w:val="00345BFE"/>
    <w:rsid w:val="00347B9D"/>
    <w:rsid w:val="00352980"/>
    <w:rsid w:val="003628D5"/>
    <w:rsid w:val="003646FC"/>
    <w:rsid w:val="00366695"/>
    <w:rsid w:val="003673C9"/>
    <w:rsid w:val="003710C4"/>
    <w:rsid w:val="00371925"/>
    <w:rsid w:val="003739C5"/>
    <w:rsid w:val="00376953"/>
    <w:rsid w:val="00377E84"/>
    <w:rsid w:val="003849D6"/>
    <w:rsid w:val="00390BBB"/>
    <w:rsid w:val="003931F0"/>
    <w:rsid w:val="00397389"/>
    <w:rsid w:val="003A1DE5"/>
    <w:rsid w:val="003B48F2"/>
    <w:rsid w:val="003B5A89"/>
    <w:rsid w:val="003C0934"/>
    <w:rsid w:val="003C2BF8"/>
    <w:rsid w:val="003C6850"/>
    <w:rsid w:val="003D3111"/>
    <w:rsid w:val="004017E5"/>
    <w:rsid w:val="00403B74"/>
    <w:rsid w:val="00405C7C"/>
    <w:rsid w:val="00424087"/>
    <w:rsid w:val="00425637"/>
    <w:rsid w:val="00431297"/>
    <w:rsid w:val="00431D7D"/>
    <w:rsid w:val="0043565D"/>
    <w:rsid w:val="00442274"/>
    <w:rsid w:val="00443A86"/>
    <w:rsid w:val="004443AF"/>
    <w:rsid w:val="0044598B"/>
    <w:rsid w:val="0044655B"/>
    <w:rsid w:val="0045630F"/>
    <w:rsid w:val="004672AB"/>
    <w:rsid w:val="00476C74"/>
    <w:rsid w:val="00480B55"/>
    <w:rsid w:val="004859D7"/>
    <w:rsid w:val="004908D8"/>
    <w:rsid w:val="004926AD"/>
    <w:rsid w:val="00494B09"/>
    <w:rsid w:val="00495728"/>
    <w:rsid w:val="00496500"/>
    <w:rsid w:val="004A0574"/>
    <w:rsid w:val="004A1F0E"/>
    <w:rsid w:val="004A31C5"/>
    <w:rsid w:val="004A5264"/>
    <w:rsid w:val="004A5351"/>
    <w:rsid w:val="004A71C1"/>
    <w:rsid w:val="004C0293"/>
    <w:rsid w:val="004C1A3D"/>
    <w:rsid w:val="004C701B"/>
    <w:rsid w:val="004D134B"/>
    <w:rsid w:val="004D2914"/>
    <w:rsid w:val="004D2965"/>
    <w:rsid w:val="004D48EC"/>
    <w:rsid w:val="004E022E"/>
    <w:rsid w:val="004E6006"/>
    <w:rsid w:val="004E67E0"/>
    <w:rsid w:val="004F0707"/>
    <w:rsid w:val="004F0C1E"/>
    <w:rsid w:val="004F0F55"/>
    <w:rsid w:val="00502A40"/>
    <w:rsid w:val="005142A3"/>
    <w:rsid w:val="00516626"/>
    <w:rsid w:val="00520D4E"/>
    <w:rsid w:val="0052219E"/>
    <w:rsid w:val="00524C96"/>
    <w:rsid w:val="005271FB"/>
    <w:rsid w:val="005316F6"/>
    <w:rsid w:val="00545B40"/>
    <w:rsid w:val="005474F0"/>
    <w:rsid w:val="00551262"/>
    <w:rsid w:val="00552900"/>
    <w:rsid w:val="00570474"/>
    <w:rsid w:val="00571FDC"/>
    <w:rsid w:val="00580C39"/>
    <w:rsid w:val="00581CFD"/>
    <w:rsid w:val="00583594"/>
    <w:rsid w:val="00586410"/>
    <w:rsid w:val="00592364"/>
    <w:rsid w:val="005A6088"/>
    <w:rsid w:val="005A7A0B"/>
    <w:rsid w:val="005B0E5E"/>
    <w:rsid w:val="005C01CC"/>
    <w:rsid w:val="005C6557"/>
    <w:rsid w:val="005D1D6A"/>
    <w:rsid w:val="005D2A94"/>
    <w:rsid w:val="005D2EB7"/>
    <w:rsid w:val="005D3014"/>
    <w:rsid w:val="005D4474"/>
    <w:rsid w:val="005E24CC"/>
    <w:rsid w:val="005E70DF"/>
    <w:rsid w:val="005E792F"/>
    <w:rsid w:val="005F0B32"/>
    <w:rsid w:val="005F6BB8"/>
    <w:rsid w:val="006011A8"/>
    <w:rsid w:val="006039A5"/>
    <w:rsid w:val="00604C2B"/>
    <w:rsid w:val="006056B7"/>
    <w:rsid w:val="0060633C"/>
    <w:rsid w:val="006112E8"/>
    <w:rsid w:val="00612921"/>
    <w:rsid w:val="006137E3"/>
    <w:rsid w:val="006165DA"/>
    <w:rsid w:val="00617A60"/>
    <w:rsid w:val="006211C6"/>
    <w:rsid w:val="0062237B"/>
    <w:rsid w:val="00624391"/>
    <w:rsid w:val="00626F96"/>
    <w:rsid w:val="00627220"/>
    <w:rsid w:val="00630A71"/>
    <w:rsid w:val="0063150A"/>
    <w:rsid w:val="00637023"/>
    <w:rsid w:val="00640BE4"/>
    <w:rsid w:val="006424D8"/>
    <w:rsid w:val="006439B6"/>
    <w:rsid w:val="00644E58"/>
    <w:rsid w:val="00645B8A"/>
    <w:rsid w:val="00652428"/>
    <w:rsid w:val="006539BE"/>
    <w:rsid w:val="00656B13"/>
    <w:rsid w:val="006577E0"/>
    <w:rsid w:val="006648A7"/>
    <w:rsid w:val="00666410"/>
    <w:rsid w:val="0067141B"/>
    <w:rsid w:val="00674F79"/>
    <w:rsid w:val="00680483"/>
    <w:rsid w:val="00680A9A"/>
    <w:rsid w:val="00685BF9"/>
    <w:rsid w:val="006926E0"/>
    <w:rsid w:val="00695BDB"/>
    <w:rsid w:val="006A1D96"/>
    <w:rsid w:val="006A648F"/>
    <w:rsid w:val="006A7D78"/>
    <w:rsid w:val="006B0700"/>
    <w:rsid w:val="006B503A"/>
    <w:rsid w:val="006C130C"/>
    <w:rsid w:val="006C17F6"/>
    <w:rsid w:val="006C4A76"/>
    <w:rsid w:val="006C543A"/>
    <w:rsid w:val="006D1494"/>
    <w:rsid w:val="006D5F54"/>
    <w:rsid w:val="006D6C66"/>
    <w:rsid w:val="006E5EC5"/>
    <w:rsid w:val="006F3C5F"/>
    <w:rsid w:val="0070106C"/>
    <w:rsid w:val="00701224"/>
    <w:rsid w:val="0070201D"/>
    <w:rsid w:val="00703385"/>
    <w:rsid w:val="007061AB"/>
    <w:rsid w:val="00714C76"/>
    <w:rsid w:val="00721E37"/>
    <w:rsid w:val="00737B89"/>
    <w:rsid w:val="00745365"/>
    <w:rsid w:val="007467A5"/>
    <w:rsid w:val="0074776E"/>
    <w:rsid w:val="007554CE"/>
    <w:rsid w:val="00755FED"/>
    <w:rsid w:val="0076687C"/>
    <w:rsid w:val="007676C2"/>
    <w:rsid w:val="007743A7"/>
    <w:rsid w:val="0077618A"/>
    <w:rsid w:val="00790504"/>
    <w:rsid w:val="007A3D20"/>
    <w:rsid w:val="007D704C"/>
    <w:rsid w:val="007D7213"/>
    <w:rsid w:val="007E1B06"/>
    <w:rsid w:val="007F7C2D"/>
    <w:rsid w:val="00804BE5"/>
    <w:rsid w:val="008125D8"/>
    <w:rsid w:val="00813593"/>
    <w:rsid w:val="008137EB"/>
    <w:rsid w:val="008143CD"/>
    <w:rsid w:val="00831ABB"/>
    <w:rsid w:val="00833972"/>
    <w:rsid w:val="00836B80"/>
    <w:rsid w:val="00840849"/>
    <w:rsid w:val="00855CB8"/>
    <w:rsid w:val="0086504D"/>
    <w:rsid w:val="00873A66"/>
    <w:rsid w:val="008743E1"/>
    <w:rsid w:val="00876057"/>
    <w:rsid w:val="00880030"/>
    <w:rsid w:val="00881E74"/>
    <w:rsid w:val="008820FC"/>
    <w:rsid w:val="00885412"/>
    <w:rsid w:val="00893082"/>
    <w:rsid w:val="00896C6F"/>
    <w:rsid w:val="00897DC4"/>
    <w:rsid w:val="008C48BA"/>
    <w:rsid w:val="008C654B"/>
    <w:rsid w:val="008C7085"/>
    <w:rsid w:val="008C78B4"/>
    <w:rsid w:val="008D3D1D"/>
    <w:rsid w:val="008D5CBA"/>
    <w:rsid w:val="008D63F9"/>
    <w:rsid w:val="008D7F5B"/>
    <w:rsid w:val="008E127D"/>
    <w:rsid w:val="008E438C"/>
    <w:rsid w:val="008F3049"/>
    <w:rsid w:val="008F5E1F"/>
    <w:rsid w:val="00900C64"/>
    <w:rsid w:val="009062D0"/>
    <w:rsid w:val="00913C0F"/>
    <w:rsid w:val="00914E06"/>
    <w:rsid w:val="009177A5"/>
    <w:rsid w:val="00920956"/>
    <w:rsid w:val="00923CDF"/>
    <w:rsid w:val="00926E5B"/>
    <w:rsid w:val="00937888"/>
    <w:rsid w:val="00937D9C"/>
    <w:rsid w:val="00941E81"/>
    <w:rsid w:val="00944466"/>
    <w:rsid w:val="009467F0"/>
    <w:rsid w:val="009471B6"/>
    <w:rsid w:val="009536A8"/>
    <w:rsid w:val="00953F92"/>
    <w:rsid w:val="00954A47"/>
    <w:rsid w:val="00957486"/>
    <w:rsid w:val="009626C2"/>
    <w:rsid w:val="009654F3"/>
    <w:rsid w:val="00966BDE"/>
    <w:rsid w:val="00970337"/>
    <w:rsid w:val="00970462"/>
    <w:rsid w:val="00971586"/>
    <w:rsid w:val="00975C63"/>
    <w:rsid w:val="00983238"/>
    <w:rsid w:val="00990790"/>
    <w:rsid w:val="00993AC9"/>
    <w:rsid w:val="009972FA"/>
    <w:rsid w:val="009A4E07"/>
    <w:rsid w:val="009A632A"/>
    <w:rsid w:val="009B1851"/>
    <w:rsid w:val="009B23CB"/>
    <w:rsid w:val="009B27AA"/>
    <w:rsid w:val="009B6EDB"/>
    <w:rsid w:val="009C1154"/>
    <w:rsid w:val="009C1D1E"/>
    <w:rsid w:val="009C34EF"/>
    <w:rsid w:val="009C5FFC"/>
    <w:rsid w:val="009D0E9B"/>
    <w:rsid w:val="009D13EF"/>
    <w:rsid w:val="009D283E"/>
    <w:rsid w:val="009E2C32"/>
    <w:rsid w:val="009E7127"/>
    <w:rsid w:val="009F7379"/>
    <w:rsid w:val="00A02A2D"/>
    <w:rsid w:val="00A04D93"/>
    <w:rsid w:val="00A20196"/>
    <w:rsid w:val="00A206D0"/>
    <w:rsid w:val="00A33848"/>
    <w:rsid w:val="00A42625"/>
    <w:rsid w:val="00A456A1"/>
    <w:rsid w:val="00A52F58"/>
    <w:rsid w:val="00A603D8"/>
    <w:rsid w:val="00A64EC4"/>
    <w:rsid w:val="00A6681C"/>
    <w:rsid w:val="00A66A0C"/>
    <w:rsid w:val="00A70759"/>
    <w:rsid w:val="00A71417"/>
    <w:rsid w:val="00A74397"/>
    <w:rsid w:val="00A96089"/>
    <w:rsid w:val="00AA6CAB"/>
    <w:rsid w:val="00AA7E70"/>
    <w:rsid w:val="00AB1CBA"/>
    <w:rsid w:val="00AB2BE1"/>
    <w:rsid w:val="00AB4C64"/>
    <w:rsid w:val="00AB4CE0"/>
    <w:rsid w:val="00AB70AE"/>
    <w:rsid w:val="00AC2DD4"/>
    <w:rsid w:val="00AD1AC8"/>
    <w:rsid w:val="00AD1C2B"/>
    <w:rsid w:val="00AE060D"/>
    <w:rsid w:val="00AE298E"/>
    <w:rsid w:val="00AF3B42"/>
    <w:rsid w:val="00AF5CC5"/>
    <w:rsid w:val="00B00582"/>
    <w:rsid w:val="00B0059F"/>
    <w:rsid w:val="00B0583A"/>
    <w:rsid w:val="00B15BF9"/>
    <w:rsid w:val="00B228D3"/>
    <w:rsid w:val="00B241D5"/>
    <w:rsid w:val="00B24CB0"/>
    <w:rsid w:val="00B258BF"/>
    <w:rsid w:val="00B264DD"/>
    <w:rsid w:val="00B26567"/>
    <w:rsid w:val="00B340C5"/>
    <w:rsid w:val="00B4165B"/>
    <w:rsid w:val="00B4315B"/>
    <w:rsid w:val="00B445A4"/>
    <w:rsid w:val="00B46F28"/>
    <w:rsid w:val="00B50B72"/>
    <w:rsid w:val="00B520BA"/>
    <w:rsid w:val="00B565BD"/>
    <w:rsid w:val="00B6425C"/>
    <w:rsid w:val="00B71A80"/>
    <w:rsid w:val="00B72558"/>
    <w:rsid w:val="00B73A1E"/>
    <w:rsid w:val="00B7544D"/>
    <w:rsid w:val="00B75EC3"/>
    <w:rsid w:val="00B77155"/>
    <w:rsid w:val="00B801AF"/>
    <w:rsid w:val="00B80476"/>
    <w:rsid w:val="00B80778"/>
    <w:rsid w:val="00BD2466"/>
    <w:rsid w:val="00BD2815"/>
    <w:rsid w:val="00BF0EB5"/>
    <w:rsid w:val="00BF1F70"/>
    <w:rsid w:val="00BF4694"/>
    <w:rsid w:val="00C1639A"/>
    <w:rsid w:val="00C1649F"/>
    <w:rsid w:val="00C2721F"/>
    <w:rsid w:val="00C321C6"/>
    <w:rsid w:val="00C33C38"/>
    <w:rsid w:val="00C34231"/>
    <w:rsid w:val="00C37A1B"/>
    <w:rsid w:val="00C40745"/>
    <w:rsid w:val="00C42812"/>
    <w:rsid w:val="00C431BE"/>
    <w:rsid w:val="00C45927"/>
    <w:rsid w:val="00C46751"/>
    <w:rsid w:val="00C46E81"/>
    <w:rsid w:val="00C50170"/>
    <w:rsid w:val="00C5182B"/>
    <w:rsid w:val="00C546A8"/>
    <w:rsid w:val="00C5660D"/>
    <w:rsid w:val="00C5779A"/>
    <w:rsid w:val="00C617CE"/>
    <w:rsid w:val="00C63CA3"/>
    <w:rsid w:val="00C7312B"/>
    <w:rsid w:val="00C81023"/>
    <w:rsid w:val="00C84FC7"/>
    <w:rsid w:val="00C91A45"/>
    <w:rsid w:val="00C93AC6"/>
    <w:rsid w:val="00CA243A"/>
    <w:rsid w:val="00CB1768"/>
    <w:rsid w:val="00CB6253"/>
    <w:rsid w:val="00CB751D"/>
    <w:rsid w:val="00CC00BD"/>
    <w:rsid w:val="00CC01E7"/>
    <w:rsid w:val="00CC73F5"/>
    <w:rsid w:val="00CD5AB3"/>
    <w:rsid w:val="00CE33A7"/>
    <w:rsid w:val="00CE562F"/>
    <w:rsid w:val="00CE5BBA"/>
    <w:rsid w:val="00CF4DF9"/>
    <w:rsid w:val="00CF4F27"/>
    <w:rsid w:val="00CF50BE"/>
    <w:rsid w:val="00CF75E9"/>
    <w:rsid w:val="00D002FC"/>
    <w:rsid w:val="00D06D85"/>
    <w:rsid w:val="00D16EC3"/>
    <w:rsid w:val="00D2274A"/>
    <w:rsid w:val="00D26B71"/>
    <w:rsid w:val="00D32522"/>
    <w:rsid w:val="00D35BB8"/>
    <w:rsid w:val="00D40E87"/>
    <w:rsid w:val="00D44466"/>
    <w:rsid w:val="00D44825"/>
    <w:rsid w:val="00D45D6F"/>
    <w:rsid w:val="00D466E4"/>
    <w:rsid w:val="00D46891"/>
    <w:rsid w:val="00D534DA"/>
    <w:rsid w:val="00D6268F"/>
    <w:rsid w:val="00D62ECF"/>
    <w:rsid w:val="00D6408E"/>
    <w:rsid w:val="00D646C0"/>
    <w:rsid w:val="00D66A13"/>
    <w:rsid w:val="00D70BDD"/>
    <w:rsid w:val="00D8048C"/>
    <w:rsid w:val="00D80EC5"/>
    <w:rsid w:val="00D87CC2"/>
    <w:rsid w:val="00D92470"/>
    <w:rsid w:val="00DA01DC"/>
    <w:rsid w:val="00DB56A2"/>
    <w:rsid w:val="00DB67F9"/>
    <w:rsid w:val="00DC0E1D"/>
    <w:rsid w:val="00DC23D4"/>
    <w:rsid w:val="00DC2851"/>
    <w:rsid w:val="00DE359D"/>
    <w:rsid w:val="00DF1B9B"/>
    <w:rsid w:val="00DF1F60"/>
    <w:rsid w:val="00DF3680"/>
    <w:rsid w:val="00E051C9"/>
    <w:rsid w:val="00E122BE"/>
    <w:rsid w:val="00E12CF3"/>
    <w:rsid w:val="00E25574"/>
    <w:rsid w:val="00E264C4"/>
    <w:rsid w:val="00E317C8"/>
    <w:rsid w:val="00E34C99"/>
    <w:rsid w:val="00E36661"/>
    <w:rsid w:val="00E465C0"/>
    <w:rsid w:val="00E5091B"/>
    <w:rsid w:val="00E52110"/>
    <w:rsid w:val="00E5213B"/>
    <w:rsid w:val="00E523AA"/>
    <w:rsid w:val="00E64489"/>
    <w:rsid w:val="00E64966"/>
    <w:rsid w:val="00E65329"/>
    <w:rsid w:val="00E665AE"/>
    <w:rsid w:val="00E67AE2"/>
    <w:rsid w:val="00E71A1A"/>
    <w:rsid w:val="00E85053"/>
    <w:rsid w:val="00E85E8C"/>
    <w:rsid w:val="00E91AA4"/>
    <w:rsid w:val="00E9449A"/>
    <w:rsid w:val="00E94717"/>
    <w:rsid w:val="00E96D3A"/>
    <w:rsid w:val="00EB0860"/>
    <w:rsid w:val="00EB20E6"/>
    <w:rsid w:val="00EB271B"/>
    <w:rsid w:val="00EB2AC9"/>
    <w:rsid w:val="00EB4101"/>
    <w:rsid w:val="00EB7A47"/>
    <w:rsid w:val="00EC4D40"/>
    <w:rsid w:val="00ED12D7"/>
    <w:rsid w:val="00ED38E0"/>
    <w:rsid w:val="00ED57E7"/>
    <w:rsid w:val="00ED5EC6"/>
    <w:rsid w:val="00ED60DA"/>
    <w:rsid w:val="00EE097E"/>
    <w:rsid w:val="00EE1ACF"/>
    <w:rsid w:val="00EE32C0"/>
    <w:rsid w:val="00EF0BC3"/>
    <w:rsid w:val="00EF2017"/>
    <w:rsid w:val="00F00133"/>
    <w:rsid w:val="00F030E8"/>
    <w:rsid w:val="00F0336F"/>
    <w:rsid w:val="00F06C5C"/>
    <w:rsid w:val="00F10B2B"/>
    <w:rsid w:val="00F11F98"/>
    <w:rsid w:val="00F32056"/>
    <w:rsid w:val="00F33F25"/>
    <w:rsid w:val="00F3582F"/>
    <w:rsid w:val="00F3592A"/>
    <w:rsid w:val="00F51A48"/>
    <w:rsid w:val="00F56778"/>
    <w:rsid w:val="00F6148F"/>
    <w:rsid w:val="00F6291E"/>
    <w:rsid w:val="00F645EE"/>
    <w:rsid w:val="00F660AB"/>
    <w:rsid w:val="00F76429"/>
    <w:rsid w:val="00F76768"/>
    <w:rsid w:val="00F8357F"/>
    <w:rsid w:val="00F83D14"/>
    <w:rsid w:val="00F90BD9"/>
    <w:rsid w:val="00F910FB"/>
    <w:rsid w:val="00F92094"/>
    <w:rsid w:val="00FA0347"/>
    <w:rsid w:val="00FA0E83"/>
    <w:rsid w:val="00FA41BC"/>
    <w:rsid w:val="00FB0E25"/>
    <w:rsid w:val="00FB414D"/>
    <w:rsid w:val="00FB43BF"/>
    <w:rsid w:val="00FC65AC"/>
    <w:rsid w:val="00FD2BAD"/>
    <w:rsid w:val="00FD2D4A"/>
    <w:rsid w:val="00FE1B7E"/>
    <w:rsid w:val="00FE6B9D"/>
    <w:rsid w:val="00FF2308"/>
    <w:rsid w:val="00FF3119"/>
    <w:rsid w:val="00FF3420"/>
    <w:rsid w:val="00FF3907"/>
    <w:rsid w:val="00FF5A5B"/>
    <w:rsid w:val="00FF71A8"/>
    <w:rsid w:val="011B805A"/>
    <w:rsid w:val="02777601"/>
    <w:rsid w:val="0D931F2D"/>
    <w:rsid w:val="1BB2E045"/>
    <w:rsid w:val="412CC15C"/>
    <w:rsid w:val="4B9266B7"/>
    <w:rsid w:val="4D4DA9B4"/>
    <w:rsid w:val="581DB707"/>
    <w:rsid w:val="6FE3BA7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BC823A8B-06DB-4E2D-A55E-335D42295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CBA"/>
    <w:rPr>
      <w:lang w:val="en-GB" w:eastAsia="en-US"/>
    </w:rPr>
  </w:style>
  <w:style w:type="paragraph" w:styleId="Heading1">
    <w:name w:val="heading 1"/>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CommentSubject">
    <w:name w:val="annotation subject"/>
    <w:basedOn w:val="CommentText"/>
    <w:next w:val="CommentText"/>
    <w:link w:val="CommentSubjectChar"/>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3064"/>
    <w:rPr>
      <w:rFonts w:ascii="Arial" w:hAnsi="Arial"/>
      <w:lang w:val="en-GB" w:eastAsia="en-US"/>
    </w:rPr>
  </w:style>
  <w:style w:type="character" w:customStyle="1" w:styleId="CommentSubjectChar">
    <w:name w:val="Comment Subject Char"/>
    <w:basedOn w:val="CommentTextChar"/>
    <w:link w:val="CommentSubject"/>
    <w:rsid w:val="00133064"/>
    <w:rPr>
      <w:rFonts w:ascii="Arial" w:hAnsi="Arial"/>
      <w:b/>
      <w:bCs/>
      <w:lang w:val="en-GB" w:eastAsia="en-US"/>
    </w:rPr>
  </w:style>
  <w:style w:type="paragraph" w:customStyle="1" w:styleId="enumlev1">
    <w:name w:val="enumlev1"/>
    <w:basedOn w:val="Normal"/>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Normal"/>
    <w:link w:val="TabletextChar"/>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Normal"/>
    <w:next w:val="Normal"/>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locked/>
    <w:rsid w:val="00C84FC7"/>
    <w:rPr>
      <w:lang w:val="en-GB" w:eastAsia="en-US"/>
    </w:rPr>
  </w:style>
  <w:style w:type="paragraph" w:styleId="Revision">
    <w:name w:val="Revision"/>
    <w:hidden/>
    <w:uiPriority w:val="99"/>
    <w:semiHidden/>
    <w:rsid w:val="004C701B"/>
    <w:rPr>
      <w:lang w:val="en-GB" w:eastAsia="en-US"/>
    </w:rPr>
  </w:style>
  <w:style w:type="character" w:styleId="UnresolvedMention">
    <w:name w:val="Unresolved Mention"/>
    <w:basedOn w:val="DefaultParagraphFont"/>
    <w:uiPriority w:val="99"/>
    <w:semiHidden/>
    <w:unhideWhenUsed/>
    <w:rsid w:val="00993AC9"/>
    <w:rPr>
      <w:color w:val="605E5C"/>
      <w:shd w:val="clear" w:color="auto" w:fill="E1DFDD"/>
    </w:rPr>
  </w:style>
  <w:style w:type="character" w:styleId="Mention">
    <w:name w:val="Mention"/>
    <w:basedOn w:val="DefaultParagraphFont"/>
    <w:uiPriority w:val="99"/>
    <w:unhideWhenUsed/>
    <w:rsid w:val="000F08F9"/>
    <w:rPr>
      <w:color w:val="2B579A"/>
      <w:shd w:val="clear" w:color="auto" w:fill="E1DFDD"/>
    </w:rPr>
  </w:style>
  <w:style w:type="paragraph" w:customStyle="1" w:styleId="Reftext">
    <w:name w:val="Ref_text"/>
    <w:basedOn w:val="Normal"/>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styleId="NoteHeading">
    <w:name w:val="Note Heading"/>
    <w:basedOn w:val="Normal"/>
    <w:next w:val="Normal"/>
    <w:link w:val="NoteHeadingChar"/>
    <w:rsid w:val="002E3BE6"/>
  </w:style>
  <w:style w:type="character" w:customStyle="1" w:styleId="NoteHeadingChar">
    <w:name w:val="Note Heading Char"/>
    <w:basedOn w:val="DefaultParagraphFont"/>
    <w:link w:val="NoteHeading"/>
    <w:rsid w:val="002E3BE6"/>
    <w:rPr>
      <w:lang w:val="en-GB" w:eastAsia="en-US"/>
    </w:rPr>
  </w:style>
  <w:style w:type="paragraph" w:customStyle="1" w:styleId="Note">
    <w:name w:val="Note"/>
    <w:basedOn w:val="Normal"/>
    <w:next w:val="Normal"/>
    <w:rsid w:val="002E3BE6"/>
    <w:pPr>
      <w:tabs>
        <w:tab w:val="left" w:pos="284"/>
        <w:tab w:val="left" w:pos="1134"/>
        <w:tab w:val="left" w:pos="1871"/>
        <w:tab w:val="left" w:pos="2268"/>
      </w:tabs>
      <w:overflowPunct w:val="0"/>
      <w:autoSpaceDE w:val="0"/>
      <w:autoSpaceDN w:val="0"/>
      <w:adjustRightInd w:val="0"/>
      <w:spacing w:before="80"/>
      <w:textAlignment w:val="baseline"/>
    </w:pPr>
    <w:rPr>
      <w:sz w:val="24"/>
    </w:rPr>
  </w:style>
  <w:style w:type="paragraph" w:customStyle="1" w:styleId="FigureNo">
    <w:name w:val="Figure_No"/>
    <w:basedOn w:val="Normal"/>
    <w:next w:val="Normal"/>
    <w:rsid w:val="002E3BE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2E3BE6"/>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autoRedefine/>
    <w:uiPriority w:val="34"/>
    <w:qFormat/>
    <w:locked/>
    <w:rsid w:val="002E3BE6"/>
    <w:rPr>
      <w:sz w:val="24"/>
      <w:lang w:val="en-GB" w:eastAsia="en-US"/>
    </w:rPr>
  </w:style>
  <w:style w:type="paragraph" w:customStyle="1" w:styleId="Tabletitle">
    <w:name w:val="Table_title"/>
    <w:basedOn w:val="Normal"/>
    <w:next w:val="Tabletext"/>
    <w:link w:val="TabletitleChar"/>
    <w:rsid w:val="004240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basedOn w:val="DefaultParagraphFont"/>
    <w:link w:val="Tabletitle"/>
    <w:locked/>
    <w:rsid w:val="00424087"/>
    <w:rPr>
      <w:rFonts w:ascii="Times New Roman Bold" w:hAnsi="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077308">
      <w:bodyDiv w:val="1"/>
      <w:marLeft w:val="0"/>
      <w:marRight w:val="0"/>
      <w:marTop w:val="0"/>
      <w:marBottom w:val="0"/>
      <w:divBdr>
        <w:top w:val="none" w:sz="0" w:space="0" w:color="auto"/>
        <w:left w:val="none" w:sz="0" w:space="0" w:color="auto"/>
        <w:bottom w:val="none" w:sz="0" w:space="0" w:color="auto"/>
        <w:right w:val="none" w:sz="0" w:space="0" w:color="auto"/>
      </w:divBdr>
    </w:div>
    <w:div w:id="759449470">
      <w:bodyDiv w:val="1"/>
      <w:marLeft w:val="0"/>
      <w:marRight w:val="0"/>
      <w:marTop w:val="0"/>
      <w:marBottom w:val="0"/>
      <w:divBdr>
        <w:top w:val="none" w:sz="0" w:space="0" w:color="auto"/>
        <w:left w:val="none" w:sz="0" w:space="0" w:color="auto"/>
        <w:bottom w:val="none" w:sz="0" w:space="0" w:color="auto"/>
        <w:right w:val="none" w:sz="0" w:space="0" w:color="auto"/>
      </w:divBdr>
    </w:div>
    <w:div w:id="199086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pub/R-REP-M/publications.aspx?lang=en&amp;parent=R-REP-M.2410" TargetMode="External"/><Relationship Id="rId18" Type="http://schemas.openxmlformats.org/officeDocument/2006/relationships/hyperlink" Target="https://www.3gpp.org/ftp/Specs/archive/22_series/22.837/22837-j40.zip" TargetMode="External"/><Relationship Id="rId26" Type="http://schemas.openxmlformats.org/officeDocument/2006/relationships/hyperlink" Target="https://www.itu.int/dms_ties/itu-r/md/23/wp5d/c/R23-WP5D-C-0413!H5-N5.02!MSW-E.docx" TargetMode="External"/><Relationship Id="rId3" Type="http://schemas.openxmlformats.org/officeDocument/2006/relationships/customXml" Target="../customXml/item3.xml"/><Relationship Id="rId21" Type="http://schemas.openxmlformats.org/officeDocument/2006/relationships/hyperlink" Target="https://www.3gpp.org/ftp/tsg_ran/AHG1_ITU_Coord/TSGRT_ALL/TSGRT_2024/RT-240015.zip" TargetMode="External"/><Relationship Id="rId7" Type="http://schemas.openxmlformats.org/officeDocument/2006/relationships/webSettings" Target="webSettings.xml"/><Relationship Id="rId12" Type="http://schemas.openxmlformats.org/officeDocument/2006/relationships/hyperlink" Target="https://www.itu.int/rec/R-REC-M/recommendation.asp?lang=en&amp;parent=R-REC-M.2160" TargetMode="External"/><Relationship Id="rId17" Type="http://schemas.openxmlformats.org/officeDocument/2006/relationships/hyperlink" Target="https://www.3gpp.org/ftp/Specs/archive/38_series/38.864/38864-i10.zip" TargetMode="External"/><Relationship Id="rId25" Type="http://schemas.openxmlformats.org/officeDocument/2006/relationships/hyperlink" Target="https://www.itu.int/rec/R-REC-M/recommendation.asp?lang=en&amp;parent=R-REC-M.2160"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itu.int/dms_ties/itu-r/md/23/wp5d/c/R23-WP5D-C-0413!H5-N5.07!MSW-E.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rec/R-REC-M/recommendation.asp?lang=en&amp;parent=R-REC-M.2160" TargetMode="External"/><Relationship Id="rId24" Type="http://schemas.openxmlformats.org/officeDocument/2006/relationships/hyperlink" Target="https://www.itu.int/pub/R-REP-M.2410-2017" TargetMode="External"/><Relationship Id="rId5" Type="http://schemas.openxmlformats.org/officeDocument/2006/relationships/styles" Target="styles.xml"/><Relationship Id="rId15" Type="http://schemas.openxmlformats.org/officeDocument/2006/relationships/hyperlink" Target="https://www.itu.int/rec/R-REC-M/recommendation.asp?lang=en&amp;parent=R-REC-M.2160" TargetMode="External"/><Relationship Id="rId23" Type="http://schemas.openxmlformats.org/officeDocument/2006/relationships/hyperlink" Target="https://www.itu.int/md/R23-WP5D-C-0387/en" TargetMode="External"/><Relationship Id="rId28" Type="http://schemas.openxmlformats.org/officeDocument/2006/relationships/theme" Target="theme/theme1.xml"/><Relationship Id="rId10" Type="http://schemas.openxmlformats.org/officeDocument/2006/relationships/hyperlink" Target="https://www.itu.int/pub/R-REP-M/publications.aspx?lang=en&amp;parent=R-REP-M.2410" TargetMode="External"/><Relationship Id="rId19"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rec/R-REC-M/recommendation.asp?lang=en&amp;parent=R-REC-M.2160" TargetMode="External"/><Relationship Id="rId22" Type="http://schemas.openxmlformats.org/officeDocument/2006/relationships/hyperlink" Target="https://www.itu.int/md/meetingdoc.asp?lang=en&amp;parent=R23-WP5D-C-0218"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28D238-3053-4DB7-97EF-96493EEE0FCB}">
  <ds:schemaRefs>
    <ds:schemaRef ds:uri="http://schemas.microsoft.com/sharepoint/v3/contenttype/forms"/>
  </ds:schemaRefs>
</ds:datastoreItem>
</file>

<file path=customXml/itemProps2.xml><?xml version="1.0" encoding="utf-8"?>
<ds:datastoreItem xmlns:ds="http://schemas.openxmlformats.org/officeDocument/2006/customXml" ds:itemID="{A9612C5B-B81C-4FD0-934D-2ECF811F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3E7EB5-C8C9-4D96-946B-3E0981EE3C48}">
  <ds:schemaRefs>
    <ds:schemaRef ds:uri="http://purl.org/dc/dcmitype/"/>
    <ds:schemaRef ds:uri="http://purl.org/dc/elements/1.1/"/>
    <ds:schemaRef ds:uri="http://www.w3.org/XML/1998/namespace"/>
    <ds:schemaRef ds:uri="9b239327-9e80-40e4-b1b7-4394fed77a33"/>
    <ds:schemaRef ds:uri="http://purl.org/dc/terms/"/>
    <ds:schemaRef ds:uri="http://schemas.microsoft.com/sharepoint/v3"/>
    <ds:schemaRef ds:uri="http://schemas.microsoft.com/office/2006/documentManagement/types"/>
    <ds:schemaRef ds:uri="http://schemas.openxmlformats.org/package/2006/metadata/core-properties"/>
    <ds:schemaRef ds:uri="http://schemas.microsoft.com/office/infopath/2007/PartnerControls"/>
    <ds:schemaRef ds:uri="d8762117-8292-4133-b1c7-eab5c6487cfd"/>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4096</TotalTime>
  <Pages>1</Pages>
  <Words>2917</Words>
  <Characters>16629</Characters>
  <Application>Microsoft Office Word</Application>
  <DocSecurity>4</DocSecurity>
  <Lines>138</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19507</CharactersWithSpaces>
  <SharedDoc>false</SharedDoc>
  <HLinks>
    <vt:vector size="90" baseType="variant">
      <vt:variant>
        <vt:i4>5308522</vt:i4>
      </vt:variant>
      <vt:variant>
        <vt:i4>45</vt:i4>
      </vt:variant>
      <vt:variant>
        <vt:i4>0</vt:i4>
      </vt:variant>
      <vt:variant>
        <vt:i4>5</vt:i4>
      </vt:variant>
      <vt:variant>
        <vt:lpwstr>https://www.itu.int/dms_ties/itu-r/md/23/wp5d/c/R23-WP5D-C-0413!H5-N5.02!MSW-E.docx</vt:lpwstr>
      </vt:variant>
      <vt:variant>
        <vt:lpwstr/>
      </vt:variant>
      <vt:variant>
        <vt:i4>6750309</vt:i4>
      </vt:variant>
      <vt:variant>
        <vt:i4>42</vt:i4>
      </vt:variant>
      <vt:variant>
        <vt:i4>0</vt:i4>
      </vt:variant>
      <vt:variant>
        <vt:i4>5</vt:i4>
      </vt:variant>
      <vt:variant>
        <vt:lpwstr>https://www.itu.int/rec/R-REC-M/recommendation.asp?lang=en&amp;parent=R-REC-M.2160</vt:lpwstr>
      </vt:variant>
      <vt:variant>
        <vt:lpwstr/>
      </vt:variant>
      <vt:variant>
        <vt:i4>4522064</vt:i4>
      </vt:variant>
      <vt:variant>
        <vt:i4>39</vt:i4>
      </vt:variant>
      <vt:variant>
        <vt:i4>0</vt:i4>
      </vt:variant>
      <vt:variant>
        <vt:i4>5</vt:i4>
      </vt:variant>
      <vt:variant>
        <vt:lpwstr>https://www.itu.int/pub/R-REP-M.2410-2017</vt:lpwstr>
      </vt:variant>
      <vt:variant>
        <vt:lpwstr/>
      </vt:variant>
      <vt:variant>
        <vt:i4>5570636</vt:i4>
      </vt:variant>
      <vt:variant>
        <vt:i4>36</vt:i4>
      </vt:variant>
      <vt:variant>
        <vt:i4>0</vt:i4>
      </vt:variant>
      <vt:variant>
        <vt:i4>5</vt:i4>
      </vt:variant>
      <vt:variant>
        <vt:lpwstr>https://www.itu.int/md/R23-WP5D-C-0387/en</vt:lpwstr>
      </vt:variant>
      <vt:variant>
        <vt:lpwstr/>
      </vt:variant>
      <vt:variant>
        <vt:i4>3</vt:i4>
      </vt:variant>
      <vt:variant>
        <vt:i4>33</vt:i4>
      </vt:variant>
      <vt:variant>
        <vt:i4>0</vt:i4>
      </vt:variant>
      <vt:variant>
        <vt:i4>5</vt:i4>
      </vt:variant>
      <vt:variant>
        <vt:lpwstr>https://www.itu.int/md/meetingdoc.asp?lang=en&amp;parent=R23-WP5D-C-0218</vt:lpwstr>
      </vt:variant>
      <vt:variant>
        <vt:lpwstr/>
      </vt:variant>
      <vt:variant>
        <vt:i4>2949190</vt:i4>
      </vt:variant>
      <vt:variant>
        <vt:i4>30</vt:i4>
      </vt:variant>
      <vt:variant>
        <vt:i4>0</vt:i4>
      </vt:variant>
      <vt:variant>
        <vt:i4>5</vt:i4>
      </vt:variant>
      <vt:variant>
        <vt:lpwstr>https://www.3gpp.org/ftp/tsg_ran/AHG1_ITU_Coord/TSGRT_ALL/TSGRT_2024/RT-240015.zip</vt:lpwstr>
      </vt:variant>
      <vt:variant>
        <vt:lpwstr/>
      </vt:variant>
      <vt:variant>
        <vt:i4>5505130</vt:i4>
      </vt:variant>
      <vt:variant>
        <vt:i4>27</vt:i4>
      </vt:variant>
      <vt:variant>
        <vt:i4>0</vt:i4>
      </vt:variant>
      <vt:variant>
        <vt:i4>5</vt:i4>
      </vt:variant>
      <vt:variant>
        <vt:lpwstr>https://www.itu.int/dms_ties/itu-r/md/23/wp5d/c/R23-WP5D-C-0413!H5-N5.07!MSW-E.docx</vt:lpwstr>
      </vt:variant>
      <vt:variant>
        <vt:lpwstr/>
      </vt:variant>
      <vt:variant>
        <vt:i4>6750221</vt:i4>
      </vt:variant>
      <vt:variant>
        <vt:i4>21</vt:i4>
      </vt:variant>
      <vt:variant>
        <vt:i4>0</vt:i4>
      </vt:variant>
      <vt:variant>
        <vt:i4>5</vt:i4>
      </vt:variant>
      <vt:variant>
        <vt:lpwstr>https://www.3gpp.org/ftp/Specs/archive/22_series/22.837/22837-j40.zip</vt:lpwstr>
      </vt:variant>
      <vt:variant>
        <vt:lpwstr/>
      </vt:variant>
      <vt:variant>
        <vt:i4>6815759</vt:i4>
      </vt:variant>
      <vt:variant>
        <vt:i4>18</vt:i4>
      </vt:variant>
      <vt:variant>
        <vt:i4>0</vt:i4>
      </vt:variant>
      <vt:variant>
        <vt:i4>5</vt:i4>
      </vt:variant>
      <vt:variant>
        <vt:lpwstr>https://www.3gpp.org/ftp/Specs/archive/38_series/38.864/38864-i10.zip</vt:lpwstr>
      </vt:variant>
      <vt:variant>
        <vt:lpwstr/>
      </vt:variant>
      <vt:variant>
        <vt:i4>6750309</vt:i4>
      </vt:variant>
      <vt:variant>
        <vt:i4>15</vt:i4>
      </vt:variant>
      <vt:variant>
        <vt:i4>0</vt:i4>
      </vt:variant>
      <vt:variant>
        <vt:i4>5</vt:i4>
      </vt:variant>
      <vt:variant>
        <vt:lpwstr>https://www.itu.int/rec/R-REC-M/recommendation.asp?lang=en&amp;parent=R-REC-M.2160</vt:lpwstr>
      </vt:variant>
      <vt:variant>
        <vt:lpwstr/>
      </vt:variant>
      <vt:variant>
        <vt:i4>6750309</vt:i4>
      </vt:variant>
      <vt:variant>
        <vt:i4>12</vt:i4>
      </vt:variant>
      <vt:variant>
        <vt:i4>0</vt:i4>
      </vt:variant>
      <vt:variant>
        <vt:i4>5</vt:i4>
      </vt:variant>
      <vt:variant>
        <vt:lpwstr>https://www.itu.int/rec/R-REC-M/recommendation.asp?lang=en&amp;parent=R-REC-M.2160</vt:lpwstr>
      </vt:variant>
      <vt:variant>
        <vt:lpwstr/>
      </vt:variant>
      <vt:variant>
        <vt:i4>5505033</vt:i4>
      </vt:variant>
      <vt:variant>
        <vt:i4>9</vt:i4>
      </vt:variant>
      <vt:variant>
        <vt:i4>0</vt:i4>
      </vt:variant>
      <vt:variant>
        <vt:i4>5</vt:i4>
      </vt:variant>
      <vt:variant>
        <vt:lpwstr>https://www.itu.int/pub/R-REP-M/publications.aspx?lang=en&amp;parent=R-REP-M.2410</vt:lpwstr>
      </vt:variant>
      <vt:variant>
        <vt:lpwstr/>
      </vt:variant>
      <vt:variant>
        <vt:i4>6750309</vt:i4>
      </vt:variant>
      <vt:variant>
        <vt:i4>6</vt:i4>
      </vt:variant>
      <vt:variant>
        <vt:i4>0</vt:i4>
      </vt:variant>
      <vt:variant>
        <vt:i4>5</vt:i4>
      </vt:variant>
      <vt:variant>
        <vt:lpwstr>https://www.itu.int/rec/R-REC-M/recommendation.asp?lang=en&amp;parent=R-REC-M.2160</vt:lpwstr>
      </vt:variant>
      <vt:variant>
        <vt:lpwstr/>
      </vt:variant>
      <vt:variant>
        <vt:i4>6750309</vt:i4>
      </vt:variant>
      <vt:variant>
        <vt:i4>3</vt:i4>
      </vt:variant>
      <vt:variant>
        <vt:i4>0</vt:i4>
      </vt:variant>
      <vt:variant>
        <vt:i4>5</vt:i4>
      </vt:variant>
      <vt:variant>
        <vt:lpwstr>https://www.itu.int/rec/R-REC-M/recommendation.asp?lang=en&amp;parent=R-REC-M.2160</vt:lpwstr>
      </vt:variant>
      <vt:variant>
        <vt:lpwstr/>
      </vt:variant>
      <vt:variant>
        <vt:i4>5505033</vt:i4>
      </vt:variant>
      <vt:variant>
        <vt:i4>0</vt:i4>
      </vt:variant>
      <vt:variant>
        <vt:i4>0</vt:i4>
      </vt:variant>
      <vt:variant>
        <vt:i4>5</vt:i4>
      </vt:variant>
      <vt:variant>
        <vt:lpwstr>https://www.itu.int/pub/R-REP-M/publications.aspx?lang=en&amp;parent=R-REP-M.2410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
  <cp:keywords/>
  <dc:description/>
  <cp:lastModifiedBy>Daniel Chen Larsson</cp:lastModifiedBy>
  <cp:revision>84</cp:revision>
  <cp:lastPrinted>2001-04-24T09:30:00Z</cp:lastPrinted>
  <dcterms:created xsi:type="dcterms:W3CDTF">2024-08-31T08:42:00Z</dcterms:created>
  <dcterms:modified xsi:type="dcterms:W3CDTF">2024-12-03T15:11:00Z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