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바탕" w:hAnsi="Arial" w:cs="Arial"/>
          <w:szCs w:val="20"/>
        </w:rPr>
      </w:pPr>
      <w:r>
        <w:rPr>
          <w:rFonts w:ascii="Arial" w:hAnsi="Arial" w:cs="Arial"/>
          <w:bCs/>
        </w:rPr>
        <w:t>Fukuoka City, Fukuoka, Japan</w:t>
      </w:r>
      <w:r>
        <w:rPr>
          <w:rFonts w:ascii="Arial" w:eastAsia="MS Mincho" w:hAnsi="Arial" w:cs="Arial"/>
          <w:bCs/>
          <w:lang w:eastAsia="ja-JP"/>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lang w:eastAsia="ja-JP"/>
        </w:rPr>
        <w:t xml:space="preserve">– </w:t>
      </w:r>
      <w:r>
        <w:rPr>
          <w:rFonts w:ascii="Arial" w:hAnsi="Arial" w:cs="Arial"/>
          <w:bCs/>
        </w:rPr>
        <w:t>24</w:t>
      </w:r>
      <w:r>
        <w:rPr>
          <w:rFonts w:ascii="Arial" w:hAnsi="Arial" w:cs="Arial"/>
          <w:bCs/>
          <w:vertAlign w:val="superscript"/>
        </w:rPr>
        <w:t>th</w:t>
      </w:r>
      <w:r>
        <w:rPr>
          <w:rFonts w:ascii="Arial" w:eastAsia="MS Mincho" w:hAnsi="Arial" w:cs="Arial"/>
          <w:bCs/>
          <w:lang w:eastAsia="ja-JP"/>
        </w:rPr>
        <w:t>, 202</w:t>
      </w:r>
      <w:r>
        <w:rPr>
          <w:rFonts w:ascii="Arial" w:eastAsia="MS Mincho" w:hAnsi="Arial" w:cs="Arial"/>
          <w:bCs/>
        </w:rPr>
        <w:t>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af3"/>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Validate using measurements the channel model of TR38.901 at least for 7-24 GHz</w:t>
            </w:r>
          </w:p>
          <w:p w14:paraId="7DCBFF22" w14:textId="77777777" w:rsidR="00E51C28" w:rsidRDefault="00D04239">
            <w:pPr>
              <w:pStyle w:val="af3"/>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af3"/>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The validation may consider all existing scenarios: UMi-street canyon, UMa, Indoor-Office, RMa and Indoor-Factory.</w:t>
            </w:r>
          </w:p>
          <w:p w14:paraId="4103B04C" w14:textId="77777777" w:rsidR="00E51C28" w:rsidRDefault="00D04239">
            <w:pPr>
              <w:pStyle w:val="af3"/>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af3"/>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af3"/>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af3"/>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af3"/>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a"/>
        <w:numPr>
          <w:ilvl w:val="0"/>
          <w:numId w:val="13"/>
        </w:numPr>
      </w:pPr>
      <w:r>
        <w:t>Channel model for Near field propagation</w:t>
      </w:r>
    </w:p>
    <w:p w14:paraId="04382B7B" w14:textId="77777777" w:rsidR="00E51C28" w:rsidRDefault="00D04239">
      <w:pPr>
        <w:pStyle w:val="a"/>
        <w:numPr>
          <w:ilvl w:val="0"/>
          <w:numId w:val="13"/>
        </w:numPr>
      </w:pPr>
      <w:r>
        <w:t>Channel model for Spatial non-stationar</w:t>
      </w:r>
      <w:r>
        <w:rPr>
          <w:rFonts w:eastAsia="SimSun" w:hint="eastAsia"/>
          <w:lang w:val="en-US"/>
        </w:rPr>
        <w:t>it</w:t>
      </w:r>
      <w:r>
        <w:t>y</w:t>
      </w:r>
    </w:p>
    <w:p w14:paraId="79E8CF8B" w14:textId="77777777" w:rsidR="00E51C28" w:rsidRDefault="00D04239">
      <w:pPr>
        <w:pStyle w:val="a"/>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af5"/>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lastRenderedPageBreak/>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lastRenderedPageBreak/>
        <w:t>It’s aligned with the views from almost all companies. For example, [InterDigital, LGE, Intel, Ericsson, Samsung, vivo, ZTE, Apple, Lenovo, CATT, NVIDIA, MTK, Qualcomm, CEWiT]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approximation, and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a"/>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a"/>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hint="eastAsia"/>
                <w:szCs w:val="20"/>
              </w:rPr>
            </w:pPr>
            <w:r w:rsidRPr="006D768D">
              <w:rPr>
                <w:rFonts w:hint="eastAsia"/>
              </w:rPr>
              <w:t>Samsung</w:t>
            </w:r>
          </w:p>
        </w:tc>
        <w:tc>
          <w:tcPr>
            <w:tcW w:w="6472" w:type="dxa"/>
          </w:tcPr>
          <w:p w14:paraId="3E9B3F01" w14:textId="4CA651AE" w:rsidR="003B2BDC" w:rsidRDefault="003B2BDC" w:rsidP="003B2BDC">
            <w:pPr>
              <w:rPr>
                <w:rFonts w:cs="Times New Roman" w:hint="eastAsia"/>
                <w:szCs w:val="20"/>
              </w:rPr>
            </w:pPr>
            <w:r w:rsidRPr="006D768D">
              <w:t xml:space="preserve">Support to FL’s proposal. Based on the study of non-planar wavefront characteristics and comparison with planar wavefront, channel parameters </w:t>
            </w:r>
            <w:r w:rsidRPr="006D768D">
              <w:lastRenderedPageBreak/>
              <w:t>which need to be specified could be clarified.</w:t>
            </w:r>
          </w:p>
        </w:tc>
      </w:tr>
    </w:tbl>
    <w:p w14:paraId="6FCFC86C" w14:textId="77777777" w:rsidR="00E51C28" w:rsidRDefault="00D04239">
      <w:pPr>
        <w:pStyle w:val="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lastRenderedPageBreak/>
        <w:t>1.2 Assumption for the near-field channel modeling</w:t>
      </w:r>
    </w:p>
    <w:p w14:paraId="1148C276" w14:textId="77777777" w:rsidR="00E51C28" w:rsidRDefault="00D04239">
      <w:pPr>
        <w:pStyle w:val="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a"/>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af5"/>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a"/>
              <w:numPr>
                <w:ilvl w:val="0"/>
                <w:numId w:val="17"/>
              </w:numPr>
              <w:spacing w:beforeLines="0" w:afterLines="0"/>
            </w:pPr>
            <w:r>
              <w:t>up to [TBD] m, or [TBD] lambda for UMi</w:t>
            </w:r>
          </w:p>
          <w:p w14:paraId="10EC3122" w14:textId="77777777" w:rsidR="00E51C28" w:rsidRDefault="00D04239">
            <w:pPr>
              <w:pStyle w:val="a"/>
              <w:numPr>
                <w:ilvl w:val="0"/>
                <w:numId w:val="17"/>
              </w:numPr>
              <w:spacing w:beforeLines="0" w:afterLines="0"/>
            </w:pPr>
            <w:r>
              <w:t>up to [TBD] m, or [TBD] lambda for UMa</w:t>
            </w:r>
          </w:p>
          <w:p w14:paraId="502593BB" w14:textId="77777777" w:rsidR="00E51C28" w:rsidRDefault="00D04239">
            <w:pPr>
              <w:pStyle w:val="a"/>
              <w:numPr>
                <w:ilvl w:val="0"/>
                <w:numId w:val="17"/>
              </w:numPr>
              <w:spacing w:beforeLines="0" w:afterLines="0"/>
            </w:pPr>
            <w:r>
              <w:t>up to [TBD] m, or [ TBD] lambda for Indoor office</w:t>
            </w:r>
          </w:p>
          <w:p w14:paraId="4CA1577B" w14:textId="77777777" w:rsidR="00E51C28" w:rsidRDefault="00D04239">
            <w:pPr>
              <w:pStyle w:val="a"/>
              <w:numPr>
                <w:ilvl w:val="0"/>
                <w:numId w:val="17"/>
              </w:numPr>
              <w:spacing w:beforeLines="0" w:afterLines="0"/>
            </w:pPr>
            <w:r>
              <w:t>up to [TBD] m, or [TBD] lambda for Indoor factory</w:t>
            </w:r>
          </w:p>
        </w:tc>
      </w:tr>
    </w:tbl>
    <w:p w14:paraId="4CC589F4" w14:textId="77777777" w:rsidR="00E51C28" w:rsidRDefault="00D04239">
      <w:pPr>
        <w:pStyle w:val="a"/>
        <w:numPr>
          <w:ilvl w:val="0"/>
          <w:numId w:val="0"/>
        </w:numPr>
        <w:spacing w:beforeLines="0" w:afterLines="0"/>
        <w:rPr>
          <w:rFonts w:eastAsia="SimSun"/>
          <w:lang w:val="en-US"/>
        </w:rPr>
      </w:pPr>
      <w:r>
        <w:rPr>
          <w:rFonts w:eastAsia="SimSun" w:hint="eastAsia"/>
          <w:lang w:val="en-US"/>
        </w:rPr>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a"/>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a"/>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af5"/>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a"/>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a"/>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a"/>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a"/>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a"/>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a"/>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a"/>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a"/>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a"/>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a"/>
              <w:numPr>
                <w:ilvl w:val="0"/>
                <w:numId w:val="0"/>
              </w:numPr>
              <w:spacing w:beforeLines="0" w:afterLines="0"/>
              <w:jc w:val="center"/>
              <w:rPr>
                <w:rFonts w:eastAsia="SimSun"/>
                <w:lang w:val="en-US"/>
              </w:rPr>
            </w:pPr>
            <w:r>
              <w:rPr>
                <w:rFonts w:eastAsia="SimSun"/>
                <w:lang w:val="en-US"/>
              </w:rPr>
              <w:t>UMi</w:t>
            </w:r>
          </w:p>
        </w:tc>
        <w:tc>
          <w:tcPr>
            <w:tcW w:w="1692" w:type="dxa"/>
            <w:vAlign w:val="center"/>
          </w:tcPr>
          <w:p w14:paraId="0703F136" w14:textId="77777777" w:rsidR="00E51C28" w:rsidRDefault="00D04239">
            <w:pPr>
              <w:pStyle w:val="a"/>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a"/>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a"/>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a"/>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986AE6">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a"/>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a"/>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986AE6">
            <w:pPr>
              <w:pStyle w:val="a"/>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a"/>
              <w:numPr>
                <w:ilvl w:val="0"/>
                <w:numId w:val="0"/>
              </w:numPr>
              <w:spacing w:beforeLines="0" w:afterLines="0"/>
              <w:jc w:val="center"/>
              <w:rPr>
                <w:rFonts w:eastAsia="SimSun"/>
                <w:lang w:val="en-US"/>
              </w:rPr>
            </w:pPr>
            <w:r>
              <w:rPr>
                <w:rFonts w:eastAsia="SimSun"/>
                <w:lang w:val="en-US"/>
              </w:rPr>
              <w:t>UMa</w:t>
            </w:r>
          </w:p>
        </w:tc>
        <w:tc>
          <w:tcPr>
            <w:tcW w:w="1692" w:type="dxa"/>
            <w:vAlign w:val="center"/>
          </w:tcPr>
          <w:p w14:paraId="2E09324F" w14:textId="77777777" w:rsidR="00E51C28" w:rsidRDefault="00D04239">
            <w:pPr>
              <w:pStyle w:val="a"/>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a"/>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a"/>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a"/>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986AE6">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a"/>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a"/>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986AE6">
            <w:pPr>
              <w:pStyle w:val="a"/>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a"/>
              <w:numPr>
                <w:ilvl w:val="0"/>
                <w:numId w:val="0"/>
              </w:numPr>
              <w:spacing w:beforeLines="0" w:afterLines="0"/>
              <w:jc w:val="center"/>
              <w:rPr>
                <w:rFonts w:eastAsia="SimSun"/>
                <w:lang w:val="en-US"/>
              </w:rPr>
            </w:pPr>
            <w:r>
              <w:rPr>
                <w:rFonts w:eastAsia="SimSun"/>
                <w:lang w:val="en-US"/>
              </w:rPr>
              <w:t>Indoor office</w:t>
            </w:r>
          </w:p>
        </w:tc>
        <w:tc>
          <w:tcPr>
            <w:tcW w:w="1692" w:type="dxa"/>
            <w:vAlign w:val="center"/>
          </w:tcPr>
          <w:p w14:paraId="7B50071D" w14:textId="77777777" w:rsidR="00E51C28" w:rsidRDefault="00D04239">
            <w:pPr>
              <w:pStyle w:val="a"/>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a"/>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a"/>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a"/>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986AE6">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a"/>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a"/>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986AE6">
            <w:pPr>
              <w:pStyle w:val="a"/>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a"/>
              <w:numPr>
                <w:ilvl w:val="0"/>
                <w:numId w:val="0"/>
              </w:numPr>
              <w:spacing w:beforeLines="0" w:afterLines="0"/>
              <w:jc w:val="center"/>
              <w:rPr>
                <w:rFonts w:eastAsia="SimSun"/>
                <w:lang w:val="en-US"/>
              </w:rPr>
            </w:pPr>
            <w:r>
              <w:rPr>
                <w:rFonts w:eastAsia="SimSun"/>
                <w:lang w:val="en-US"/>
              </w:rPr>
              <w:lastRenderedPageBreak/>
              <w:t>Indoor factory</w:t>
            </w:r>
          </w:p>
        </w:tc>
        <w:tc>
          <w:tcPr>
            <w:tcW w:w="1692" w:type="dxa"/>
            <w:vAlign w:val="center"/>
          </w:tcPr>
          <w:p w14:paraId="459D5B47" w14:textId="77777777" w:rsidR="00E51C28" w:rsidRDefault="00D04239">
            <w:pPr>
              <w:pStyle w:val="a"/>
              <w:numPr>
                <w:ilvl w:val="0"/>
                <w:numId w:val="0"/>
              </w:numPr>
              <w:spacing w:beforeLines="0" w:afterLines="0"/>
              <w:jc w:val="center"/>
              <w:rPr>
                <w:rFonts w:eastAsia="SimSun"/>
                <w:lang w:val="en-US"/>
              </w:rPr>
            </w:pPr>
            <w:r>
              <w:rPr>
                <w:rFonts w:eastAsia="SimSun"/>
                <w:lang w:val="en-US"/>
              </w:rPr>
              <w:t>0.71m, but no more than 2500 antenna elements</w:t>
            </w:r>
          </w:p>
        </w:tc>
        <w:tc>
          <w:tcPr>
            <w:tcW w:w="1290" w:type="dxa"/>
            <w:vAlign w:val="center"/>
          </w:tcPr>
          <w:p w14:paraId="40C39240" w14:textId="77777777" w:rsidR="00E51C28" w:rsidRDefault="00D04239">
            <w:pPr>
              <w:pStyle w:val="a"/>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9CE8AD3" w14:textId="77777777" w:rsidR="00E51C28" w:rsidRDefault="00D04239">
            <w:pPr>
              <w:pStyle w:val="a"/>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a"/>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986AE6">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a"/>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a"/>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986AE6">
            <w:pPr>
              <w:pStyle w:val="a"/>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a"/>
        <w:numPr>
          <w:ilvl w:val="0"/>
          <w:numId w:val="17"/>
        </w:numPr>
        <w:spacing w:beforeLines="0" w:afterLines="0"/>
        <w:rPr>
          <w:i/>
          <w:iCs/>
          <w:highlight w:val="yellow"/>
        </w:rPr>
      </w:pPr>
      <w:r>
        <w:rPr>
          <w:rFonts w:eastAsia="SimSun"/>
          <w:i/>
          <w:iCs/>
          <w:highlight w:val="yellow"/>
          <w:lang w:val="en-US"/>
        </w:rPr>
        <w:t xml:space="preserve">min(1.414m,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for UMi</w:t>
      </w:r>
      <w:r>
        <w:rPr>
          <w:rFonts w:eastAsia="SimSun"/>
          <w:i/>
          <w:iCs/>
          <w:highlight w:val="yellow"/>
          <w:lang w:val="en-US"/>
        </w:rPr>
        <w:t xml:space="preserve"> </w:t>
      </w:r>
    </w:p>
    <w:p w14:paraId="7B014C7B" w14:textId="77777777" w:rsidR="00E51C28" w:rsidRDefault="00D04239">
      <w:pPr>
        <w:pStyle w:val="a"/>
        <w:numPr>
          <w:ilvl w:val="0"/>
          <w:numId w:val="17"/>
        </w:numPr>
        <w:spacing w:beforeLines="0" w:afterLines="0"/>
        <w:rPr>
          <w:i/>
          <w:iCs/>
          <w:highlight w:val="yellow"/>
        </w:rPr>
      </w:pPr>
      <w:r>
        <w:rPr>
          <w:rFonts w:eastAsia="SimSun"/>
          <w:i/>
          <w:iCs/>
          <w:highlight w:val="yellow"/>
          <w:lang w:val="en-US"/>
        </w:rPr>
        <w:t xml:space="preserve">min(1.414m,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UMa</w:t>
      </w:r>
    </w:p>
    <w:p w14:paraId="7BDFFD19" w14:textId="77777777" w:rsidR="00E51C28" w:rsidRDefault="00D04239">
      <w:pPr>
        <w:pStyle w:val="a"/>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a"/>
        <w:numPr>
          <w:ilvl w:val="0"/>
          <w:numId w:val="17"/>
        </w:numPr>
        <w:spacing w:beforeLines="0" w:afterLines="0"/>
        <w:rPr>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r>
              <w:rPr>
                <w:rFonts w:cs="Times New Roman"/>
                <w:szCs w:val="20"/>
              </w:rPr>
              <w:t>U</w:t>
            </w:r>
            <w:r w:rsidR="0032115D">
              <w:rPr>
                <w:rFonts w:cs="Times New Roman"/>
                <w:szCs w:val="20"/>
              </w:rPr>
              <w:t>M</w:t>
            </w:r>
            <w:r>
              <w:rPr>
                <w:rFonts w:cs="Times New Roman"/>
                <w:szCs w:val="20"/>
              </w:rPr>
              <w:t xml:space="preserve">i deployments are </w:t>
            </w:r>
            <w:r w:rsidR="0032115D">
              <w:rPr>
                <w:rFonts w:cs="Times New Roman"/>
                <w:szCs w:val="20"/>
              </w:rPr>
              <w:t>at a lower height, mounted on streep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so too large compared to practical deployments. Suggest reduing U</w:t>
            </w:r>
            <w:r w:rsidR="000C1BFB">
              <w:rPr>
                <w:rFonts w:cs="Times New Roman"/>
                <w:szCs w:val="20"/>
              </w:rPr>
              <w:t>M</w:t>
            </w:r>
            <w:r w:rsidR="00324169">
              <w:rPr>
                <w:rFonts w:cs="Times New Roman"/>
                <w:szCs w:val="20"/>
              </w:rPr>
              <w:t>i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a"/>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for UMi</w:t>
            </w:r>
            <w:r>
              <w:rPr>
                <w:rFonts w:eastAsia="SimSun"/>
                <w:i/>
                <w:iCs/>
                <w:highlight w:val="yellow"/>
                <w:lang w:val="en-US"/>
              </w:rPr>
              <w:t xml:space="preserve"> </w:t>
            </w:r>
          </w:p>
          <w:p w14:paraId="6FCCCD89" w14:textId="77777777" w:rsidR="00704AE7" w:rsidRDefault="00704AE7" w:rsidP="00704AE7">
            <w:pPr>
              <w:pStyle w:val="a"/>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UMa</w:t>
            </w:r>
          </w:p>
          <w:p w14:paraId="1EF6004D" w14:textId="77777777" w:rsidR="00704AE7" w:rsidRDefault="00704AE7" w:rsidP="00704AE7">
            <w:pPr>
              <w:pStyle w:val="a"/>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SimSun"/>
                <w:i/>
                <w:iCs/>
                <w:highlight w:val="yellow"/>
              </w:rPr>
              <w:t xml:space="preserve">min(1m,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hint="eastAsia"/>
                <w:szCs w:val="20"/>
              </w:rPr>
            </w:pPr>
            <w:r w:rsidRPr="00363315">
              <w:rPr>
                <w:rFonts w:cs="Times New Roman" w:hint="eastAsia"/>
                <w:szCs w:val="20"/>
              </w:rPr>
              <w:t>Samsung</w:t>
            </w:r>
          </w:p>
        </w:tc>
        <w:tc>
          <w:tcPr>
            <w:tcW w:w="6472" w:type="dxa"/>
          </w:tcPr>
          <w:p w14:paraId="0B6E4672" w14:textId="73DFF98C" w:rsidR="003B2BDC" w:rsidRDefault="003B2BDC" w:rsidP="00363315">
            <w:pPr>
              <w:rPr>
                <w:rFonts w:cs="Times New Roman" w:hint="eastAsia"/>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r w:rsidRPr="00363315">
              <w:rPr>
                <w:rFonts w:cs="Times New Roman" w:hint="eastAsia"/>
                <w:szCs w:val="20"/>
              </w:rPr>
              <w:t>scenarios</w:t>
            </w:r>
            <w:r w:rsidRPr="00363315">
              <w:rPr>
                <w:rFonts w:cs="Times New Roman"/>
                <w:szCs w:val="20"/>
              </w:rPr>
              <w:t xml:space="preserve">. The specific values for frequency dependent antenna aperture size need to be </w:t>
            </w:r>
            <w:r w:rsidRPr="00363315">
              <w:rPr>
                <w:rFonts w:cs="Times New Roman"/>
                <w:szCs w:val="20"/>
              </w:rPr>
              <w:lastRenderedPageBreak/>
              <w:t>discussed more.</w:t>
            </w:r>
            <w:r w:rsidR="00363315">
              <w:rPr>
                <w:rFonts w:cs="Times New Roman"/>
                <w:szCs w:val="20"/>
              </w:rPr>
              <w:t xml:space="preserve"> In addition, we don’t see the large antenna aperture size is practical when it comes to all spectrum (7 – 24 GHz)</w:t>
            </w:r>
          </w:p>
        </w:tc>
      </w:tr>
    </w:tbl>
    <w:p w14:paraId="020DE022" w14:textId="77777777" w:rsidR="00E51C28" w:rsidRDefault="00E51C28">
      <w:pPr>
        <w:pStyle w:val="a"/>
        <w:numPr>
          <w:ilvl w:val="0"/>
          <w:numId w:val="0"/>
        </w:numPr>
        <w:spacing w:beforeLines="0" w:afterLines="0"/>
        <w:rPr>
          <w:rFonts w:eastAsia="SimSun"/>
          <w:lang w:val="en-US"/>
        </w:rPr>
      </w:pPr>
    </w:p>
    <w:p w14:paraId="695C3710" w14:textId="77777777" w:rsidR="00E51C28" w:rsidRDefault="00D04239">
      <w:pPr>
        <w:pStyle w:val="a"/>
        <w:numPr>
          <w:ilvl w:val="0"/>
          <w:numId w:val="0"/>
        </w:numPr>
        <w:spacing w:beforeLines="0" w:afterLines="0"/>
        <w:rPr>
          <w:rFonts w:eastAsia="SimSun"/>
          <w:lang w:val="en-US"/>
        </w:rPr>
      </w:pPr>
      <w:r>
        <w:rPr>
          <w:rFonts w:eastAsia="SimSun" w:hint="eastAsia"/>
          <w:lang w:val="en-US"/>
        </w:rPr>
        <w:t>Additionally, regarding the RMa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We can reuse UMa guidance on panel sizes for RMa as well.</w:t>
            </w:r>
          </w:p>
        </w:tc>
      </w:tr>
      <w:tr w:rsidR="00704AE7"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49A9847C" w14:textId="295699F5" w:rsidR="00704AE7" w:rsidRDefault="00704AE7" w:rsidP="00704AE7">
            <w:pPr>
              <w:rPr>
                <w:rFonts w:cs="Times New Roman"/>
                <w:szCs w:val="20"/>
              </w:rPr>
            </w:pPr>
            <w:r>
              <w:rPr>
                <w:rFonts w:cs="Times New Roman" w:hint="eastAsia"/>
                <w:szCs w:val="20"/>
              </w:rPr>
              <w:t>F</w:t>
            </w:r>
            <w:r>
              <w:rPr>
                <w:rFonts w:cs="Times New Roman"/>
                <w:szCs w:val="20"/>
              </w:rPr>
              <w:t>ine to deprioritize RMa scenario.</w:t>
            </w:r>
          </w:p>
        </w:tc>
      </w:tr>
    </w:tbl>
    <w:p w14:paraId="3F0249D8" w14:textId="77777777" w:rsidR="00E51C28" w:rsidRDefault="00D04239">
      <w:pPr>
        <w:pStyle w:val="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 xml:space="preserve">Based on the existing procedure in TR38.901, when considering the near-field channel modeling, some companies mention that there may be changes on the existing large-scale parameters generation procedure. Specifically, [InterDigital,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Additionally, for the generation of correlated large-scale parameters (e.g., DS, ASD, SF, K), [InterDigital, CEWiT]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a"/>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a"/>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a"/>
        <w:numPr>
          <w:ilvl w:val="0"/>
          <w:numId w:val="18"/>
        </w:numPr>
      </w:pPr>
      <w:r>
        <w:t>[MTK] proposes that large-scale fading is influenced by factors such as path loss, shadowing from large obstacles, and the overall propagation scenarios, rather than the intricate phase and amplitude variations seen in the near-field. Therefore, they are not the primary factor in large-scale fading.</w:t>
      </w:r>
    </w:p>
    <w:p w14:paraId="542DB059" w14:textId="77777777" w:rsidR="00E51C28" w:rsidRDefault="00D04239">
      <w:pPr>
        <w:pStyle w:val="a"/>
        <w:numPr>
          <w:ilvl w:val="0"/>
          <w:numId w:val="18"/>
        </w:numPr>
      </w:pPr>
      <w:r>
        <w:t>[Qualcomm] proposes that a single pathloss/attenuation value is computed based only on UE and gNB locations.</w:t>
      </w:r>
    </w:p>
    <w:p w14:paraId="77D32BDB" w14:textId="77777777" w:rsidR="00E51C28" w:rsidRDefault="00D04239">
      <w:pPr>
        <w:pStyle w:val="a"/>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element-wise,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w:t>
      </w:r>
      <w:r>
        <w:rPr>
          <w:rFonts w:ascii="Times New Roman" w:hAnsi="Times New Roman" w:cs="Times New Roman"/>
          <w:szCs w:val="20"/>
        </w:rPr>
        <w:lastRenderedPageBreak/>
        <w:t>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hint="eastAsia"/>
                <w:szCs w:val="20"/>
              </w:rPr>
            </w:pPr>
            <w:r w:rsidRPr="00FD6A6C">
              <w:rPr>
                <w:rFonts w:ascii="Times New Roman" w:eastAsia="맑은 고딕" w:hAnsi="Times New Roman" w:cs="Times New Roman"/>
                <w:szCs w:val="20"/>
              </w:rPr>
              <w:t>Samsung</w:t>
            </w:r>
          </w:p>
        </w:tc>
        <w:tc>
          <w:tcPr>
            <w:tcW w:w="6472" w:type="dxa"/>
          </w:tcPr>
          <w:p w14:paraId="26644FAA" w14:textId="4043C6F9" w:rsidR="00A03A97" w:rsidRDefault="00A03A97" w:rsidP="00537DE7">
            <w:pPr>
              <w:ind w:firstLineChars="50" w:firstLine="100"/>
              <w:rPr>
                <w:rFonts w:cs="Times New Roman" w:hint="eastAsia"/>
                <w:szCs w:val="20"/>
              </w:rPr>
            </w:pPr>
            <w:r w:rsidRPr="00A03A97">
              <w:rPr>
                <w:rFonts w:cs="Times New Roman"/>
                <w:szCs w:val="20"/>
              </w:rPr>
              <w:t>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really independent parameters for the antenna configuration and propagation field. So, we would like to suggest the discussion whether all of parameters are independent for field definition, first. And then, RAN1 can reach to consensus for the proposal.</w:t>
            </w:r>
          </w:p>
        </w:tc>
      </w:tr>
    </w:tbl>
    <w:p w14:paraId="0A5AAA03" w14:textId="77777777" w:rsidR="00E51C28" w:rsidRDefault="00D04239">
      <w:pPr>
        <w:pStyle w:val="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af5"/>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a"/>
              <w:numPr>
                <w:ilvl w:val="0"/>
                <w:numId w:val="20"/>
              </w:numPr>
            </w:pPr>
            <w:r>
              <w:t xml:space="preserve">Angular domain parameters (i.e., AoA, AoD, ZoA, ZoD), Delay, </w:t>
            </w:r>
            <w:r>
              <w:rPr>
                <w:rFonts w:eastAsia="DengXian"/>
              </w:rPr>
              <w:t>initial p</w:t>
            </w:r>
            <w:r>
              <w:t>hase, Doppler shift, Amplitude</w:t>
            </w:r>
          </w:p>
          <w:p w14:paraId="6968619C" w14:textId="77777777" w:rsidR="00E51C28" w:rsidRDefault="00D04239">
            <w:pPr>
              <w:pStyle w:val="a"/>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a"/>
              <w:numPr>
                <w:ilvl w:val="0"/>
                <w:numId w:val="21"/>
              </w:numPr>
            </w:pPr>
            <w:r>
              <w:t>Option-1: Determined by the locations of both TRP and UE.</w:t>
            </w:r>
          </w:p>
          <w:p w14:paraId="1C48812C" w14:textId="77777777" w:rsidR="00E51C28" w:rsidRDefault="00D04239">
            <w:pPr>
              <w:pStyle w:val="a"/>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lastRenderedPageBreak/>
        <w:t>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K_factor</w:t>
      </w:r>
      <w:r>
        <w:rPr>
          <w:rFonts w:ascii="Times New Roman" w:hAnsi="Times New Roman" w:cs="Times New Roman" w:hint="eastAsia"/>
          <w:bCs/>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a"/>
        <w:numPr>
          <w:ilvl w:val="0"/>
          <w:numId w:val="22"/>
        </w:numPr>
        <w:rPr>
          <w:lang w:val="en-US"/>
        </w:rPr>
      </w:pPr>
      <w:r>
        <w:rPr>
          <w:rFonts w:hint="eastAsia"/>
          <w:lang w:val="en-US"/>
        </w:rPr>
        <w:t>Angular domain parameters:</w:t>
      </w:r>
    </w:p>
    <w:p w14:paraId="638278C7" w14:textId="77777777" w:rsidR="00E51C28" w:rsidRDefault="00D04239">
      <w:pPr>
        <w:pStyle w:val="a"/>
        <w:numPr>
          <w:ilvl w:val="0"/>
          <w:numId w:val="23"/>
        </w:numPr>
        <w:rPr>
          <w:lang w:val="en-US"/>
        </w:rPr>
      </w:pPr>
      <w:r>
        <w:rPr>
          <w:rFonts w:hint="eastAsia"/>
          <w:lang w:val="en-US"/>
        </w:rPr>
        <w:t>[InterDigital, LGE, Huawei, Intel, Samsung, vivo, ZTE, Apple, BUPT, CMCC, Lenovo, CATT, NVIDIA, CEWiT] propose to model the antenna element-wise angular parameters.</w:t>
      </w:r>
    </w:p>
    <w:p w14:paraId="1F6062EE" w14:textId="77777777" w:rsidR="00E51C28" w:rsidRDefault="00D04239">
      <w:pPr>
        <w:pStyle w:val="a"/>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a"/>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a"/>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a"/>
        <w:numPr>
          <w:ilvl w:val="0"/>
          <w:numId w:val="22"/>
        </w:numPr>
        <w:rPr>
          <w:lang w:val="en-US"/>
        </w:rPr>
      </w:pPr>
      <w:r>
        <w:rPr>
          <w:rFonts w:hint="eastAsia"/>
          <w:lang w:val="en-US"/>
        </w:rPr>
        <w:t>Phase:</w:t>
      </w:r>
    </w:p>
    <w:p w14:paraId="62CF611C" w14:textId="77777777" w:rsidR="00E51C28" w:rsidRDefault="00D04239">
      <w:pPr>
        <w:pStyle w:val="a"/>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a"/>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a"/>
        <w:numPr>
          <w:ilvl w:val="0"/>
          <w:numId w:val="24"/>
        </w:numPr>
        <w:rPr>
          <w:lang w:val="en-US"/>
        </w:rPr>
      </w:pPr>
      <w:r>
        <w:rPr>
          <w:rFonts w:hint="eastAsia"/>
          <w:lang w:val="en-US"/>
        </w:rPr>
        <w:t>The initial phase in existing TR 38.901 is assumed to be zero for the direct path [ZTE], then [InterDigital, Huawei, Intel, ZTE, vivo, Qualcomm, CEWiT] propose that there is no need to model the antenna element-wise initial phase.</w:t>
      </w:r>
    </w:p>
    <w:p w14:paraId="2706E198" w14:textId="77777777" w:rsidR="00E51C28" w:rsidRDefault="00D04239">
      <w:pPr>
        <w:pStyle w:val="a"/>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a"/>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a"/>
        <w:numPr>
          <w:ilvl w:val="0"/>
          <w:numId w:val="26"/>
        </w:numPr>
        <w:rPr>
          <w:lang w:val="en-US"/>
        </w:rPr>
      </w:pPr>
      <w:r>
        <w:rPr>
          <w:rFonts w:hint="eastAsia"/>
          <w:lang w:val="en-US"/>
        </w:rPr>
        <w:t>[InterDigital, LG, Huawei, Intel, Samsung, vivo, ZTE, Apple, Lenovo</w:t>
      </w:r>
      <w:r>
        <w:rPr>
          <w:rFonts w:eastAsia="SimSun" w:hint="eastAsia"/>
          <w:lang w:val="en-US"/>
        </w:rPr>
        <w:t xml:space="preserve">, </w:t>
      </w:r>
      <w:r>
        <w:rPr>
          <w:rFonts w:hint="eastAsia"/>
          <w:lang w:val="en-US"/>
        </w:rPr>
        <w:t>CEWiT, Qualcomm] propose that it can be calculated according to the distance between the location of Tx antenna element and Rx antenna element;</w:t>
      </w:r>
    </w:p>
    <w:p w14:paraId="4D6B684E" w14:textId="77777777" w:rsidR="00E51C28" w:rsidRDefault="00D04239">
      <w:pPr>
        <w:pStyle w:val="a"/>
        <w:numPr>
          <w:ilvl w:val="0"/>
          <w:numId w:val="22"/>
        </w:numPr>
        <w:rPr>
          <w:lang w:val="en-US"/>
        </w:rPr>
      </w:pPr>
      <w:r>
        <w:rPr>
          <w:rFonts w:hint="eastAsia"/>
          <w:lang w:val="en-US"/>
        </w:rPr>
        <w:t>Doppler shift:</w:t>
      </w:r>
    </w:p>
    <w:p w14:paraId="2C8D5FAA" w14:textId="77777777" w:rsidR="00E51C28" w:rsidRDefault="00D04239">
      <w:pPr>
        <w:pStyle w:val="a"/>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a"/>
        <w:numPr>
          <w:ilvl w:val="0"/>
          <w:numId w:val="23"/>
        </w:numPr>
        <w:rPr>
          <w:lang w:val="en-US"/>
        </w:rPr>
      </w:pPr>
      <w:r>
        <w:rPr>
          <w:rFonts w:hint="eastAsia"/>
          <w:lang w:val="en-US"/>
        </w:rPr>
        <w:lastRenderedPageBreak/>
        <w:t>[Huawei, CEWiT] proposes that no change is needed on Doppler shift parameters.</w:t>
      </w:r>
    </w:p>
    <w:p w14:paraId="608ABF86" w14:textId="77777777" w:rsidR="00E51C28" w:rsidRDefault="00D04239">
      <w:pPr>
        <w:pStyle w:val="a"/>
        <w:numPr>
          <w:ilvl w:val="0"/>
          <w:numId w:val="22"/>
        </w:numPr>
        <w:rPr>
          <w:lang w:val="en-US"/>
        </w:rPr>
      </w:pPr>
      <w:r>
        <w:rPr>
          <w:rFonts w:hint="eastAsia"/>
          <w:lang w:val="en-US"/>
        </w:rPr>
        <w:t>Amplitude:</w:t>
      </w:r>
    </w:p>
    <w:p w14:paraId="45E262FA" w14:textId="77777777" w:rsidR="00E51C28" w:rsidRDefault="00D04239">
      <w:pPr>
        <w:pStyle w:val="a"/>
        <w:numPr>
          <w:ilvl w:val="0"/>
          <w:numId w:val="23"/>
        </w:numPr>
        <w:rPr>
          <w:lang w:val="en-US"/>
        </w:rPr>
      </w:pPr>
      <w:r>
        <w:rPr>
          <w:rFonts w:hint="eastAsia"/>
          <w:lang w:val="en-US"/>
        </w:rPr>
        <w:t xml:space="preserve">[InterDigital, Huawei, Intel, vivo, ZTE, CEWiT, Qualcomm] propose that no change is needed on the amplitude of LOS ray/cluster. </w:t>
      </w:r>
    </w:p>
    <w:p w14:paraId="18FBEEDC" w14:textId="77777777" w:rsidR="00E51C28" w:rsidRDefault="00D04239">
      <w:pPr>
        <w:pStyle w:val="a"/>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Besides, [Qualcomm] proposes that the complexity of spherical-wavefront modeling can be executed to different degrees of accuracy, then different options can be considered based on overall impact on simulation outcomes. And considering the practical deployment scenarios and commercially relevant gNB antenna arrays, it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Moreover, as for how to determine the antenna element-wise parameters, almost all companies [InterDigital,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a"/>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a"/>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a"/>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uawei, HiSilicon</w:t>
            </w:r>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hint="eastAsia"/>
                <w:szCs w:val="20"/>
              </w:rPr>
            </w:pPr>
            <w:r w:rsidRPr="00D83A3C">
              <w:rPr>
                <w:rFonts w:cs="Times New Roman" w:hint="eastAsia"/>
                <w:szCs w:val="20"/>
              </w:rPr>
              <w:t>Samsung</w:t>
            </w:r>
          </w:p>
        </w:tc>
        <w:tc>
          <w:tcPr>
            <w:tcW w:w="6472" w:type="dxa"/>
          </w:tcPr>
          <w:p w14:paraId="7889FC1B" w14:textId="3BF04A32" w:rsidR="00D83A3C" w:rsidRPr="00D83A3C" w:rsidRDefault="00D83A3C" w:rsidP="00537DE7">
            <w:pPr>
              <w:spacing w:before="120" w:after="120"/>
              <w:ind w:firstLineChars="50" w:firstLine="100"/>
              <w:rPr>
                <w:rFonts w:cs="Times New Roman" w:hint="eastAsia"/>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re-evaluate the parameters in light of the study on the channel impact of non-planar wavefronts or make a room for revisit </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a"/>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uawei, HiSilicon</w:t>
            </w:r>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lastRenderedPageBreak/>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Regarding which channel parameters are considered to be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a"/>
        <w:numPr>
          <w:ilvl w:val="0"/>
          <w:numId w:val="22"/>
        </w:numPr>
        <w:rPr>
          <w:lang w:val="en-US"/>
        </w:rPr>
      </w:pPr>
      <w:r>
        <w:rPr>
          <w:rFonts w:hint="eastAsia"/>
          <w:lang w:val="en-US"/>
        </w:rPr>
        <w:t xml:space="preserve">Angular domain parameters: </w:t>
      </w:r>
    </w:p>
    <w:p w14:paraId="50728D99" w14:textId="77777777" w:rsidR="00E51C28" w:rsidRDefault="00D04239">
      <w:pPr>
        <w:pStyle w:val="a"/>
        <w:numPr>
          <w:ilvl w:val="0"/>
          <w:numId w:val="23"/>
        </w:numPr>
        <w:rPr>
          <w:lang w:val="en-US"/>
        </w:rPr>
      </w:pPr>
      <w:r>
        <w:rPr>
          <w:rFonts w:hint="eastAsia"/>
          <w:lang w:val="en-US"/>
        </w:rPr>
        <w:t>[InterDigital, Huawei, Intel, vivo, BUPT, CMCC, CEWiT, ZTE, Apple, CATT] propose to model the antenna element-wise angular domain parameters.</w:t>
      </w:r>
    </w:p>
    <w:p w14:paraId="55AF1686" w14:textId="77777777" w:rsidR="00E51C28" w:rsidRDefault="00D04239">
      <w:pPr>
        <w:pStyle w:val="a"/>
        <w:numPr>
          <w:ilvl w:val="0"/>
          <w:numId w:val="22"/>
        </w:numPr>
        <w:rPr>
          <w:lang w:val="en-US"/>
        </w:rPr>
      </w:pPr>
      <w:r>
        <w:rPr>
          <w:rFonts w:hint="eastAsia"/>
          <w:lang w:val="en-US"/>
        </w:rPr>
        <w:t>Delay:</w:t>
      </w:r>
    </w:p>
    <w:p w14:paraId="38FFFAC1" w14:textId="77777777" w:rsidR="00E51C28" w:rsidRDefault="00D04239">
      <w:pPr>
        <w:pStyle w:val="a"/>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a"/>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a"/>
        <w:numPr>
          <w:ilvl w:val="0"/>
          <w:numId w:val="22"/>
        </w:numPr>
        <w:rPr>
          <w:lang w:val="en-US"/>
        </w:rPr>
      </w:pPr>
      <w:r>
        <w:rPr>
          <w:rFonts w:hint="eastAsia"/>
          <w:lang w:val="en-US"/>
        </w:rPr>
        <w:t>Phase:</w:t>
      </w:r>
    </w:p>
    <w:p w14:paraId="043748BA" w14:textId="77777777" w:rsidR="00E51C28" w:rsidRDefault="00D04239">
      <w:pPr>
        <w:pStyle w:val="a"/>
        <w:numPr>
          <w:ilvl w:val="0"/>
          <w:numId w:val="23"/>
        </w:numPr>
        <w:rPr>
          <w:lang w:val="en-US"/>
        </w:rPr>
      </w:pPr>
      <w:r>
        <w:rPr>
          <w:rFonts w:hint="eastAsia"/>
          <w:lang w:val="en-US"/>
        </w:rPr>
        <w:t>For the initial phase:</w:t>
      </w:r>
    </w:p>
    <w:p w14:paraId="57EDC28A" w14:textId="77777777" w:rsidR="00E51C28" w:rsidRDefault="00D04239">
      <w:pPr>
        <w:pStyle w:val="a"/>
        <w:numPr>
          <w:ilvl w:val="0"/>
          <w:numId w:val="28"/>
        </w:numPr>
        <w:rPr>
          <w:lang w:val="en-US"/>
        </w:rPr>
      </w:pPr>
      <w:r>
        <w:rPr>
          <w:rFonts w:hint="eastAsia"/>
          <w:lang w:val="en-US"/>
        </w:rPr>
        <w:t xml:space="preserve"> [InterDigital, Huawei, Intel, vivo, ZTE, CEWiT] propose that no change is needed on initial phase part;</w:t>
      </w:r>
    </w:p>
    <w:p w14:paraId="574D0019" w14:textId="77777777" w:rsidR="00E51C28" w:rsidRDefault="00D04239">
      <w:pPr>
        <w:pStyle w:val="a"/>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a"/>
        <w:numPr>
          <w:ilvl w:val="0"/>
          <w:numId w:val="29"/>
        </w:numPr>
        <w:rPr>
          <w:lang w:val="en-US"/>
        </w:rPr>
      </w:pPr>
      <w:r>
        <w:rPr>
          <w:rFonts w:hint="eastAsia"/>
          <w:lang w:val="en-US"/>
        </w:rPr>
        <w:t xml:space="preserve"> [InterDigital, Huawei, Intel, vivo, ZTE, BUPT, CMCC, CEWiT] propose that it can be calculated from the distance between the location of antenna element and the cluster. </w:t>
      </w:r>
    </w:p>
    <w:p w14:paraId="4CA6971C" w14:textId="77777777" w:rsidR="00E51C28" w:rsidRDefault="00D04239">
      <w:pPr>
        <w:pStyle w:val="a"/>
        <w:numPr>
          <w:ilvl w:val="0"/>
          <w:numId w:val="22"/>
        </w:numPr>
        <w:rPr>
          <w:lang w:val="en-US"/>
        </w:rPr>
      </w:pPr>
      <w:r>
        <w:rPr>
          <w:rFonts w:hint="eastAsia"/>
          <w:lang w:val="en-US"/>
        </w:rPr>
        <w:t>Amplitude:</w:t>
      </w:r>
    </w:p>
    <w:p w14:paraId="2DFFF865" w14:textId="77777777" w:rsidR="00E51C28" w:rsidRDefault="00D04239">
      <w:pPr>
        <w:pStyle w:val="a"/>
        <w:numPr>
          <w:ilvl w:val="0"/>
          <w:numId w:val="23"/>
        </w:numPr>
        <w:rPr>
          <w:lang w:val="en-US"/>
        </w:rPr>
      </w:pPr>
      <w:r>
        <w:rPr>
          <w:rFonts w:hint="eastAsia"/>
          <w:lang w:val="en-US"/>
        </w:rPr>
        <w:t xml:space="preserve"> [InterDigital,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a"/>
        <w:numPr>
          <w:ilvl w:val="0"/>
          <w:numId w:val="22"/>
        </w:numPr>
        <w:rPr>
          <w:lang w:val="en-US"/>
        </w:rPr>
      </w:pPr>
      <w:r>
        <w:rPr>
          <w:rFonts w:hint="eastAsia"/>
          <w:lang w:val="en-US"/>
        </w:rPr>
        <w:t>Doppler shift:</w:t>
      </w:r>
    </w:p>
    <w:p w14:paraId="3B5B1BDD" w14:textId="77777777" w:rsidR="00E51C28" w:rsidRDefault="00D04239">
      <w:pPr>
        <w:pStyle w:val="a"/>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different options can be considered based on overall impact on simulation outcomes. And considering the practical deployment scenarios and commercially relevant gNB antenna arrays, it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a"/>
        <w:numPr>
          <w:ilvl w:val="0"/>
          <w:numId w:val="22"/>
        </w:numPr>
      </w:pPr>
      <w:r>
        <w:rPr>
          <w:rFonts w:hint="eastAsia"/>
          <w:szCs w:val="24"/>
          <w:lang w:val="en-US"/>
        </w:rPr>
        <w:lastRenderedPageBreak/>
        <w:t xml:space="preserve">Option-1: </w:t>
      </w:r>
      <w:r>
        <w:t>The cluster location-based approach is used to determine the antenna element-wise channel parameters</w:t>
      </w:r>
      <w:r>
        <w:rPr>
          <w:rFonts w:hint="eastAsia"/>
          <w:szCs w:val="24"/>
          <w:lang w:val="en-US"/>
        </w:rPr>
        <w:t xml:space="preserve"> [InterDigital,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a"/>
        <w:numPr>
          <w:ilvl w:val="0"/>
          <w:numId w:val="23"/>
        </w:numPr>
      </w:pPr>
      <w:r>
        <w:t>Alt-1: [</w:t>
      </w:r>
      <w:r>
        <w:rPr>
          <w:rFonts w:eastAsia="SimSun" w:hint="eastAsia"/>
          <w:lang w:val="en-US"/>
        </w:rPr>
        <w:t>InterDigital,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a"/>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a"/>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a"/>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a"/>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a"/>
        <w:numPr>
          <w:ilvl w:val="0"/>
          <w:numId w:val="0"/>
        </w:numPr>
        <w:ind w:left="1080"/>
        <w:rPr>
          <w:szCs w:val="24"/>
        </w:rPr>
      </w:pPr>
      <w:r>
        <w:rPr>
          <w:rFonts w:eastAsia="SimSun" w:hint="eastAsia"/>
        </w:rPr>
        <w:t>[CEW</w:t>
      </w:r>
      <w:r>
        <w:rPr>
          <w:rFonts w:eastAsia="SimSun" w:hint="eastAsia"/>
          <w:lang w:val="en-US"/>
        </w:rPr>
        <w:t>i</w:t>
      </w:r>
      <w:r>
        <w:rPr>
          <w:rFonts w:eastAsia="SimSun" w:hint="eastAsia"/>
        </w:rPr>
        <w:t>T, CATT] mention that the generation of cluster location shall consider the effect of cluster delay generated in TR 38.901, e.g., a cluster dropping boundary can be identified according to the shorted delay of all paths [CEW</w:t>
      </w:r>
      <w:r>
        <w:rPr>
          <w:rFonts w:eastAsia="SimSun" w:hint="eastAsia"/>
          <w:lang w:val="en-US"/>
        </w:rPr>
        <w:t>i</w:t>
      </w:r>
      <w:r>
        <w:rPr>
          <w:rFonts w:eastAsia="SimSun" w:hint="eastAsia"/>
        </w:rPr>
        <w:t>T].</w:t>
      </w:r>
    </w:p>
    <w:p w14:paraId="51F54236" w14:textId="77777777" w:rsidR="00E51C28" w:rsidRDefault="00D04239">
      <w:pPr>
        <w:pStyle w:val="a"/>
        <w:numPr>
          <w:ilvl w:val="0"/>
          <w:numId w:val="22"/>
        </w:numPr>
      </w:pPr>
      <w:r>
        <w:t>Option-2: The parameter-based approach is used to determine the antenna element-wise channel parameters [ZTE, LGE, MTK]. More specifically, [ZTE, MTK] propose to model the element-wise parameters with considering on the existing spatial consistency procedure of TR 38.901</w:t>
      </w:r>
      <w:r>
        <w:rPr>
          <w:rFonts w:eastAsia="SimSun" w:hint="eastAsia"/>
          <w:lang w:val="en-US"/>
        </w:rPr>
        <w:t>,</w:t>
      </w:r>
      <w:r>
        <w:t xml:space="preserve"> or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a"/>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a"/>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a"/>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uawei, HiSilicon</w:t>
            </w:r>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hint="eastAsia"/>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hint="eastAsia"/>
                <w:szCs w:val="20"/>
              </w:rPr>
            </w:pPr>
            <w:r w:rsidRPr="00D83A3C">
              <w:rPr>
                <w:rFonts w:cs="Times New Roman"/>
                <w:szCs w:val="20"/>
              </w:rPr>
              <w:t xml:space="preserve">Same comments in proposal 1-3-2-1-1 for proposal 1-3-2-1-3 and 4. </w:t>
            </w:r>
          </w:p>
        </w:tc>
      </w:tr>
    </w:tbl>
    <w:p w14:paraId="6232041F" w14:textId="77777777" w:rsidR="00E51C28" w:rsidRDefault="00D04239">
      <w:pPr>
        <w:pStyle w:val="a"/>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a"/>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uawei, HiSilicon</w:t>
            </w:r>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lastRenderedPageBreak/>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a"/>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a"/>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a"/>
        <w:numPr>
          <w:ilvl w:val="1"/>
          <w:numId w:val="33"/>
        </w:numPr>
        <w:rPr>
          <w:i/>
          <w:iCs/>
          <w:highlight w:val="yellow"/>
        </w:rPr>
      </w:pPr>
      <w:r>
        <w:rPr>
          <w:i/>
          <w:iCs/>
          <w:highlight w:val="yellow"/>
        </w:rPr>
        <w:t>FFS: Other parameters</w:t>
      </w:r>
      <w:r>
        <w:rPr>
          <w:rFonts w:eastAsia="SimSun"/>
          <w:i/>
          <w:iCs/>
          <w:highlight w:val="yellow"/>
          <w:lang w:val="en-US"/>
        </w:rPr>
        <w:t>.</w:t>
      </w:r>
    </w:p>
    <w:p w14:paraId="5DF91246" w14:textId="77777777" w:rsidR="00E51C28" w:rsidRDefault="00D04239">
      <w:pPr>
        <w:pStyle w:val="a"/>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a"/>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a"/>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a"/>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hint="eastAsia"/>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00"/>
              <w:rPr>
                <w:rFonts w:cs="Times New Roman"/>
                <w:szCs w:val="20"/>
              </w:rPr>
            </w:pPr>
            <w:r w:rsidRPr="00D83A3C">
              <w:rPr>
                <w:rFonts w:cs="Times New Roman"/>
                <w:szCs w:val="20"/>
              </w:rPr>
              <w:t>Thanks FL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methodologies specifically for the near-field region, and then proceed to discuss the proposal.</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a"/>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a"/>
        <w:numPr>
          <w:ilvl w:val="0"/>
          <w:numId w:val="35"/>
        </w:numPr>
        <w:tabs>
          <w:tab w:val="left" w:pos="576"/>
        </w:tabs>
      </w:pPr>
      <w:r>
        <w:t>[CEWiT] proposes that the number of strongest clusters, cluster delay offset, ray mapping, power association to rays within a cluster for the near-field from measurements shall be validated.</w:t>
      </w:r>
    </w:p>
    <w:p w14:paraId="49AB46BE" w14:textId="77777777" w:rsidR="00E51C28" w:rsidRDefault="00D04239">
      <w:pPr>
        <w:pStyle w:val="a"/>
        <w:numPr>
          <w:ilvl w:val="0"/>
          <w:numId w:val="35"/>
        </w:numPr>
        <w:tabs>
          <w:tab w:val="left" w:pos="576"/>
        </w:tabs>
      </w:pPr>
      <w:r>
        <w:t xml:space="preserve">[InterDigital, CEWiT] propose that the exponential decay behaviors of cluster power with respect to their delays are not observed in </w:t>
      </w:r>
      <w:r>
        <w:rPr>
          <w:rFonts w:eastAsia="SimSun" w:hint="eastAsia"/>
          <w:lang w:val="en-US"/>
        </w:rPr>
        <w:t>n</w:t>
      </w:r>
      <w:r>
        <w:t>ear-</w:t>
      </w:r>
      <w:r>
        <w:rPr>
          <w:rFonts w:eastAsia="SimSun" w:hint="eastAsia"/>
          <w:lang w:val="en-US"/>
        </w:rPr>
        <w:t>f</w:t>
      </w:r>
      <w:r>
        <w:t>ield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2"/>
        <w:tabs>
          <w:tab w:val="left" w:pos="576"/>
        </w:tabs>
        <w:spacing w:before="120" w:after="60"/>
        <w:rPr>
          <w:rFonts w:ascii="Times New Roman" w:hAnsi="Times New Roman"/>
          <w:b/>
          <w:bCs/>
          <w:sz w:val="22"/>
          <w:szCs w:val="22"/>
        </w:rPr>
      </w:pPr>
      <w:r>
        <w:rPr>
          <w:rFonts w:ascii="Times New Roman" w:hAnsi="Times New Roman"/>
          <w:b/>
          <w:bCs/>
          <w:sz w:val="22"/>
          <w:szCs w:val="22"/>
        </w:rPr>
        <w:lastRenderedPageBreak/>
        <w:t>1.4 Methodology for the near-field channel modelling</w:t>
      </w:r>
    </w:p>
    <w:p w14:paraId="5845DA93"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af5"/>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t>For the study of near-field channel modelling, at least following aspects should be considered:</w:t>
            </w:r>
          </w:p>
          <w:p w14:paraId="2FF38467" w14:textId="77777777" w:rsidR="00E51C28" w:rsidRDefault="00D04239">
            <w:pPr>
              <w:pStyle w:val="a"/>
              <w:numPr>
                <w:ilvl w:val="0"/>
                <w:numId w:val="36"/>
              </w:numPr>
            </w:pPr>
            <w:r>
              <w:t>Whether/How to define the near-field region.</w:t>
            </w:r>
          </w:p>
          <w:p w14:paraId="2C2B27AE" w14:textId="77777777" w:rsidR="00E51C28" w:rsidRDefault="00D04239">
            <w:pPr>
              <w:pStyle w:val="a"/>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a"/>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a"/>
        <w:numPr>
          <w:ilvl w:val="0"/>
          <w:numId w:val="37"/>
        </w:numPr>
        <w:spacing w:beforeLines="0" w:afterLines="0"/>
      </w:pPr>
      <w:r>
        <w:rPr>
          <w:rFonts w:hint="eastAsia"/>
        </w:rPr>
        <w:t>[Lenovo]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center of the antenna array.</w:t>
      </w:r>
    </w:p>
    <w:p w14:paraId="11C37736" w14:textId="77777777" w:rsidR="00E51C28" w:rsidRDefault="00D04239">
      <w:pPr>
        <w:pStyle w:val="a"/>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a"/>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a"/>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particular technologies,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lastRenderedPageBreak/>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44D8D33" w14:textId="69FFE589" w:rsidR="004F5C95" w:rsidRDefault="004F5C95" w:rsidP="00537DE7">
            <w:pPr>
              <w:spacing w:before="120" w:after="120"/>
              <w:ind w:firstLineChars="50" w:firstLine="100"/>
              <w:rPr>
                <w:rFonts w:cs="Times New Roman"/>
                <w:szCs w:val="20"/>
              </w:rPr>
            </w:pPr>
            <w:r w:rsidRPr="004F5C95">
              <w:rPr>
                <w:rFonts w:cs="Times New Roman"/>
                <w:szCs w:val="20"/>
              </w:rPr>
              <w:t>Support to FL’s proposal. The near-field regions can diverse depending on actual antenna port utilization on total antenna panel. Legacy studies considered different antenna configuration during evaluation e.g., Rel-18 duplex and NES. So, we would like to suggest to consider this diversity in the definition of the near-field region.</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5"/>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uawei, HiSilicon</w:t>
            </w:r>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hint="eastAsia"/>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hint="eastAsia"/>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bl>
    <w:p w14:paraId="60688326"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af5"/>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lastRenderedPageBreak/>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uawei, HiSilicon</w:t>
            </w:r>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hint="eastAsia"/>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bl>
    <w:p w14:paraId="22A354A7" w14:textId="77777777"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lastRenderedPageBreak/>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uawei, HiSilicon</w:t>
            </w:r>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af5"/>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a"/>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 xml:space="preserve">In this meeting, regarding whether the same or different implementations are used for near-field and far-field channel realization, [InterDigital,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[InterDigital]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맑은 고딕" w:cs="Times New Roman" w:hint="eastAsia"/>
                <w:szCs w:val="20"/>
              </w:rPr>
              <w:t>Samsung</w:t>
            </w:r>
          </w:p>
        </w:tc>
        <w:tc>
          <w:tcPr>
            <w:tcW w:w="4107" w:type="dxa"/>
          </w:tcPr>
          <w:p w14:paraId="4F9047E2" w14:textId="5706F433" w:rsidR="004F5C95" w:rsidRDefault="004F5C95">
            <w:pPr>
              <w:rPr>
                <w:rFonts w:cs="Times New Roman"/>
                <w:szCs w:val="20"/>
              </w:rPr>
            </w:pPr>
            <w:r>
              <w:rPr>
                <w:rFonts w:eastAsia="맑은 고딕" w:cs="Times New Roman" w:hint="eastAsia"/>
                <w:szCs w:val="20"/>
              </w:rPr>
              <w:t xml:space="preserve">It will depends on the conclusion of </w:t>
            </w:r>
            <w:r>
              <w:rPr>
                <w:rFonts w:eastAsia="맑은 고딕" w:cs="Times New Roman"/>
                <w:szCs w:val="20"/>
              </w:rPr>
              <w:t xml:space="preserve">impact of </w:t>
            </w:r>
            <w:r>
              <w:rPr>
                <w:rFonts w:eastAsia="맑은 고딕" w:cs="Times New Roman" w:hint="eastAsia"/>
                <w:szCs w:val="20"/>
              </w:rPr>
              <w:t xml:space="preserve">non-planar wavefront study. </w:t>
            </w:r>
            <w:r>
              <w:rPr>
                <w:rFonts w:eastAsia="맑은 고딕" w:cs="Times New Roman"/>
                <w:szCs w:val="20"/>
              </w:rPr>
              <w:t xml:space="preserve">The implementation could be reuse or need to </w:t>
            </w:r>
            <w:r>
              <w:rPr>
                <w:rFonts w:eastAsia="맑은 고딕" w:cs="Times New Roman"/>
                <w:szCs w:val="20"/>
              </w:rPr>
              <w:lastRenderedPageBreak/>
              <w:t>different with existing methodology. So, we consider that i</w:t>
            </w:r>
            <w:r w:rsidRPr="00DE591F">
              <w:rPr>
                <w:rFonts w:eastAsia="맑은 고딕" w:cs="Times New Roman"/>
                <w:szCs w:val="20"/>
              </w:rPr>
              <w:t xml:space="preserve">t may be difficult </w:t>
            </w:r>
            <w:r>
              <w:rPr>
                <w:rFonts w:eastAsia="맑은 고딕" w:cs="Times New Roman"/>
                <w:szCs w:val="20"/>
              </w:rPr>
              <w:t>whether the</w:t>
            </w:r>
            <w:r w:rsidRPr="00DE591F">
              <w:rPr>
                <w:rFonts w:eastAsia="맑은 고딕" w:cs="Times New Roman"/>
                <w:szCs w:val="20"/>
              </w:rPr>
              <w:t xml:space="preserve"> proposal </w:t>
            </w:r>
            <w:r>
              <w:rPr>
                <w:rFonts w:eastAsia="맑은 고딕" w:cs="Times New Roman"/>
                <w:szCs w:val="20"/>
              </w:rPr>
              <w:t xml:space="preserve">is supportive or not </w:t>
            </w:r>
            <w:r w:rsidRPr="00DE591F">
              <w:rPr>
                <w:rFonts w:eastAsia="맑은 고딕"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af5"/>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a"/>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af5"/>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00"/>
              <w:rPr>
                <w:rFonts w:cs="Times New Roman"/>
                <w:szCs w:val="20"/>
              </w:rPr>
            </w:pPr>
            <w:r w:rsidRPr="004F5C95">
              <w:rPr>
                <w:rFonts w:cs="Times New Roman" w:hint="eastAsia"/>
                <w:szCs w:val="20"/>
              </w:rPr>
              <w:t xml:space="preserve">Our understanding is that </w:t>
            </w:r>
            <w:r w:rsidRPr="004F5C95">
              <w:rPr>
                <w:rFonts w:cs="Times New Roman"/>
                <w:szCs w:val="20"/>
              </w:rPr>
              <w:t>spherical waves in the near field region require consideration of both angle and distance unlike the far-field region’s plane wave approximation. This is because not all antenna 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bl>
    <w:p w14:paraId="7F86E82E" w14:textId="77777777" w:rsidR="00E51C28" w:rsidRDefault="00D04239">
      <w:pPr>
        <w:pStyle w:val="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a"/>
        <w:numPr>
          <w:ilvl w:val="0"/>
          <w:numId w:val="44"/>
        </w:numPr>
        <w:rPr>
          <w:lang w:val="en-US"/>
        </w:rPr>
      </w:pPr>
      <w:r>
        <w:rPr>
          <w:lang w:val="en-US"/>
        </w:rPr>
        <w:t xml:space="preserve">[BUPT, CMCC, vivo]: </w:t>
      </w:r>
      <w:r>
        <w:rPr>
          <w:color w:val="000000"/>
        </w:rPr>
        <w:t>In the UMa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a"/>
        <w:numPr>
          <w:ilvl w:val="0"/>
          <w:numId w:val="44"/>
        </w:numPr>
        <w:rPr>
          <w:lang w:val="en-US"/>
        </w:rPr>
      </w:pPr>
      <w:r>
        <w:rPr>
          <w:lang w:val="en-US"/>
        </w:rPr>
        <w:t>[Huawei]: In the typical UMa scenario, ray-tracing simulation is conducted to draw visible probability curve with regard to max(Pm)-Pm</w:t>
      </w:r>
      <w:r>
        <w:rPr>
          <w:rFonts w:hint="eastAsia"/>
          <w:lang w:val="en-US"/>
        </w:rPr>
        <w:t>.</w:t>
      </w:r>
    </w:p>
    <w:p w14:paraId="0A8F77E4" w14:textId="77777777" w:rsidR="00E51C28" w:rsidRDefault="00D04239">
      <w:pPr>
        <w:pStyle w:val="a"/>
        <w:numPr>
          <w:ilvl w:val="0"/>
          <w:numId w:val="44"/>
        </w:numPr>
        <w:rPr>
          <w:lang w:val="en-US"/>
        </w:rPr>
      </w:pPr>
      <w:r>
        <w:rPr>
          <w:lang w:val="en-US"/>
        </w:rPr>
        <w:lastRenderedPageBreak/>
        <w:t>[ZTE]: In U</w:t>
      </w:r>
      <w:r>
        <w:rPr>
          <w:rFonts w:hint="eastAsia"/>
          <w:lang w:val="en-US"/>
        </w:rPr>
        <w:t>M</w:t>
      </w:r>
      <w:r>
        <w:rPr>
          <w:lang w:val="en-US"/>
        </w:rPr>
        <w:t>i scenario, the power variation can be observed in antenna element-wise with RT simulation due to a blocker between gNB and UE</w:t>
      </w:r>
      <w:r>
        <w:rPr>
          <w:rFonts w:hint="eastAsia"/>
          <w:lang w:val="en-US"/>
        </w:rPr>
        <w:t>.</w:t>
      </w:r>
    </w:p>
    <w:p w14:paraId="3CF71DA6" w14:textId="77777777" w:rsidR="00E51C28" w:rsidRDefault="00D04239">
      <w:pPr>
        <w:pStyle w:val="a"/>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In addition, [Nokia] also conducts measurement under the assumption of realistic smartphone antenna pattern, it can be seen that the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uawei, HiSilicon</w:t>
            </w:r>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맑은 고딕" w:cs="Times New Roman" w:hint="eastAsia"/>
                <w:szCs w:val="20"/>
              </w:rPr>
            </w:pPr>
            <w:r>
              <w:rPr>
                <w:rFonts w:eastAsia="맑은 고딕" w:cs="Times New Roman" w:hint="eastAsia"/>
                <w:szCs w:val="20"/>
              </w:rPr>
              <w:t>Samsung</w:t>
            </w:r>
          </w:p>
        </w:tc>
        <w:tc>
          <w:tcPr>
            <w:tcW w:w="6472" w:type="dxa"/>
          </w:tcPr>
          <w:p w14:paraId="55F2AD32" w14:textId="60C5160D" w:rsidR="00986AE6" w:rsidRPr="00986AE6" w:rsidRDefault="00986AE6" w:rsidP="00537DE7">
            <w:pPr>
              <w:ind w:firstLineChars="50" w:firstLine="100"/>
              <w:rPr>
                <w:rFonts w:eastAsia="맑은 고딕" w:cs="Times New Roman" w:hint="eastAsia"/>
                <w:szCs w:val="20"/>
              </w:rPr>
            </w:pPr>
            <w:r>
              <w:rPr>
                <w:rFonts w:eastAsia="맑은 고딕" w:cs="Times New Roman"/>
                <w:szCs w:val="20"/>
              </w:rPr>
              <w:t>Before discussion of methodology, we prefer to discuss the condition when the spatial non-stationarity is occurred</w:t>
            </w:r>
            <w:r w:rsidR="00537DE7">
              <w:rPr>
                <w:rFonts w:eastAsia="맑은 고딕" w:cs="Times New Roman"/>
                <w:szCs w:val="20"/>
              </w:rPr>
              <w:t>, first</w:t>
            </w:r>
            <w:r>
              <w:rPr>
                <w:rFonts w:eastAsia="맑은 고딕" w:cs="Times New Roman"/>
                <w:szCs w:val="20"/>
              </w:rPr>
              <w:t xml:space="preserve">. </w:t>
            </w:r>
            <w:r w:rsidR="00F6717C">
              <w:rPr>
                <w:rFonts w:eastAsia="맑은 고딕" w:cs="Times New Roman"/>
                <w:szCs w:val="20"/>
              </w:rPr>
              <w:t>E.g., i</w:t>
            </w:r>
            <w:r>
              <w:rPr>
                <w:rFonts w:eastAsia="맑은 고딕" w:cs="Times New Roman"/>
                <w:szCs w:val="20"/>
              </w:rPr>
              <w:t>s it consider the same situation with existing blockage model? (</w:t>
            </w:r>
            <w:r w:rsidR="00F6717C">
              <w:rPr>
                <w:rFonts w:eastAsia="맑은 고딕" w:cs="Times New Roman"/>
                <w:szCs w:val="20"/>
              </w:rPr>
              <w:t>H</w:t>
            </w:r>
            <w:r>
              <w:rPr>
                <w:rFonts w:eastAsia="맑은 고딕" w:cs="Times New Roman"/>
                <w:szCs w:val="20"/>
              </w:rPr>
              <w:t xml:space="preserve">uman and vehicular blocking? Or static </w:t>
            </w:r>
            <w:r w:rsidR="00F6717C">
              <w:rPr>
                <w:rFonts w:eastAsia="맑은 고딕" w:cs="Times New Roman"/>
                <w:szCs w:val="20"/>
              </w:rPr>
              <w:t>and/</w:t>
            </w:r>
            <w:r>
              <w:rPr>
                <w:rFonts w:eastAsia="맑은 고딕" w:cs="Times New Roman"/>
                <w:szCs w:val="20"/>
              </w:rPr>
              <w:t xml:space="preserve">or temporal </w:t>
            </w:r>
            <w:r w:rsidR="00F6717C">
              <w:rPr>
                <w:rFonts w:eastAsia="맑은 고딕" w:cs="Times New Roman"/>
                <w:szCs w:val="20"/>
              </w:rPr>
              <w:t>variability?</w:t>
            </w:r>
            <w:r>
              <w:rPr>
                <w:rFonts w:eastAsia="맑은 고딕" w:cs="Times New Roman"/>
                <w:szCs w:val="20"/>
              </w:rPr>
              <w:t>)</w:t>
            </w:r>
            <w:r w:rsidR="00F6717C">
              <w:rPr>
                <w:rFonts w:eastAsia="맑은 고딕" w:cs="Times New Roman"/>
                <w:szCs w:val="20"/>
              </w:rPr>
              <w:t xml:space="preserve"> </w:t>
            </w:r>
            <w:bookmarkStart w:id="2" w:name="_GoBack"/>
            <w:bookmarkEnd w:id="2"/>
          </w:p>
        </w:tc>
      </w:tr>
    </w:tbl>
    <w:p w14:paraId="4BAF7ABB" w14:textId="77777777" w:rsidR="00E51C28" w:rsidRDefault="00D04239">
      <w:pPr>
        <w:pStyle w:val="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a"/>
        <w:numPr>
          <w:ilvl w:val="0"/>
          <w:numId w:val="44"/>
        </w:numPr>
        <w:rPr>
          <w:lang w:val="en-US"/>
        </w:rPr>
      </w:pPr>
      <w:r>
        <w:rPr>
          <w:lang w:val="en-US"/>
        </w:rPr>
        <w:t>Option 1: Reduced power [Huawei, Apple, Qualcomm, CEWiT]</w:t>
      </w:r>
    </w:p>
    <w:p w14:paraId="491196AE" w14:textId="77777777" w:rsidR="00E51C28" w:rsidRDefault="00D04239">
      <w:pPr>
        <w:pStyle w:val="a"/>
        <w:numPr>
          <w:ilvl w:val="1"/>
          <w:numId w:val="44"/>
        </w:numPr>
        <w:rPr>
          <w:lang w:val="en-US"/>
        </w:rPr>
      </w:pPr>
      <w:r>
        <w:rPr>
          <w:lang w:val="en-US"/>
        </w:rPr>
        <w:t>[Huawei]: The power attenuation factor is modelled as below:</w:t>
      </w:r>
    </w:p>
    <w:p w14:paraId="42CE6641" w14:textId="77777777" w:rsidR="00E51C28" w:rsidRDefault="00986AE6">
      <w:pPr>
        <w:pStyle w:val="a"/>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a"/>
        <w:numPr>
          <w:ilvl w:val="1"/>
          <w:numId w:val="44"/>
        </w:numPr>
        <w:rPr>
          <w:lang w:val="en-US"/>
        </w:rPr>
      </w:pPr>
      <w:r>
        <w:rPr>
          <w:lang w:val="en-US"/>
        </w:rPr>
        <w:t xml:space="preserve">[Apple]: To support spatial non-stationarity, in the step of “generate cluster power”, a cluster in near-field of base </w:t>
      </w:r>
      <w:r>
        <w:rPr>
          <w:lang w:val="en-US"/>
        </w:rPr>
        <w:lastRenderedPageBreak/>
        <w:t xml:space="preserve">station has reduced cluster power. </w:t>
      </w:r>
    </w:p>
    <w:p w14:paraId="3D07BA14" w14:textId="77777777" w:rsidR="00E51C28" w:rsidRDefault="00D04239">
      <w:pPr>
        <w:pStyle w:val="a"/>
        <w:numPr>
          <w:ilvl w:val="1"/>
          <w:numId w:val="44"/>
        </w:numPr>
        <w:rPr>
          <w:lang w:val="en-US"/>
        </w:rPr>
      </w:pPr>
      <w:r>
        <w:rPr>
          <w:lang w:val="en-US"/>
        </w:rPr>
        <w:t xml:space="preserve">[Qualcomm]: Portions of the array that fall outside the visibility region of a cluster see paths to/from that cluster with a high attenuation factor, for e.g. 30 dB. </w:t>
      </w:r>
    </w:p>
    <w:p w14:paraId="6C7A6DE0" w14:textId="77777777" w:rsidR="00E51C28" w:rsidRDefault="00D04239">
      <w:pPr>
        <w:pStyle w:val="a"/>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a"/>
        <w:numPr>
          <w:ilvl w:val="0"/>
          <w:numId w:val="44"/>
        </w:numPr>
        <w:rPr>
          <w:lang w:val="en-US"/>
        </w:rPr>
      </w:pPr>
      <w:r>
        <w:rPr>
          <w:lang w:val="en-US"/>
        </w:rPr>
        <w:t>Option 2: Set to zero [CATT, Qualcomm, ZTE]</w:t>
      </w:r>
    </w:p>
    <w:p w14:paraId="46CA5A79" w14:textId="77777777" w:rsidR="00E51C28" w:rsidRDefault="00D04239">
      <w:pPr>
        <w:pStyle w:val="a"/>
        <w:numPr>
          <w:ilvl w:val="1"/>
          <w:numId w:val="44"/>
        </w:numPr>
        <w:rPr>
          <w:lang w:val="en-US"/>
        </w:rPr>
      </w:pPr>
      <w:r>
        <w:rPr>
          <w:lang w:val="en-US"/>
        </w:rPr>
        <w:t xml:space="preserve">[ZTE]: If a ray/cluster is blocked, the power of the ray/cluster will decrease significantly. From the simulation results, it can be seen that the power of penetration ray/cluster is small enough to ignore in the spatial non-stationary model. </w:t>
      </w:r>
    </w:p>
    <w:p w14:paraId="5BFDBECE" w14:textId="77777777" w:rsidR="00E51C28" w:rsidRDefault="00D04239">
      <w:pPr>
        <w:pStyle w:val="a"/>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a"/>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t>Additionally, [Intel] highlights that large-scale properties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a"/>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uawei, HiSilicon</w:t>
            </w:r>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t xml:space="preserve">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w:t>
      </w:r>
      <w:r>
        <w:rPr>
          <w:rFonts w:ascii="Times New Roman" w:hAnsi="Times New Roman" w:cs="Times New Roman"/>
          <w:szCs w:val="20"/>
        </w:rPr>
        <w:lastRenderedPageBreak/>
        <w:t>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lang w:eastAsia="ja-JP"/>
        </w:rPr>
        <w:t>Option 1</w:t>
      </w:r>
      <w:r>
        <w:rPr>
          <w:rFonts w:ascii="Times New Roman" w:hAnsi="Times New Roman" w:cs="Times New Roman"/>
          <w:szCs w:val="20"/>
        </w:rPr>
        <w:t>: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lang w:eastAsia="ja-JP"/>
        </w:rPr>
        <w:t xml:space="preserve">Option </w:t>
      </w:r>
      <w:r>
        <w:rPr>
          <w:rFonts w:ascii="Times New Roman" w:hAnsi="Times New Roman" w:cs="Times New Roman"/>
          <w:szCs w:val="20"/>
        </w:rPr>
        <w:t>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 on whether or not to consider new paths introduced by blocker.</w:t>
      </w:r>
    </w:p>
    <w:tbl>
      <w:tblPr>
        <w:tblStyle w:val="af5"/>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af5"/>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InterDigital,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Apple, InterDigital,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lastRenderedPageBreak/>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limit;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uawei, HiSilicon</w:t>
            </w:r>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0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986AE6">
      <w:pPr>
        <w:numPr>
          <w:ilvl w:val="3"/>
          <w:numId w:val="0"/>
        </w:numPr>
        <w:spacing w:before="120" w:after="120"/>
        <w:ind w:leftChars="200" w:left="400" w:firstLineChars="230" w:firstLine="460"/>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0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0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lastRenderedPageBreak/>
        <w:t>[BUPT, CMCC, vivo]: Initializes the visible probability of each cluster in the reference element/subarray, and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uawei, HiSilicon</w:t>
            </w:r>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704AE7" w14:paraId="2AD89CDA" w14:textId="77777777">
        <w:trPr>
          <w:trHeight w:val="335"/>
          <w:jc w:val="center"/>
        </w:trPr>
        <w:tc>
          <w:tcPr>
            <w:tcW w:w="1926" w:type="dxa"/>
          </w:tcPr>
          <w:p w14:paraId="23FC95C6" w14:textId="77777777" w:rsidR="00704AE7" w:rsidRDefault="00704AE7" w:rsidP="00704AE7">
            <w:pPr>
              <w:spacing w:before="120" w:after="120"/>
              <w:rPr>
                <w:rFonts w:ascii="Times New Roman" w:hAnsi="Times New Roman" w:cs="Times New Roman"/>
                <w:szCs w:val="20"/>
              </w:rPr>
            </w:pPr>
          </w:p>
        </w:tc>
        <w:tc>
          <w:tcPr>
            <w:tcW w:w="6472" w:type="dxa"/>
          </w:tcPr>
          <w:p w14:paraId="2C0A868D" w14:textId="77777777" w:rsidR="00704AE7" w:rsidRDefault="00704AE7" w:rsidP="00704AE7">
            <w:pPr>
              <w:spacing w:before="120" w:after="120"/>
              <w:rPr>
                <w:rFonts w:ascii="Times New Roman" w:hAnsi="Times New Roman" w:cs="Times New Roman"/>
                <w:szCs w:val="20"/>
              </w:rPr>
            </w:pP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[Huawei]: Define the attenuation factor as a function of distance between the elements and the first-bounce scatterer so as to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[BUPT, CMCC, vivo]: Markov process can be used to guarantee the consistency across antenna elements. And the initial VP of adjacent clusters are similar to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lastRenderedPageBreak/>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af5"/>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uawei, HiSilicon</w:t>
            </w:r>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77777777" w:rsidR="00704AE7" w:rsidRDefault="00704AE7" w:rsidP="00704AE7">
            <w:pPr>
              <w:spacing w:before="120" w:after="120"/>
              <w:rPr>
                <w:rFonts w:ascii="Times New Roman" w:hAnsi="Times New Roman" w:cs="Times New Roman"/>
                <w:szCs w:val="20"/>
              </w:rPr>
            </w:pPr>
          </w:p>
        </w:tc>
        <w:tc>
          <w:tcPr>
            <w:tcW w:w="6472" w:type="dxa"/>
          </w:tcPr>
          <w:p w14:paraId="6A2C5752" w14:textId="77777777" w:rsidR="00704AE7" w:rsidRDefault="00704AE7" w:rsidP="00704AE7">
            <w:pPr>
              <w:spacing w:before="120" w:after="120"/>
              <w:rPr>
                <w:rFonts w:ascii="Times New Roman" w:hAnsi="Times New Roman" w:cs="Times New Roman"/>
                <w:szCs w:val="20"/>
              </w:rPr>
            </w:pP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[InterDigital,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lastRenderedPageBreak/>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he distribution method is also needed to be considered.</w:t>
            </w:r>
          </w:p>
        </w:tc>
      </w:tr>
      <w:tr w:rsidR="00ED023A" w14:paraId="02DAF03A" w14:textId="77777777">
        <w:trPr>
          <w:trHeight w:val="335"/>
          <w:jc w:val="center"/>
        </w:trPr>
        <w:tc>
          <w:tcPr>
            <w:tcW w:w="1926" w:type="dxa"/>
          </w:tcPr>
          <w:p w14:paraId="0AB2F954" w14:textId="77777777" w:rsidR="00ED023A" w:rsidRDefault="00ED023A" w:rsidP="00ED023A">
            <w:pPr>
              <w:spacing w:before="120" w:after="120"/>
              <w:rPr>
                <w:rFonts w:ascii="Times New Roman" w:hAnsi="Times New Roman" w:cs="Times New Roman"/>
                <w:szCs w:val="20"/>
              </w:rPr>
            </w:pPr>
          </w:p>
        </w:tc>
        <w:tc>
          <w:tcPr>
            <w:tcW w:w="6472" w:type="dxa"/>
          </w:tcPr>
          <w:p w14:paraId="0F13BA33" w14:textId="77777777" w:rsidR="00ED023A" w:rsidRDefault="00ED023A" w:rsidP="00ED023A">
            <w:pPr>
              <w:spacing w:before="120" w:after="120"/>
              <w:rPr>
                <w:rFonts w:ascii="Times New Roman" w:hAnsi="Times New Roman" w:cs="Times New Roman"/>
                <w:szCs w:val="20"/>
              </w:rPr>
            </w:pP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[Intel]: Given that the blockage framework is already implemented in TR 38.901 but requires updates for SnS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a"/>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00" w:firstLineChars="200" w:firstLine="40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a"/>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a"/>
        <w:numPr>
          <w:ilvl w:val="0"/>
          <w:numId w:val="44"/>
        </w:numPr>
        <w:spacing w:beforeLines="0" w:afterLines="0"/>
        <w:rPr>
          <w:b/>
          <w:lang w:val="en-US"/>
        </w:rPr>
      </w:pPr>
      <w:r>
        <w:rPr>
          <w:lang w:val="en-US"/>
        </w:rPr>
        <w:lastRenderedPageBreak/>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00" w:firstLineChars="200" w:firstLine="40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a"/>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ray/clsuter,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ray/clsuter,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5"/>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Cs w:val="20"/>
              </w:rPr>
            </w:pPr>
          </w:p>
        </w:tc>
        <w:tc>
          <w:tcPr>
            <w:tcW w:w="6472" w:type="dxa"/>
          </w:tcPr>
          <w:p w14:paraId="723FF8E9" w14:textId="77777777" w:rsidR="00E51C28" w:rsidRDefault="00E51C28">
            <w:pPr>
              <w:spacing w:before="120" w:after="120"/>
              <w:rPr>
                <w:rFonts w:ascii="Times New Roman" w:hAnsi="Times New Roman" w:cs="Times New Roman"/>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details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lastRenderedPageBreak/>
        <w:t>Companies are encouraged to share your views regarding the above content if any.</w:t>
      </w:r>
    </w:p>
    <w:tbl>
      <w:tblPr>
        <w:tblStyle w:val="af5"/>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InterDigital,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HiSilicon</w:t>
      </w:r>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[InterDigital]:</w:t>
      </w:r>
    </w:p>
    <w:p w14:paraId="0D073A9E" w14:textId="77777777" w:rsidR="00E51C28" w:rsidRDefault="003B2BDC">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lastRenderedPageBreak/>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35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986AE6">
                            <w:pPr>
                              <w:pStyle w:val="af3"/>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af3"/>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" filled="f" stroked="f">
                <v:textbox style="mso-fit-shape-to-text:t">
                  <w:txbxContent>
                    <w:p w14:paraId="010BAF06" w14:textId="77777777" w:rsidR="00986AE6" w:rsidRDefault="00986AE6">
                      <w:pPr>
                        <w:pStyle w:val="af3"/>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af3"/>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986AE6">
                            <w:pPr>
                              <w:pStyle w:val="af3"/>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986AE6">
                            <w:pPr>
                              <w:pStyle w:val="af3"/>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" filled="f" stroked="f">
                <v:textbox style="mso-fit-shape-to-text:t">
                  <w:txbxContent>
                    <w:p w14:paraId="005308C2" w14:textId="77777777" w:rsidR="00986AE6" w:rsidRDefault="00986AE6">
                      <w:pPr>
                        <w:pStyle w:val="af3"/>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986AE6">
                      <w:pPr>
                        <w:pStyle w:val="af3"/>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986AE6">
                            <w:pPr>
                              <w:pStyle w:val="af3"/>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" filled="f" stroked="f">
                <v:textbox style="mso-fit-shape-to-text:t">
                  <w:txbxContent>
                    <w:p w14:paraId="25608BC2" w14:textId="77777777" w:rsidR="00986AE6" w:rsidRDefault="00986AE6">
                      <w:pPr>
                        <w:pStyle w:val="af3"/>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direct-path:</w:t>
      </w:r>
    </w:p>
    <w:tbl>
      <w:tblPr>
        <w:tblStyle w:val="af5"/>
        <w:tblW w:w="0" w:type="auto"/>
        <w:jc w:val="center"/>
        <w:tblLook w:val="04A0" w:firstRow="1" w:lastRow="0" w:firstColumn="1" w:lastColumn="0" w:noHBand="0" w:noVBand="1"/>
      </w:tblPr>
      <w:tblGrid>
        <w:gridCol w:w="1271"/>
        <w:gridCol w:w="4394"/>
        <w:gridCol w:w="339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Angle</w:t>
            </w:r>
          </w:p>
        </w:tc>
        <w:tc>
          <w:tcPr>
            <w:tcW w:w="4394" w:type="dxa"/>
          </w:tcPr>
          <w:p w14:paraId="3B818F04" w14:textId="77777777" w:rsidR="00E51C28" w:rsidRDefault="00986AE6">
            <w:pPr>
              <w:spacing w:before="60" w:after="60"/>
              <w:jc w:val="center"/>
              <w:rPr>
                <w:rFonts w:ascii="Times New Roman" w:eastAsia="MS Mincho" w:hAnsi="Times New Roman" w:cs="Times New Roman"/>
                <w:szCs w:val="20"/>
                <w:lang w:val="en-GB" w:eastAsia="ja-JP"/>
              </w:rPr>
            </w:pPr>
            <m:oMathPara>
              <m:oMath>
                <m:sSub>
                  <m:sSubPr>
                    <m:ctrlPr>
                      <w:rPr>
                        <w:rFonts w:ascii="Cambria Math" w:eastAsia="MS Mincho" w:hAnsi="Cambria Math" w:cs="Times New Roman"/>
                        <w:szCs w:val="20"/>
                        <w:lang w:eastAsia="ja-JP"/>
                      </w:rPr>
                    </m:ctrlPr>
                  </m:sSub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ZOD</m:t>
                    </m:r>
                  </m:sub>
                </m:sSub>
                <m:r>
                  <m:rPr>
                    <m:sty m:val="p"/>
                  </m:rPr>
                  <w:rPr>
                    <w:rFonts w:ascii="Cambria Math" w:eastAsia="MS Mincho" w:hAnsi="Cambria Math" w:cs="Times New Roman"/>
                    <w:szCs w:val="20"/>
                    <w:lang w:eastAsia="ja-JP"/>
                  </w:rPr>
                  <m:t>,</m:t>
                </m:r>
                <m:sSub>
                  <m:sSubPr>
                    <m:ctrlPr>
                      <w:rPr>
                        <w:rFonts w:ascii="Cambria Math" w:eastAsia="MS Mincho" w:hAnsi="Cambria Math" w:cs="Times New Roman"/>
                        <w:szCs w:val="20"/>
                        <w:lang w:eastAsia="ja-JP"/>
                      </w:rPr>
                    </m:ctrlPr>
                  </m:sSubPr>
                  <m:e>
                    <m:sSub>
                      <m:sSubPr>
                        <m:ctrlPr>
                          <w:rPr>
                            <w:rFonts w:ascii="Cambria Math" w:eastAsia="MS Mincho" w:hAnsi="Cambria Math" w:cs="Times New Roman"/>
                            <w:szCs w:val="20"/>
                            <w:lang w:eastAsia="ja-JP"/>
                          </w:rPr>
                        </m:ctrlPr>
                      </m:sSubPr>
                      <m:e>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AOD</m:t>
                        </m:r>
                      </m:sub>
                    </m:sSub>
                    <m:r>
                      <m:rPr>
                        <m:sty m:val="p"/>
                      </m:rPr>
                      <w:rPr>
                        <w:rFonts w:ascii="Cambria Math" w:eastAsia="MS Mincho" w:hAnsi="Cambria Math" w:cs="Times New Roman"/>
                        <w:szCs w:val="20"/>
                        <w:lang w:eastAsia="ja-JP"/>
                      </w:rPr>
                      <m:t>,</m:t>
                    </m:r>
                    <m:sSub>
                      <m:sSubPr>
                        <m:ctrlPr>
                          <w:rPr>
                            <w:rFonts w:ascii="Cambria Math" w:eastAsia="MS Mincho" w:hAnsi="Cambria Math" w:cs="Times New Roman"/>
                            <w:szCs w:val="20"/>
                            <w:lang w:eastAsia="ja-JP"/>
                          </w:rPr>
                        </m:ctrlPr>
                      </m:sSub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ZOA</m:t>
                        </m:r>
                      </m:sub>
                    </m:sSub>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AOA</m:t>
                    </m:r>
                  </m:sub>
                </m:sSub>
              </m:oMath>
            </m:oMathPara>
          </w:p>
        </w:tc>
        <w:tc>
          <w:tcPr>
            <w:tcW w:w="3395" w:type="dxa"/>
          </w:tcPr>
          <w:p w14:paraId="74585308" w14:textId="77777777" w:rsidR="00E51C28" w:rsidRDefault="00986AE6">
            <w:pPr>
              <w:spacing w:before="60" w:after="60"/>
              <w:jc w:val="center"/>
              <w:rPr>
                <w:rFonts w:ascii="Times New Roman" w:eastAsia="MS Mincho" w:hAnsi="Times New Roman" w:cs="Times New Roman"/>
                <w:szCs w:val="20"/>
                <w:lang w:val="en-GB" w:eastAsia="ja-JP"/>
              </w:rPr>
            </w:pPr>
            <m:oMathPara>
              <m:oMath>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ZOD</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r>
                  <m:rPr>
                    <m:sty m:val="p"/>
                  </m:rPr>
                  <w:rPr>
                    <w:rFonts w:ascii="Cambria Math" w:eastAsia="MS Mincho" w:hAnsi="Cambria Math" w:cs="Times New Roman"/>
                    <w:szCs w:val="20"/>
                    <w:lang w:eastAsia="ja-JP"/>
                  </w:rPr>
                  <m:t>,</m:t>
                </m:r>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AOD</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r>
                  <m:rPr>
                    <m:sty m:val="p"/>
                  </m:rPr>
                  <w:rPr>
                    <w:rFonts w:ascii="Cambria Math" w:eastAsia="MS Mincho" w:hAnsi="Cambria Math" w:cs="Times New Roman"/>
                    <w:szCs w:val="20"/>
                    <w:lang w:eastAsia="ja-JP"/>
                  </w:rPr>
                  <m:t>,</m:t>
                </m:r>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ZOA</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r>
                  <m:rPr>
                    <m:sty m:val="p"/>
                  </m:rPr>
                  <w:rPr>
                    <w:rFonts w:ascii="Cambria Math" w:eastAsia="MS Mincho" w:hAnsi="Cambria Math" w:cs="Times New Roman"/>
                    <w:szCs w:val="20"/>
                    <w:lang w:eastAsia="ja-JP"/>
                  </w:rPr>
                  <m:t>,</m:t>
                </m:r>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AOA</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lastRenderedPageBreak/>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r>
                          <m:rPr>
                            <m:sty m:val="p"/>
                          </m:rPr>
                          <w:rPr>
                            <w:rFonts w:ascii="Cambria Math" w:eastAsia="MS Mincho" w:hAnsi="Cambria Math" w:cs="Times New Roman"/>
                            <w:szCs w:val="20"/>
                            <w:lang w:eastAsia="ja-JP"/>
                          </w:rPr>
                          <m:t>(</m:t>
                        </m:r>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,LOS</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Sub>
                        <m:r>
                          <m:rPr>
                            <m:sty m:val="p"/>
                          </m:rPr>
                          <w:rPr>
                            <w:rFonts w:ascii="Cambria Math" w:eastAsia="MS Mincho" w:hAnsi="Cambria Math" w:cs="Times New Roman"/>
                            <w:szCs w:val="20"/>
                            <w:lang w:eastAsia="ja-JP"/>
                          </w:rPr>
                          <m:t>)</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r>
                  <w:rPr>
                    <w:rFonts w:ascii="Cambria Math" w:hAnsi="Cambria Math" w:cs="Times New Roman"/>
                    <w:szCs w:val="20"/>
                  </w:rPr>
                  <m:t>∙</m:t>
                </m:r>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d>
                          <m:dPr>
                            <m:ctrlPr>
                              <w:rPr>
                                <w:rFonts w:ascii="Cambria Math" w:eastAsia="MS Mincho" w:hAnsi="Cambria Math" w:cs="Times New Roman"/>
                                <w:bCs/>
                                <w:iCs/>
                                <w:szCs w:val="20"/>
                                <w:lang w:eastAsia="ja-JP"/>
                              </w:rPr>
                            </m:ctrlPr>
                          </m:dPr>
                          <m:e>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,LOS</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sub>
                            </m:sSub>
                          </m:e>
                        </m:d>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r>
                      <w:rPr>
                        <w:rFonts w:ascii="Cambria Math" w:eastAsia="MS Mincho" w:hAnsi="Cambria Math" w:cs="Times New Roman"/>
                        <w:szCs w:val="20"/>
                        <w:lang w:eastAsia="ja-JP"/>
                      </w:rPr>
                      <m:t>-j</m:t>
                    </m:r>
                    <m:f>
                      <m:fPr>
                        <m:ctrlPr>
                          <w:rPr>
                            <w:rFonts w:ascii="Cambria Math" w:eastAsia="MS Mincho" w:hAnsi="Cambria Math" w:cs="Times New Roman"/>
                            <w:bCs/>
                            <w:iCs/>
                            <w:szCs w:val="20"/>
                            <w:lang w:eastAsia="ja-JP"/>
                          </w:rPr>
                        </m:ctrlPr>
                      </m:fPr>
                      <m:num>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d>
                      <m:dPr>
                        <m:ctrlPr>
                          <w:rPr>
                            <w:rFonts w:ascii="Cambria Math" w:eastAsia="MS Mincho" w:hAnsi="Cambria Math" w:cs="Times New Roman"/>
                            <w:bCs/>
                            <w:iCs/>
                            <w:szCs w:val="20"/>
                            <w:lang w:eastAsia="ja-JP"/>
                          </w:rPr>
                        </m:ctrlPr>
                      </m:dPr>
                      <m:e>
                        <m:d>
                          <m:dPr>
                            <m:begChr m:val="|"/>
                            <m:endChr m:val="|"/>
                            <m:ctrlPr>
                              <w:rPr>
                                <w:rFonts w:ascii="Cambria Math" w:eastAsia="MS Mincho" w:hAnsi="Cambria Math" w:cs="Times New Roman"/>
                                <w:bCs/>
                                <w:iCs/>
                                <w:szCs w:val="20"/>
                                <w:lang w:eastAsia="ja-JP"/>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lang w:eastAsia="ja-JP"/>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szCs w:val="20"/>
                        <w:lang w:eastAsia="ja-JP"/>
                      </w:rPr>
                    </m:ctrlPr>
                  </m:dPr>
                  <m:e>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f>
                      <m:fPr>
                        <m:ctrlPr>
                          <w:rPr>
                            <w:rFonts w:ascii="Cambria Math" w:eastAsia="MS Mincho" w:hAnsi="Cambria Math" w:cs="Times New Roman"/>
                            <w:bCs/>
                            <w:szCs w:val="20"/>
                            <w:lang w:eastAsia="ja-JP"/>
                          </w:rPr>
                        </m:ctrlPr>
                      </m:fPr>
                      <m:num>
                        <m:sSubSup>
                          <m:sSubSupPr>
                            <m:ctrlPr>
                              <w:rPr>
                                <w:rFonts w:ascii="Cambria Math" w:eastAsia="MS Mincho" w:hAnsi="Cambria Math" w:cs="Times New Roman"/>
                                <w:bCs/>
                                <w:szCs w:val="20"/>
                                <w:lang w:eastAsia="ja-JP"/>
                              </w:rPr>
                            </m:ctrlPr>
                          </m:sSubSupPr>
                          <m:e>
                            <m:acc>
                              <m:accPr>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r</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LOS</m:t>
                            </m:r>
                          </m:sub>
                          <m:sup>
                            <m:r>
                              <w:rPr>
                                <w:rFonts w:ascii="Cambria Math" w:eastAsia="MS Mincho" w:hAnsi="Cambria Math" w:cs="Times New Roman"/>
                                <w:szCs w:val="20"/>
                                <w:lang w:eastAsia="ja-JP"/>
                              </w:rPr>
                              <m:t>T</m:t>
                            </m:r>
                          </m:sup>
                        </m:sSubSup>
                        <m:r>
                          <m:rPr>
                            <m:sty m:val="p"/>
                          </m:rPr>
                          <w:rPr>
                            <w:rFonts w:ascii="Cambria Math" w:eastAsia="MS Mincho" w:hAnsi="Cambria Math" w:cs="Times New Roman"/>
                            <w:szCs w:val="20"/>
                            <w:lang w:eastAsia="ja-JP"/>
                          </w:rPr>
                          <m:t>∙</m:t>
                        </m:r>
                        <m:acc>
                          <m:accPr>
                            <m:chr m:val="̅"/>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v</m:t>
                            </m:r>
                          </m:e>
                        </m:acc>
                      </m:num>
                      <m:den>
                        <m:sSub>
                          <m:sSubPr>
                            <m:ctrlPr>
                              <w:rPr>
                                <w:rFonts w:ascii="Cambria Math" w:eastAsia="MS Mincho" w:hAnsi="Cambria Math" w:cs="Times New Roman"/>
                                <w:b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r>
                      <w:rPr>
                        <w:rFonts w:ascii="Cambria Math" w:eastAsia="MS Mincho" w:hAnsi="Cambria Math" w:cs="Times New Roman"/>
                        <w:szCs w:val="20"/>
                        <w:lang w:eastAsia="ja-JP"/>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szCs w:val="20"/>
                        <w:lang w:eastAsia="ja-JP"/>
                      </w:rPr>
                    </m:ctrlPr>
                  </m:dPr>
                  <m:e>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f>
                      <m:fPr>
                        <m:ctrlPr>
                          <w:rPr>
                            <w:rFonts w:ascii="Cambria Math" w:eastAsia="MS Mincho" w:hAnsi="Cambria Math" w:cs="Times New Roman"/>
                            <w:bCs/>
                            <w:szCs w:val="20"/>
                            <w:lang w:eastAsia="ja-JP"/>
                          </w:rPr>
                        </m:ctrlPr>
                      </m:fPr>
                      <m:num>
                        <m:sSubSup>
                          <m:sSubSupPr>
                            <m:ctrlPr>
                              <w:rPr>
                                <w:rFonts w:ascii="Cambria Math" w:eastAsia="MS Mincho" w:hAnsi="Cambria Math" w:cs="Times New Roman"/>
                                <w:bCs/>
                                <w:szCs w:val="20"/>
                                <w:lang w:eastAsia="ja-JP"/>
                              </w:rPr>
                            </m:ctrlPr>
                          </m:sSubSupPr>
                          <m:e>
                            <m:acc>
                              <m:accPr>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r</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up>
                            <m:r>
                              <w:rPr>
                                <w:rFonts w:ascii="Cambria Math" w:eastAsia="MS Mincho" w:hAnsi="Cambria Math" w:cs="Times New Roman"/>
                                <w:szCs w:val="20"/>
                                <w:lang w:eastAsia="ja-JP"/>
                              </w:rPr>
                              <m:t>T</m:t>
                            </m:r>
                          </m:sup>
                        </m:sSubSup>
                        <m:r>
                          <m:rPr>
                            <m:sty m:val="p"/>
                          </m:rPr>
                          <w:rPr>
                            <w:rFonts w:ascii="Cambria Math" w:eastAsia="MS Mincho" w:hAnsi="Cambria Math" w:cs="Times New Roman"/>
                            <w:szCs w:val="20"/>
                            <w:lang w:eastAsia="ja-JP"/>
                          </w:rPr>
                          <m:t>∙</m:t>
                        </m:r>
                        <m:acc>
                          <m:accPr>
                            <m:chr m:val="̅"/>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v</m:t>
                            </m:r>
                          </m:e>
                        </m:acc>
                      </m:num>
                      <m:den>
                        <m:sSub>
                          <m:sSubPr>
                            <m:ctrlPr>
                              <w:rPr>
                                <w:rFonts w:ascii="Cambria Math" w:eastAsia="MS Mincho" w:hAnsi="Cambria Math" w:cs="Times New Roman"/>
                                <w:b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r>
                      <w:rPr>
                        <w:rFonts w:ascii="Cambria Math" w:eastAsia="MS Mincho" w:hAnsi="Cambria Math" w:cs="Times New Roman"/>
                        <w:szCs w:val="20"/>
                        <w:lang w:eastAsia="ja-JP"/>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af5"/>
        <w:tblW w:w="0" w:type="auto"/>
        <w:jc w:val="center"/>
        <w:tblLook w:val="04A0" w:firstRow="1" w:lastRow="0" w:firstColumn="1" w:lastColumn="0" w:noHBand="0" w:noVBand="1"/>
      </w:tblPr>
      <w:tblGrid>
        <w:gridCol w:w="1413"/>
        <w:gridCol w:w="4252"/>
        <w:gridCol w:w="3395"/>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Angle</w:t>
            </w:r>
          </w:p>
        </w:tc>
        <w:tc>
          <w:tcPr>
            <w:tcW w:w="4252" w:type="dxa"/>
          </w:tcPr>
          <w:p w14:paraId="2818DC52" w14:textId="77777777" w:rsidR="00E51C28" w:rsidRDefault="00986AE6">
            <w:pPr>
              <w:spacing w:before="60" w:after="60"/>
              <w:jc w:val="center"/>
              <w:rPr>
                <w:rFonts w:ascii="Times New Roman" w:eastAsia="MS Mincho" w:hAnsi="Times New Roman" w:cs="Times New Roman"/>
                <w:szCs w:val="20"/>
                <w:lang w:val="en-GB" w:eastAsia="ja-JP"/>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986AE6">
            <w:pPr>
              <w:spacing w:before="60" w:after="60"/>
              <w:jc w:val="center"/>
              <w:rPr>
                <w:rFonts w:ascii="Times New Roman" w:eastAsia="MS Mincho" w:hAnsi="Times New Roman" w:cs="Times New Roman"/>
                <w:szCs w:val="20"/>
                <w:lang w:val="en-GB" w:eastAsia="ja-JP"/>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r>
                          <m:rPr>
                            <m:sty m:val="p"/>
                          </m:rPr>
                          <w:rPr>
                            <w:rFonts w:ascii="Cambria Math" w:eastAsia="MS Mincho" w:hAnsi="Cambria Math" w:cs="Times New Roman"/>
                            <w:szCs w:val="20"/>
                            <w:lang w:eastAsia="ja-JP"/>
                          </w:rPr>
                          <m:t>(</m:t>
                        </m:r>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Sub>
                        <m:r>
                          <m:rPr>
                            <m:sty m:val="p"/>
                          </m:rPr>
                          <w:rPr>
                            <w:rFonts w:ascii="Cambria Math" w:eastAsia="MS Mincho" w:hAnsi="Cambria Math" w:cs="Times New Roman"/>
                            <w:szCs w:val="20"/>
                            <w:lang w:eastAsia="ja-JP"/>
                          </w:rPr>
                          <m:t>)</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j</m:t>
                    </m:r>
                    <m:f>
                      <m:fPr>
                        <m:ctrlPr>
                          <w:rPr>
                            <w:rFonts w:ascii="Cambria Math" w:eastAsia="MS Mincho" w:hAnsi="Cambria Math" w:cs="Times New Roman"/>
                            <w:bCs/>
                            <w:iCs/>
                            <w:szCs w:val="20"/>
                            <w:lang w:eastAsia="ja-JP"/>
                          </w:rPr>
                        </m:ctrlPr>
                      </m:fPr>
                      <m:num>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d>
                      <m:dPr>
                        <m:ctrlPr>
                          <w:rPr>
                            <w:rFonts w:ascii="Cambria Math" w:eastAsia="MS Mincho" w:hAnsi="Cambria Math" w:cs="Times New Roman"/>
                            <w:bCs/>
                            <w:iCs/>
                            <w:szCs w:val="20"/>
                            <w:lang w:eastAsia="ja-JP"/>
                          </w:rPr>
                        </m:ctrlPr>
                      </m:dPr>
                      <m:e>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Sub>
                          </m:e>
                        </m:d>
                        <m:r>
                          <m:rPr>
                            <m:sty m:val="p"/>
                          </m:rPr>
                          <w:rPr>
                            <w:rFonts w:ascii="Cambria Math" w:eastAsia="MS Mincho" w:hAnsi="Cambria Math" w:cs="Times New Roman"/>
                            <w:szCs w:val="20"/>
                            <w:lang w:eastAsia="ja-JP"/>
                          </w:rPr>
                          <m:t>-</m:t>
                        </m:r>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lang w:eastAsia="ja-JP"/>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d>
                          <m:dPr>
                            <m:ctrlPr>
                              <w:rPr>
                                <w:rFonts w:ascii="Cambria Math" w:eastAsia="MS Mincho" w:hAnsi="Cambria Math" w:cs="Times New Roman"/>
                                <w:bCs/>
                                <w:iCs/>
                                <w:szCs w:val="20"/>
                                <w:lang w:eastAsia="ja-JP"/>
                              </w:rPr>
                            </m:ctrlPr>
                          </m:dPr>
                          <m:e>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sub>
                            </m:sSub>
                          </m:e>
                        </m:d>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r>
                      <w:rPr>
                        <w:rFonts w:ascii="Cambria Math" w:eastAsia="MS Mincho" w:hAnsi="Cambria Math" w:cs="Times New Roman"/>
                        <w:szCs w:val="20"/>
                        <w:lang w:eastAsia="ja-JP"/>
                      </w:rPr>
                      <m:t>-j</m:t>
                    </m:r>
                    <m:f>
                      <m:fPr>
                        <m:ctrlPr>
                          <w:rPr>
                            <w:rFonts w:ascii="Cambria Math" w:eastAsia="MS Mincho" w:hAnsi="Cambria Math" w:cs="Times New Roman"/>
                            <w:bCs/>
                            <w:iCs/>
                            <w:szCs w:val="20"/>
                            <w:lang w:eastAsia="ja-JP"/>
                          </w:rPr>
                        </m:ctrlPr>
                      </m:fPr>
                      <m:num>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d>
                      <m:dPr>
                        <m:ctrlPr>
                          <w:rPr>
                            <w:rFonts w:ascii="Cambria Math" w:eastAsia="MS Mincho" w:hAnsi="Cambria Math" w:cs="Times New Roman"/>
                            <w:bCs/>
                            <w:iCs/>
                            <w:szCs w:val="20"/>
                            <w:lang w:eastAsia="ja-JP"/>
                          </w:rPr>
                        </m:ctrlPr>
                      </m:dPr>
                      <m:e>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sub>
                            </m:sSub>
                          </m:e>
                        </m:d>
                        <m:r>
                          <m:rPr>
                            <m:sty m:val="p"/>
                          </m:rPr>
                          <w:rPr>
                            <w:rFonts w:ascii="Cambria Math" w:eastAsia="MS Mincho" w:hAnsi="Cambria Math" w:cs="Times New Roman"/>
                            <w:szCs w:val="20"/>
                            <w:lang w:eastAsia="ja-JP"/>
                          </w:rPr>
                          <m:t>-</m:t>
                        </m:r>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drawing>
          <wp:inline distT="0" distB="0" distL="0" distR="0" wp14:anchorId="362F3C5E" wp14:editId="64718927">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lastRenderedPageBreak/>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step-wise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lastRenderedPageBreak/>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986AE6">
                            <w:pPr>
                              <w:pStyle w:val="af3"/>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af3"/>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" filled="f" stroked="f">
                <v:textbox style="mso-fit-shape-to-text:t">
                  <w:txbxContent>
                    <w:p w14:paraId="02E3D0EA" w14:textId="77777777" w:rsidR="00986AE6" w:rsidRDefault="00986AE6">
                      <w:pPr>
                        <w:pStyle w:val="af3"/>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af3"/>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986AE6">
                            <w:pPr>
                              <w:pStyle w:val="af3"/>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986AE6">
                            <w:pPr>
                              <w:pStyle w:val="af3"/>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" filled="f" stroked="f">
                <v:textbox style="mso-fit-shape-to-text:t">
                  <w:txbxContent>
                    <w:p w14:paraId="78041895" w14:textId="77777777" w:rsidR="00986AE6" w:rsidRDefault="00986AE6">
                      <w:pPr>
                        <w:pStyle w:val="af3"/>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986AE6">
                      <w:pPr>
                        <w:pStyle w:val="af3"/>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r>
        <w:rPr>
          <w:rFonts w:ascii="Times New Roman" w:hAnsi="Times New Roman" w:cs="Times New Roman"/>
          <w:szCs w:val="20"/>
        </w:rPr>
        <w:t>step-5</w:t>
      </w:r>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r>
        <w:rPr>
          <w:rFonts w:ascii="Times New Roman" w:hAnsi="Times New Roman" w:cs="Times New Roman"/>
          <w:szCs w:val="20"/>
        </w:rPr>
        <w:t>step-</w:t>
      </w:r>
      <w:r>
        <w:rPr>
          <w:rFonts w:ascii="Times New Roman" w:hAnsi="Times New Roman" w:cs="Times New Roman" w:hint="eastAsia"/>
          <w:szCs w:val="20"/>
        </w:rPr>
        <w:t>7,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r>
        <w:rPr>
          <w:rFonts w:ascii="Times New Roman" w:hAnsi="Times New Roman" w:cs="Times New Roman"/>
          <w:szCs w:val="20"/>
        </w:rPr>
        <w:t>step-</w:t>
      </w:r>
      <w:r>
        <w:rPr>
          <w:rFonts w:ascii="Times New Roman" w:hAnsi="Times New Roman" w:cs="Times New Roman" w:hint="eastAsia"/>
          <w:szCs w:val="20"/>
        </w:rPr>
        <w:t>7,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lastRenderedPageBreak/>
        <w:drawing>
          <wp:inline distT="0" distB="0" distL="0" distR="0" wp14:anchorId="14B59D76" wp14:editId="0BD77A0A">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EBC8" w14:textId="77777777" w:rsidR="002E5F8A" w:rsidRDefault="002E5F8A">
      <w:r>
        <w:separator/>
      </w:r>
    </w:p>
  </w:endnote>
  <w:endnote w:type="continuationSeparator" w:id="0">
    <w:p w14:paraId="3A607F92" w14:textId="77777777" w:rsidR="002E5F8A" w:rsidRDefault="002E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1948" w14:textId="77777777" w:rsidR="00986AE6" w:rsidRDefault="00986AE6">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6A4AC6EE" w14:textId="77777777" w:rsidR="00986AE6" w:rsidRDefault="00986AE6">
    <w:pPr>
      <w:pStyle w:val="af"/>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564C" w14:textId="463D8DA4" w:rsidR="00986AE6" w:rsidRDefault="00986AE6">
    <w:pPr>
      <w:pStyle w:val="af"/>
      <w:ind w:right="360"/>
    </w:pPr>
    <w:r>
      <w:rPr>
        <w:rStyle w:val="af7"/>
      </w:rPr>
      <w:fldChar w:fldCharType="begin"/>
    </w:r>
    <w:r>
      <w:rPr>
        <w:rStyle w:val="af7"/>
      </w:rPr>
      <w:instrText xml:space="preserve"> PAGE </w:instrText>
    </w:r>
    <w:r>
      <w:rPr>
        <w:rStyle w:val="af7"/>
      </w:rPr>
      <w:fldChar w:fldCharType="separate"/>
    </w:r>
    <w:r w:rsidR="00815373">
      <w:rPr>
        <w:rStyle w:val="af7"/>
        <w:noProof/>
      </w:rPr>
      <w:t>21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815373">
      <w:rPr>
        <w:rStyle w:val="af7"/>
        <w:noProof/>
      </w:rPr>
      <w:t>30</w:t>
    </w:r>
    <w:r>
      <w:rPr>
        <w:rStyle w:val="af7"/>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6111" w14:textId="77777777" w:rsidR="002E5F8A" w:rsidRDefault="002E5F8A">
      <w:r>
        <w:separator/>
      </w:r>
    </w:p>
  </w:footnote>
  <w:footnote w:type="continuationSeparator" w:id="0">
    <w:p w14:paraId="2B5A5EA7" w14:textId="77777777" w:rsidR="002E5F8A" w:rsidRDefault="002E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a"/>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4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0"/>
  </w:num>
  <w:num w:numId="7">
    <w:abstractNumId w:val="1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2"/>
  </w:num>
  <w:num w:numId="11">
    <w:abstractNumId w:val="25"/>
  </w:num>
  <w:num w:numId="12">
    <w:abstractNumId w:val="44"/>
  </w:num>
  <w:num w:numId="13">
    <w:abstractNumId w:val="23"/>
  </w:num>
  <w:num w:numId="14">
    <w:abstractNumId w:val="6"/>
  </w:num>
  <w:num w:numId="15">
    <w:abstractNumId w:val="47"/>
  </w:num>
  <w:num w:numId="16">
    <w:abstractNumId w:val="13"/>
  </w:num>
  <w:num w:numId="17">
    <w:abstractNumId w:val="21"/>
  </w:num>
  <w:num w:numId="18">
    <w:abstractNumId w:val="27"/>
  </w:num>
  <w:num w:numId="19">
    <w:abstractNumId w:val="14"/>
  </w:num>
  <w:num w:numId="20">
    <w:abstractNumId w:val="35"/>
  </w:num>
  <w:num w:numId="21">
    <w:abstractNumId w:val="16"/>
  </w:num>
  <w:num w:numId="22">
    <w:abstractNumId w:val="34"/>
  </w:num>
  <w:num w:numId="23">
    <w:abstractNumId w:val="2"/>
  </w:num>
  <w:num w:numId="24">
    <w:abstractNumId w:val="0"/>
  </w:num>
  <w:num w:numId="25">
    <w:abstractNumId w:val="22"/>
  </w:num>
  <w:num w:numId="26">
    <w:abstractNumId w:val="31"/>
  </w:num>
  <w:num w:numId="27">
    <w:abstractNumId w:val="20"/>
  </w:num>
  <w:num w:numId="28">
    <w:abstractNumId w:val="30"/>
  </w:num>
  <w:num w:numId="29">
    <w:abstractNumId w:val="9"/>
  </w:num>
  <w:num w:numId="30">
    <w:abstractNumId w:val="28"/>
  </w:num>
  <w:num w:numId="31">
    <w:abstractNumId w:val="3"/>
  </w:num>
  <w:num w:numId="32">
    <w:abstractNumId w:val="39"/>
  </w:num>
  <w:num w:numId="33">
    <w:abstractNumId w:val="43"/>
  </w:num>
  <w:num w:numId="34">
    <w:abstractNumId w:val="46"/>
  </w:num>
  <w:num w:numId="35">
    <w:abstractNumId w:val="49"/>
  </w:num>
  <w:num w:numId="36">
    <w:abstractNumId w:val="18"/>
  </w:num>
  <w:num w:numId="37">
    <w:abstractNumId w:val="24"/>
  </w:num>
  <w:num w:numId="38">
    <w:abstractNumId w:val="19"/>
  </w:num>
  <w:num w:numId="39">
    <w:abstractNumId w:val="1"/>
  </w:num>
  <w:num w:numId="40">
    <w:abstractNumId w:val="4"/>
  </w:num>
  <w:num w:numId="41">
    <w:abstractNumId w:val="26"/>
  </w:num>
  <w:num w:numId="42">
    <w:abstractNumId w:val="12"/>
  </w:num>
  <w:num w:numId="43">
    <w:abstractNumId w:val="38"/>
  </w:num>
  <w:num w:numId="44">
    <w:abstractNumId w:val="17"/>
  </w:num>
  <w:num w:numId="45">
    <w:abstractNumId w:val="41"/>
  </w:num>
  <w:num w:numId="46">
    <w:abstractNumId w:val="8"/>
  </w:num>
  <w:num w:numId="47">
    <w:abstractNumId w:val="5"/>
  </w:num>
  <w:num w:numId="48">
    <w:abstractNumId w:val="7"/>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B2BDC"/>
    <w:pPr>
      <w:widowControl w:val="0"/>
      <w:wordWrap w:val="0"/>
      <w:autoSpaceDE w:val="0"/>
      <w:autoSpaceDN w:val="0"/>
      <w:jc w:val="both"/>
    </w:pPr>
    <w:rPr>
      <w:rFonts w:asciiTheme="minorHAnsi" w:eastAsiaTheme="minorEastAsia" w:hAnsiTheme="minorHAnsi" w:cstheme="minorBidi"/>
      <w:kern w:val="2"/>
      <w:szCs w:val="22"/>
      <w:lang w:eastAsia="ko-KR"/>
    </w:rPr>
  </w:style>
  <w:style w:type="paragraph" w:styleId="1">
    <w:name w:val="heading 1"/>
    <w:basedOn w:val="a3"/>
    <w:next w:val="a2"/>
    <w:link w:val="1Char"/>
    <w:uiPriority w:val="9"/>
    <w:qFormat/>
    <w:pPr>
      <w:keepNext/>
      <w:keepLines/>
      <w:spacing w:before="240"/>
      <w:outlineLvl w:val="0"/>
    </w:pPr>
    <w:rPr>
      <w:rFonts w:asciiTheme="majorHAnsi" w:eastAsiaTheme="majorEastAsia" w:hAnsiTheme="majorHAnsi" w:cstheme="majorBidi"/>
      <w:sz w:val="32"/>
      <w:szCs w:val="32"/>
    </w:rPr>
  </w:style>
  <w:style w:type="paragraph" w:styleId="2">
    <w:name w:val="heading 2"/>
    <w:basedOn w:val="1"/>
    <w:next w:val="a2"/>
    <w:link w:val="2Char"/>
    <w:uiPriority w:val="9"/>
    <w:qFormat/>
    <w:pPr>
      <w:spacing w:after="240"/>
      <w:outlineLvl w:val="1"/>
    </w:pPr>
    <w:rPr>
      <w:rFonts w:ascii="Arial" w:eastAsia="SimHei" w:hAnsi="Arial" w:cs="Times New Roman"/>
      <w:sz w:val="24"/>
      <w:szCs w:val="24"/>
    </w:rPr>
  </w:style>
  <w:style w:type="paragraph" w:styleId="3">
    <w:name w:val="heading 3"/>
    <w:basedOn w:val="2"/>
    <w:next w:val="a2"/>
    <w:link w:val="3Char"/>
    <w:qFormat/>
    <w:pPr>
      <w:spacing w:before="260" w:after="260" w:line="416" w:lineRule="auto"/>
      <w:outlineLvl w:val="2"/>
    </w:pPr>
    <w:rPr>
      <w:bCs/>
      <w:szCs w:val="32"/>
    </w:rPr>
  </w:style>
  <w:style w:type="paragraph" w:styleId="4">
    <w:name w:val="heading 4"/>
    <w:basedOn w:val="3"/>
    <w:next w:val="a2"/>
    <w:link w:val="4Char"/>
    <w:uiPriority w:val="9"/>
    <w:qFormat/>
    <w:pPr>
      <w:ind w:left="1418" w:hanging="1418"/>
      <w:outlineLvl w:val="3"/>
    </w:pPr>
  </w:style>
  <w:style w:type="paragraph" w:styleId="5">
    <w:name w:val="heading 5"/>
    <w:basedOn w:val="4"/>
    <w:next w:val="a2"/>
    <w:link w:val="5Char"/>
    <w:qFormat/>
    <w:pPr>
      <w:ind w:left="1701" w:hanging="1701"/>
      <w:outlineLvl w:val="4"/>
    </w:p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1"/>
    <w:next w:val="a2"/>
    <w:qFormat/>
    <w:pPr>
      <w:outlineLvl w:val="7"/>
    </w:pPr>
  </w:style>
  <w:style w:type="paragraph" w:styleId="9">
    <w:name w:val="heading 9"/>
    <w:basedOn w:val="8"/>
    <w:next w:val="a2"/>
    <w:qFormat/>
    <w:pPr>
      <w:outlineLvl w:val="8"/>
    </w:pPr>
  </w:style>
  <w:style w:type="character" w:default="1" w:styleId="a4">
    <w:name w:val="Default Paragraph Font"/>
    <w:uiPriority w:val="1"/>
    <w:semiHidden/>
    <w:unhideWhenUsed/>
    <w:rsid w:val="003B2BDC"/>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3B2BDC"/>
  </w:style>
  <w:style w:type="paragraph" w:styleId="a3">
    <w:name w:val="header"/>
    <w:basedOn w:val="a2"/>
    <w:link w:val="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5"/>
    <w:next w:val="a2"/>
    <w:qFormat/>
    <w:pPr>
      <w:ind w:left="1985" w:hanging="1985"/>
      <w:outlineLvl w:val="9"/>
    </w:pPr>
  </w:style>
  <w:style w:type="paragraph" w:styleId="30">
    <w:name w:val="List 3"/>
    <w:basedOn w:val="20"/>
    <w:qFormat/>
    <w:pPr>
      <w:ind w:left="1135"/>
    </w:pPr>
  </w:style>
  <w:style w:type="paragraph" w:styleId="20">
    <w:name w:val="List 2"/>
    <w:basedOn w:val="a7"/>
    <w:qFormat/>
    <w:pPr>
      <w:ind w:left="851"/>
    </w:pPr>
  </w:style>
  <w:style w:type="paragraph" w:styleId="a7">
    <w:name w:val="List"/>
    <w:basedOn w:val="a2"/>
    <w:qFormat/>
    <w:pPr>
      <w:ind w:left="568" w:hanging="284"/>
    </w:pPr>
  </w:style>
  <w:style w:type="paragraph" w:styleId="70">
    <w:name w:val="toc 7"/>
    <w:basedOn w:val="60"/>
    <w:next w:val="a2"/>
    <w:semiHidden/>
    <w:qFormat/>
    <w:pPr>
      <w:ind w:left="2268" w:hanging="2268"/>
    </w:pPr>
  </w:style>
  <w:style w:type="paragraph" w:styleId="60">
    <w:name w:val="toc 6"/>
    <w:basedOn w:val="50"/>
    <w:next w:val="a2"/>
    <w:semiHidden/>
    <w:qFormat/>
    <w:pPr>
      <w:ind w:left="1985" w:hanging="1985"/>
    </w:pPr>
  </w:style>
  <w:style w:type="paragraph" w:styleId="50">
    <w:name w:val="toc 5"/>
    <w:basedOn w:val="40"/>
    <w:next w:val="a2"/>
    <w:semiHidden/>
    <w:qFormat/>
    <w:pPr>
      <w:ind w:left="1701" w:hanging="1701"/>
    </w:pPr>
  </w:style>
  <w:style w:type="paragraph" w:styleId="40">
    <w:name w:val="toc 4"/>
    <w:basedOn w:val="31"/>
    <w:next w:val="a2"/>
    <w:semiHidden/>
    <w:qFormat/>
    <w:pPr>
      <w:ind w:left="1418" w:hanging="1418"/>
    </w:pPr>
  </w:style>
  <w:style w:type="paragraph" w:styleId="31">
    <w:name w:val="toc 3"/>
    <w:basedOn w:val="21"/>
    <w:next w:val="a2"/>
    <w:semiHidden/>
    <w:qFormat/>
    <w:pPr>
      <w:ind w:left="1134" w:hanging="1134"/>
    </w:pPr>
  </w:style>
  <w:style w:type="paragraph" w:styleId="21">
    <w:name w:val="toc 2"/>
    <w:basedOn w:val="10"/>
    <w:next w:val="a2"/>
    <w:semiHidden/>
    <w:qFormat/>
    <w:pPr>
      <w:keepNext w:val="0"/>
      <w:spacing w:before="0"/>
      <w:ind w:left="851" w:hanging="851"/>
    </w:pPr>
    <w:rPr>
      <w:sz w:val="20"/>
    </w:rPr>
  </w:style>
  <w:style w:type="paragraph" w:styleId="10">
    <w:name w:val="toc 1"/>
    <w:next w:val="a2"/>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8"/>
    <w:qFormat/>
    <w:pPr>
      <w:ind w:left="851"/>
    </w:pPr>
  </w:style>
  <w:style w:type="paragraph" w:styleId="a8">
    <w:name w:val="List Number"/>
    <w:basedOn w:val="a7"/>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7"/>
    <w:qFormat/>
  </w:style>
  <w:style w:type="paragraph" w:styleId="aa">
    <w:name w:val="caption"/>
    <w:basedOn w:val="a2"/>
    <w:next w:val="a2"/>
    <w:link w:val="Char0"/>
    <w:qFormat/>
    <w:pPr>
      <w:spacing w:before="120" w:after="120"/>
    </w:pPr>
    <w:rPr>
      <w:b/>
      <w:bCs/>
    </w:rPr>
  </w:style>
  <w:style w:type="paragraph" w:styleId="ab">
    <w:name w:val="Document Map"/>
    <w:basedOn w:val="a2"/>
    <w:semiHidden/>
    <w:qFormat/>
    <w:pPr>
      <w:shd w:val="clear" w:color="auto" w:fill="000080"/>
    </w:pPr>
    <w:rPr>
      <w:rFonts w:ascii="Tahoma" w:hAnsi="Tahoma"/>
    </w:rPr>
  </w:style>
  <w:style w:type="paragraph" w:styleId="ac">
    <w:name w:val="annotation text"/>
    <w:basedOn w:val="a2"/>
    <w:link w:val="Char1"/>
    <w:qFormat/>
  </w:style>
  <w:style w:type="paragraph" w:styleId="33">
    <w:name w:val="Body Text 3"/>
    <w:basedOn w:val="a2"/>
    <w:qFormat/>
    <w:rPr>
      <w:i/>
    </w:rPr>
  </w:style>
  <w:style w:type="paragraph" w:styleId="ad">
    <w:name w:val="Body Text"/>
    <w:basedOn w:val="a2"/>
    <w:link w:val="Char2"/>
    <w:qFormat/>
    <w:pPr>
      <w:spacing w:after="120"/>
    </w:pPr>
    <w:rPr>
      <w:rFonts w:ascii="Times" w:hAnsi="Times"/>
    </w:rPr>
  </w:style>
  <w:style w:type="paragraph" w:styleId="51">
    <w:name w:val="List Bullet 5"/>
    <w:basedOn w:val="41"/>
    <w:qFormat/>
    <w:pPr>
      <w:ind w:left="1702"/>
    </w:pPr>
  </w:style>
  <w:style w:type="paragraph" w:styleId="80">
    <w:name w:val="toc 8"/>
    <w:basedOn w:val="10"/>
    <w:next w:val="a2"/>
    <w:semiHidden/>
    <w:qFormat/>
    <w:pPr>
      <w:spacing w:before="180"/>
      <w:ind w:left="2693" w:hanging="2693"/>
    </w:pPr>
    <w:rPr>
      <w:b/>
    </w:rPr>
  </w:style>
  <w:style w:type="paragraph" w:styleId="ae">
    <w:name w:val="Balloon Text"/>
    <w:basedOn w:val="a2"/>
    <w:link w:val="Char3"/>
    <w:qFormat/>
    <w:rPr>
      <w:sz w:val="18"/>
      <w:szCs w:val="18"/>
    </w:rPr>
  </w:style>
  <w:style w:type="paragraph" w:styleId="af">
    <w:name w:val="footer"/>
    <w:basedOn w:val="a2"/>
    <w:link w:val="Char4"/>
    <w:qFormat/>
    <w:pPr>
      <w:tabs>
        <w:tab w:val="center" w:pos="4510"/>
        <w:tab w:val="right" w:pos="9020"/>
      </w:tabs>
    </w:pPr>
    <w:rPr>
      <w:rFonts w:ascii="Arial" w:eastAsia="SimSun" w:hAnsi="Arial" w:cs="Times New Roman"/>
      <w:sz w:val="18"/>
      <w:szCs w:val="18"/>
    </w:rPr>
  </w:style>
  <w:style w:type="paragraph" w:styleId="af0">
    <w:name w:val="Subtitle"/>
    <w:basedOn w:val="a2"/>
    <w:next w:val="a2"/>
    <w:link w:val="Char5"/>
    <w:qFormat/>
    <w:pPr>
      <w:spacing w:after="60"/>
      <w:jc w:val="center"/>
      <w:outlineLvl w:val="1"/>
    </w:pPr>
    <w:rPr>
      <w:rFonts w:ascii="Cambria" w:eastAsia="Times New Roman" w:hAnsi="Cambria"/>
    </w:rPr>
  </w:style>
  <w:style w:type="paragraph" w:styleId="af1">
    <w:name w:val="footnote text"/>
    <w:basedOn w:val="a2"/>
    <w:link w:val="Char6"/>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d"/>
    <w:next w:val="a2"/>
    <w:uiPriority w:val="99"/>
    <w:qFormat/>
    <w:pPr>
      <w:ind w:left="1701" w:hanging="1701"/>
    </w:pPr>
    <w:rPr>
      <w:rFonts w:ascii="Arial" w:hAnsi="Arial"/>
      <w:b/>
    </w:rPr>
  </w:style>
  <w:style w:type="paragraph" w:styleId="90">
    <w:name w:val="toc 9"/>
    <w:basedOn w:val="80"/>
    <w:next w:val="a2"/>
    <w:semiHidden/>
    <w:qFormat/>
    <w:pPr>
      <w:ind w:left="1418" w:hanging="1418"/>
    </w:pPr>
  </w:style>
  <w:style w:type="paragraph" w:styleId="24">
    <w:name w:val="Body Text 2"/>
    <w:basedOn w:val="a2"/>
    <w:qFormat/>
    <w:pPr>
      <w:tabs>
        <w:tab w:val="left" w:pos="1985"/>
      </w:tabs>
    </w:pPr>
  </w:style>
  <w:style w:type="paragraph" w:styleId="af3">
    <w:name w:val="Normal (Web)"/>
    <w:basedOn w:val="a2"/>
    <w:uiPriority w:val="99"/>
    <w:unhideWhenUsed/>
    <w:qFormat/>
    <w:pPr>
      <w:spacing w:before="100" w:beforeAutospacing="1" w:after="100" w:afterAutospacing="1"/>
    </w:pPr>
  </w:style>
  <w:style w:type="paragraph" w:styleId="11">
    <w:name w:val="index 1"/>
    <w:basedOn w:val="a2"/>
    <w:next w:val="a2"/>
    <w:semiHidden/>
    <w:qFormat/>
    <w:pPr>
      <w:keepLines/>
    </w:pPr>
  </w:style>
  <w:style w:type="paragraph" w:styleId="25">
    <w:name w:val="index 2"/>
    <w:basedOn w:val="11"/>
    <w:next w:val="a2"/>
    <w:semiHidden/>
    <w:qFormat/>
    <w:pPr>
      <w:ind w:left="284"/>
    </w:pPr>
  </w:style>
  <w:style w:type="paragraph" w:styleId="af4">
    <w:name w:val="annotation subject"/>
    <w:basedOn w:val="ac"/>
    <w:next w:val="ac"/>
    <w:semiHidden/>
    <w:qFormat/>
    <w:rPr>
      <w:b/>
      <w:bCs/>
    </w:rPr>
  </w:style>
  <w:style w:type="table" w:styleId="af5">
    <w:name w:val="Table Grid"/>
    <w:basedOn w:val="a5"/>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5"/>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basedOn w:val="a4"/>
    <w:uiPriority w:val="22"/>
    <w:qFormat/>
    <w:rPr>
      <w:b/>
      <w:bCs/>
    </w:rPr>
  </w:style>
  <w:style w:type="character" w:styleId="af7">
    <w:name w:val="page number"/>
    <w:basedOn w:val="a4"/>
    <w:qFormat/>
  </w:style>
  <w:style w:type="character" w:styleId="af8">
    <w:name w:val="FollowedHyperlink"/>
    <w:qFormat/>
    <w:rPr>
      <w:color w:val="800080"/>
      <w:u w:val="single"/>
    </w:rPr>
  </w:style>
  <w:style w:type="character" w:styleId="af9">
    <w:name w:val="Emphasis"/>
    <w:basedOn w:val="a4"/>
    <w:uiPriority w:val="20"/>
    <w:qFormat/>
    <w:rPr>
      <w:i/>
      <w:iCs/>
    </w:rPr>
  </w:style>
  <w:style w:type="character" w:styleId="afa">
    <w:name w:val="Hyperlink"/>
    <w:uiPriority w:val="99"/>
    <w:qFormat/>
    <w:rPr>
      <w:color w:val="0000FF"/>
      <w:u w:val="single"/>
    </w:rPr>
  </w:style>
  <w:style w:type="character" w:styleId="afb">
    <w:name w:val="annotation reference"/>
    <w:qFormat/>
    <w:rPr>
      <w:sz w:val="16"/>
      <w:szCs w:val="16"/>
    </w:rPr>
  </w:style>
  <w:style w:type="character" w:styleId="afc">
    <w:name w:val="footnote reference"/>
    <w:qFormat/>
    <w:rPr>
      <w:b/>
      <w:position w:val="6"/>
      <w:sz w:val="16"/>
    </w:rPr>
  </w:style>
  <w:style w:type="character" w:customStyle="1" w:styleId="Char3">
    <w:name w:val="풍선 도움말 텍스트 Char"/>
    <w:basedOn w:val="a4"/>
    <w:link w:val="ae"/>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2"/>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2"/>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a2"/>
    <w:link w:val="THChar"/>
    <w:qFormat/>
    <w:pPr>
      <w:keepNext/>
      <w:keepLines/>
      <w:spacing w:before="60"/>
      <w:jc w:val="center"/>
    </w:pPr>
    <w:rPr>
      <w:b/>
    </w:rPr>
  </w:style>
  <w:style w:type="paragraph" w:customStyle="1" w:styleId="NO">
    <w:name w:val="NO"/>
    <w:basedOn w:val="a2"/>
    <w:qFormat/>
    <w:pPr>
      <w:keepLines/>
      <w:ind w:left="1135" w:hanging="851"/>
    </w:pPr>
  </w:style>
  <w:style w:type="paragraph" w:customStyle="1" w:styleId="EX">
    <w:name w:val="EX"/>
    <w:basedOn w:val="a2"/>
    <w:qFormat/>
    <w:pPr>
      <w:keepLines/>
      <w:ind w:left="1702" w:hanging="1418"/>
    </w:pPr>
  </w:style>
  <w:style w:type="paragraph" w:customStyle="1" w:styleId="FP">
    <w:name w:val="FP"/>
    <w:basedOn w:val="a2"/>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2"/>
    <w:next w:val="a2"/>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7"/>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2"/>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qFormat/>
    <w:pPr>
      <w:tabs>
        <w:tab w:val="right" w:pos="10206"/>
      </w:tabs>
      <w:spacing w:after="220"/>
      <w:ind w:left="1298"/>
    </w:pPr>
  </w:style>
  <w:style w:type="paragraph" w:customStyle="1" w:styleId="00BodyText">
    <w:name w:val="00 BodyText"/>
    <w:basedOn w:val="a2"/>
    <w:qFormat/>
    <w:pPr>
      <w:spacing w:after="220"/>
    </w:pPr>
  </w:style>
  <w:style w:type="paragraph" w:customStyle="1" w:styleId="11BodyText">
    <w:name w:val="11 BodyText"/>
    <w:basedOn w:val="a2"/>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2"/>
    <w:qFormat/>
    <w:pPr>
      <w:tabs>
        <w:tab w:val="left" w:pos="2160"/>
      </w:tabs>
      <w:spacing w:before="120" w:after="120" w:line="280" w:lineRule="atLeast"/>
    </w:pPr>
    <w:rPr>
      <w:rFonts w:ascii="New York" w:hAnsi="New York"/>
    </w:rPr>
  </w:style>
  <w:style w:type="character" w:customStyle="1" w:styleId="1Char">
    <w:name w:val="제목 1 Char"/>
    <w:basedOn w:val="a4"/>
    <w:link w:val="1"/>
    <w:uiPriority w:val="9"/>
    <w:qFormat/>
    <w:rPr>
      <w:rFonts w:asciiTheme="majorHAnsi" w:eastAsiaTheme="majorEastAsia" w:hAnsiTheme="majorHAnsi" w:cstheme="majorBidi"/>
      <w:sz w:val="32"/>
      <w:szCs w:val="32"/>
      <w:lang w:val="en-US" w:eastAsia="en-US"/>
    </w:rPr>
  </w:style>
  <w:style w:type="paragraph" w:customStyle="1" w:styleId="body">
    <w:name w:val="body"/>
    <w:basedOn w:val="a2"/>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2Char">
    <w:name w:val="제목 2 Char"/>
    <w:link w:val="2"/>
    <w:uiPriority w:val="9"/>
    <w:qFormat/>
    <w:rPr>
      <w:rFonts w:ascii="Arial" w:eastAsia="SimHei" w:hAnsi="Arial"/>
      <w:sz w:val="24"/>
      <w:szCs w:val="24"/>
      <w:lang w:val="en-US"/>
    </w:rPr>
  </w:style>
  <w:style w:type="character" w:customStyle="1" w:styleId="3Char">
    <w:name w:val="제목 3 Char"/>
    <w:link w:val="3"/>
    <w:qFormat/>
    <w:rPr>
      <w:rFonts w:asciiTheme="minorHAnsi" w:eastAsia="SimHei" w:hAnsiTheme="minorHAnsi" w:cstheme="minorBidi"/>
      <w:bCs/>
      <w:kern w:val="2"/>
      <w:sz w:val="21"/>
      <w:szCs w:val="32"/>
      <w:lang w:val="en-US"/>
    </w:rPr>
  </w:style>
  <w:style w:type="character" w:customStyle="1" w:styleId="4Char">
    <w:name w:val="제목 4 Char"/>
    <w:link w:val="4"/>
    <w:uiPriority w:val="9"/>
    <w:qFormat/>
    <w:rPr>
      <w:rFonts w:asciiTheme="minorHAnsi" w:eastAsia="SimHei" w:hAnsiTheme="minorHAnsi" w:cstheme="minorBidi"/>
      <w:bCs/>
      <w:kern w:val="2"/>
      <w:sz w:val="21"/>
      <w:szCs w:val="32"/>
      <w:lang w:val="en-US"/>
    </w:rPr>
  </w:style>
  <w:style w:type="character" w:customStyle="1" w:styleId="5Char">
    <w:name w:val="제목 5 Char"/>
    <w:link w:val="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2"/>
    <w:link w:val="Char7"/>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ad"/>
    <w:qFormat/>
    <w:pPr>
      <w:tabs>
        <w:tab w:val="left" w:pos="360"/>
      </w:tabs>
      <w:suppressAutoHyphens/>
    </w:pPr>
    <w:rPr>
      <w:lang w:eastAsia="ar-SA"/>
    </w:rPr>
  </w:style>
  <w:style w:type="character" w:customStyle="1" w:styleId="Char5">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har1">
    <w:name w:val="메모 텍스트 Char"/>
    <w:link w:val="ac"/>
    <w:qFormat/>
    <w:rPr>
      <w:rFonts w:ascii="Times New Roman" w:hAnsi="Times New Roman"/>
      <w:lang w:val="en-GB"/>
    </w:rPr>
  </w:style>
  <w:style w:type="character" w:styleId="afd">
    <w:name w:val="Placeholder Text"/>
    <w:uiPriority w:val="99"/>
    <w:semiHidden/>
    <w:qFormat/>
    <w:rPr>
      <w:color w:val="808080"/>
    </w:rPr>
  </w:style>
  <w:style w:type="character" w:customStyle="1" w:styleId="Char4">
    <w:name w:val="바닥글 Char"/>
    <w:link w:val="af"/>
    <w:qFormat/>
    <w:rPr>
      <w:rFonts w:ascii="Arial" w:eastAsia="SimSun" w:hAnsi="Arial"/>
      <w:sz w:val="18"/>
      <w:szCs w:val="18"/>
      <w:lang w:val="en-US"/>
    </w:rPr>
  </w:style>
  <w:style w:type="paragraph" w:customStyle="1" w:styleId="afe">
    <w:name w:val="样式 页眉"/>
    <w:basedOn w:val="a3"/>
    <w:link w:val="Char8"/>
    <w:qFormat/>
    <w:rPr>
      <w:rFonts w:eastAsia="Arial"/>
      <w:bCs/>
      <w:sz w:val="22"/>
      <w:lang w:val="en-GB"/>
    </w:rPr>
  </w:style>
  <w:style w:type="character" w:customStyle="1" w:styleId="Char8">
    <w:name w:val="样式 页眉 Char"/>
    <w:link w:val="afe"/>
    <w:qFormat/>
    <w:rPr>
      <w:rFonts w:ascii="Arial" w:eastAsia="Arial" w:hAnsi="Arial"/>
      <w:b/>
      <w:bCs/>
      <w:sz w:val="22"/>
      <w:lang w:val="en-GB" w:eastAsia="en-US"/>
    </w:rPr>
  </w:style>
  <w:style w:type="paragraph" w:customStyle="1" w:styleId="StatementHeading">
    <w:name w:val="Statement Heading"/>
    <w:basedOn w:val="a2"/>
    <w:next w:val="StatementBody"/>
    <w:qFormat/>
    <w:pPr>
      <w:keepNext/>
      <w:spacing w:before="100" w:beforeAutospacing="1"/>
      <w:ind w:left="601" w:hanging="601"/>
    </w:pPr>
    <w:rPr>
      <w:rFonts w:eastAsia="바탕"/>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a2"/>
    <w:next w:val="a2"/>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har0">
    <w:name w:val="캡션 Char"/>
    <w:link w:val="aa"/>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
    <w:name w:val="머리글 Char"/>
    <w:link w:val="a3"/>
    <w:qFormat/>
    <w:rPr>
      <w:rFonts w:ascii="Arial" w:eastAsia="SimSun" w:hAnsi="Arial"/>
      <w:sz w:val="18"/>
      <w:szCs w:val="18"/>
      <w:lang w:val="en-US"/>
    </w:rPr>
  </w:style>
  <w:style w:type="paragraph" w:customStyle="1" w:styleId="equation0">
    <w:name w:val="equation"/>
    <w:basedOn w:val="a2"/>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2"/>
    <w:qFormat/>
    <w:pPr>
      <w:spacing w:before="40" w:after="40"/>
    </w:pPr>
    <w:rPr>
      <w:rFonts w:eastAsia="Times New Roman"/>
      <w:b/>
      <w:bCs/>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본문 Char"/>
    <w:link w:val="ad"/>
    <w:qFormat/>
    <w:rPr>
      <w:rFonts w:ascii="Times" w:hAnsi="Times"/>
      <w:szCs w:val="24"/>
    </w:rPr>
  </w:style>
  <w:style w:type="paragraph" w:customStyle="1" w:styleId="a1">
    <w:name w:val="表格题注"/>
    <w:next w:val="a2"/>
    <w:qFormat/>
    <w:pPr>
      <w:keepLines/>
      <w:numPr>
        <w:ilvl w:val="8"/>
        <w:numId w:val="4"/>
      </w:numPr>
      <w:spacing w:beforeLines="100"/>
      <w:ind w:left="1089" w:hanging="369"/>
      <w:jc w:val="center"/>
    </w:pPr>
    <w:rPr>
      <w:rFonts w:ascii="Arial" w:hAnsi="Arial"/>
      <w:sz w:val="18"/>
      <w:szCs w:val="18"/>
    </w:rPr>
  </w:style>
  <w:style w:type="paragraph" w:customStyle="1" w:styleId="a0">
    <w:name w:val="插图题注"/>
    <w:next w:val="a2"/>
    <w:qFormat/>
    <w:pPr>
      <w:numPr>
        <w:ilvl w:val="7"/>
        <w:numId w:val="4"/>
      </w:numPr>
      <w:spacing w:afterLines="100"/>
      <w:ind w:left="1089" w:hanging="369"/>
      <w:jc w:val="center"/>
    </w:pPr>
    <w:rPr>
      <w:rFonts w:ascii="Arial" w:hAnsi="Arial"/>
      <w:sz w:val="18"/>
      <w:szCs w:val="18"/>
    </w:rPr>
  </w:style>
  <w:style w:type="paragraph" w:customStyle="1" w:styleId="Pa4">
    <w:name w:val="Pa4"/>
    <w:basedOn w:val="a2"/>
    <w:next w:val="a2"/>
    <w:uiPriority w:val="99"/>
    <w:qFormat/>
    <w:pPr>
      <w:spacing w:line="173" w:lineRule="atLeast"/>
    </w:pPr>
    <w:rPr>
      <w:rFonts w:ascii="Swift" w:hAnsi="Swift"/>
    </w:rPr>
  </w:style>
  <w:style w:type="table" w:customStyle="1" w:styleId="PlainTable31">
    <w:name w:val="Plain Table 31"/>
    <w:basedOn w:val="a5"/>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5"/>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5"/>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5"/>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qFormat/>
    <w:pPr>
      <w:numPr>
        <w:ilvl w:val="1"/>
        <w:numId w:val="5"/>
      </w:numPr>
    </w:pPr>
    <w:rPr>
      <w:rFonts w:ascii="Times" w:eastAsia="바탕"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a5"/>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바탕" w:hAnsi="Times"/>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바탕"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바탕" w:hAnsi="Times"/>
      <w:lang w:val="en-GB"/>
    </w:rPr>
  </w:style>
  <w:style w:type="table" w:customStyle="1" w:styleId="PlainTable21">
    <w:name w:val="Plain Table 21"/>
    <w:basedOn w:val="a5"/>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7">
    <w:name w:val="목록 단락 Char"/>
    <w:link w:val="a"/>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2"/>
    <w:link w:val="aff"/>
    <w:uiPriority w:val="34"/>
    <w:qFormat/>
    <w:pPr>
      <w:ind w:leftChars="400" w:left="840"/>
    </w:pPr>
    <w:rPr>
      <w:rFonts w:eastAsia="MS Gothic"/>
    </w:rPr>
  </w:style>
  <w:style w:type="character" w:customStyle="1" w:styleId="aff">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a4"/>
    <w:qFormat/>
  </w:style>
  <w:style w:type="paragraph" w:customStyle="1" w:styleId="3GPPHeader">
    <w:name w:val="3GPP_Header"/>
    <w:basedOn w:val="a2"/>
    <w:qFormat/>
    <w:pPr>
      <w:tabs>
        <w:tab w:val="left" w:pos="1800"/>
        <w:tab w:val="right" w:pos="9360"/>
      </w:tabs>
    </w:pPr>
    <w:rPr>
      <w:b/>
    </w:rPr>
  </w:style>
  <w:style w:type="paragraph" w:customStyle="1" w:styleId="Proposal">
    <w:name w:val="Proposal"/>
    <w:basedOn w:val="ad"/>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a2"/>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Char2"/>
    <w:link w:val="IvDbodytext"/>
    <w:qFormat/>
    <w:rPr>
      <w:rFonts w:ascii="Arial" w:eastAsia="MS Mincho" w:hAnsi="Arial"/>
      <w:spacing w:val="2"/>
      <w:sz w:val="22"/>
      <w:szCs w:val="24"/>
      <w:lang w:val="en-GB" w:eastAsia="en-US"/>
    </w:rPr>
  </w:style>
  <w:style w:type="paragraph" w:customStyle="1" w:styleId="Eqn">
    <w:name w:val="Eqn"/>
    <w:basedOn w:val="a2"/>
    <w:qFormat/>
    <w:pPr>
      <w:tabs>
        <w:tab w:val="center" w:pos="4608"/>
        <w:tab w:val="right" w:pos="9216"/>
      </w:tabs>
      <w:snapToGrid w:val="0"/>
      <w:spacing w:after="120"/>
    </w:pPr>
  </w:style>
  <w:style w:type="paragraph" w:customStyle="1" w:styleId="Doc-text2">
    <w:name w:val="Doc-text2"/>
    <w:basedOn w:val="a2"/>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4"/>
    <w:qFormat/>
  </w:style>
  <w:style w:type="paragraph" w:customStyle="1" w:styleId="Observation">
    <w:name w:val="Observation"/>
    <w:basedOn w:val="Proposal"/>
    <w:qFormat/>
    <w:pPr>
      <w:numPr>
        <w:numId w:val="9"/>
      </w:numPr>
      <w:tabs>
        <w:tab w:val="clear" w:pos="1304"/>
      </w:tabs>
      <w:ind w:left="1701" w:hanging="1701"/>
    </w:pPr>
  </w:style>
  <w:style w:type="paragraph" w:customStyle="1" w:styleId="14">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5">
    <w:name w:val="明显参考1"/>
    <w:basedOn w:val="a4"/>
    <w:uiPriority w:val="32"/>
    <w:qFormat/>
    <w:rPr>
      <w:b/>
      <w:bCs/>
      <w:smallCaps/>
      <w:color w:val="5B9BD5" w:themeColor="accent1"/>
      <w:spacing w:val="5"/>
    </w:rPr>
  </w:style>
  <w:style w:type="character" w:customStyle="1" w:styleId="Char6">
    <w:name w:val="각주 텍스트 Char"/>
    <w:link w:val="af1"/>
    <w:qFormat/>
    <w:rPr>
      <w:rFonts w:eastAsia="SimSun"/>
      <w:sz w:val="16"/>
      <w:lang w:val="en-GB" w:eastAsia="en-US"/>
    </w:rPr>
  </w:style>
  <w:style w:type="paragraph" w:customStyle="1" w:styleId="TdocHeader2">
    <w:name w:val="Tdoc_Header_2"/>
    <w:basedOn w:val="a2"/>
    <w:qFormat/>
    <w:pPr>
      <w:tabs>
        <w:tab w:val="left" w:pos="1701"/>
        <w:tab w:val="right" w:pos="9072"/>
        <w:tab w:val="right" w:pos="10206"/>
      </w:tabs>
    </w:pPr>
    <w:rPr>
      <w:rFonts w:eastAsia="바탕"/>
      <w:b/>
      <w:sz w:val="18"/>
    </w:rPr>
  </w:style>
  <w:style w:type="character" w:customStyle="1" w:styleId="B2Char">
    <w:name w:val="B2 Char"/>
    <w:basedOn w:val="a4"/>
    <w:link w:val="B2"/>
    <w:qFormat/>
    <w:rPr>
      <w:rFonts w:eastAsia="SimSun"/>
      <w:lang w:val="en-GB" w:eastAsia="en-US"/>
    </w:rPr>
  </w:style>
  <w:style w:type="paragraph" w:customStyle="1" w:styleId="26">
    <w:name w:val="正文2"/>
    <w:qFormat/>
    <w:pPr>
      <w:spacing w:before="100" w:beforeAutospacing="1" w:after="180"/>
    </w:pPr>
    <w:rPr>
      <w:sz w:val="24"/>
      <w:szCs w:val="24"/>
    </w:rPr>
  </w:style>
  <w:style w:type="paragraph" w:customStyle="1" w:styleId="410">
    <w:name w:val="标题 41"/>
    <w:basedOn w:val="a2"/>
    <w:next w:val="26"/>
    <w:qFormat/>
    <w:pPr>
      <w:keepNext/>
      <w:keepLines/>
      <w:spacing w:before="120"/>
      <w:ind w:left="1418" w:hanging="1418"/>
      <w:outlineLvl w:val="3"/>
    </w:pPr>
    <w:rPr>
      <w:rFonts w:eastAsia="Times New Roman"/>
    </w:rPr>
  </w:style>
  <w:style w:type="paragraph" w:customStyle="1" w:styleId="Paragraphedeliste">
    <w:name w:val="Paragraphe de liste"/>
    <w:basedOn w:val="a2"/>
    <w:qFormat/>
    <w:pPr>
      <w:spacing w:before="100" w:beforeAutospacing="1" w:line="256" w:lineRule="auto"/>
      <w:ind w:left="720"/>
      <w:contextualSpacing/>
    </w:pPr>
    <w:rPr>
      <w:rFonts w:ascii="Calibri" w:hAnsi="Calibri" w:cs="Calibri"/>
    </w:rPr>
  </w:style>
  <w:style w:type="character" w:customStyle="1" w:styleId="aff0">
    <w:name w:val="页眉 字符"/>
    <w:qFormat/>
    <w:rPr>
      <w:rFonts w:ascii="Arial" w:eastAsia="MS Mincho" w:hAnsi="Arial" w:cs="Times New Roman"/>
      <w:b/>
      <w:sz w:val="20"/>
      <w:szCs w:val="24"/>
      <w:lang w:val="en-US"/>
    </w:rPr>
  </w:style>
  <w:style w:type="paragraph" w:customStyle="1" w:styleId="AppNum">
    <w:name w:val="AppNum"/>
    <w:basedOn w:val="a2"/>
    <w:qFormat/>
    <w:pPr>
      <w:numPr>
        <w:numId w:val="10"/>
      </w:numPr>
      <w:suppressAutoHyphens/>
      <w:spacing w:after="360" w:line="360" w:lineRule="exact"/>
    </w:pPr>
    <w:rPr>
      <w:rFonts w:eastAsia="Times New Roman"/>
      <w:bCs/>
    </w:rPr>
  </w:style>
  <w:style w:type="paragraph" w:styleId="aff1">
    <w:name w:val="No Spacing"/>
    <w:basedOn w:val="a2"/>
    <w:link w:val="Char9"/>
    <w:uiPriority w:val="1"/>
    <w:qFormat/>
    <w:pPr>
      <w:spacing w:before="120" w:after="120"/>
    </w:pPr>
    <w:rPr>
      <w:rFonts w:eastAsia="나눔바른고딕"/>
      <w:lang w:bidi="en-US"/>
    </w:rPr>
  </w:style>
  <w:style w:type="character" w:customStyle="1" w:styleId="Char9">
    <w:name w:val="간격 없음 Char"/>
    <w:basedOn w:val="a4"/>
    <w:link w:val="aff1"/>
    <w:uiPriority w:val="1"/>
    <w:qFormat/>
    <w:rPr>
      <w:rFonts w:ascii="Arial" w:eastAsia="나눔바른고딕" w:hAnsi="Arial" w:cstheme="minorBidi"/>
      <w:lang w:eastAsia="en-US" w:bidi="en-US"/>
    </w:rPr>
  </w:style>
  <w:style w:type="paragraph" w:customStyle="1" w:styleId="paragraph">
    <w:name w:val="paragraph"/>
    <w:basedOn w:val="a2"/>
    <w:qFormat/>
    <w:pPr>
      <w:spacing w:before="100" w:beforeAutospacing="1" w:after="100" w:afterAutospacing="1"/>
    </w:pPr>
    <w:rPr>
      <w:rFonts w:eastAsia="Times New Roman"/>
      <w:lang w:eastAsia="en-GB"/>
    </w:rPr>
  </w:style>
  <w:style w:type="character" w:customStyle="1" w:styleId="normaltextrun">
    <w:name w:val="normaltextrun"/>
    <w:basedOn w:val="a4"/>
    <w:qFormat/>
  </w:style>
  <w:style w:type="character" w:customStyle="1" w:styleId="eop">
    <w:name w:val="eop"/>
    <w:basedOn w:val="a4"/>
    <w:qFormat/>
  </w:style>
  <w:style w:type="paragraph" w:customStyle="1" w:styleId="TitleText">
    <w:name w:val="Title Text"/>
    <w:basedOn w:val="00BodyText"/>
    <w:next w:val="a2"/>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ff2">
    <w:name w:val="表格文本"/>
    <w:qFormat/>
    <w:pPr>
      <w:tabs>
        <w:tab w:val="decimal" w:pos="0"/>
      </w:tabs>
    </w:pPr>
    <w:rPr>
      <w:rFonts w:ascii="Arial" w:hAnsi="Arial"/>
      <w:sz w:val="21"/>
      <w:szCs w:val="21"/>
    </w:rPr>
  </w:style>
  <w:style w:type="paragraph" w:customStyle="1" w:styleId="aff3">
    <w:name w:val="表头文本"/>
    <w:qFormat/>
    <w:pPr>
      <w:jc w:val="center"/>
    </w:pPr>
    <w:rPr>
      <w:rFonts w:ascii="Arial" w:hAnsi="Arial"/>
      <w:b/>
      <w:sz w:val="21"/>
      <w:szCs w:val="21"/>
    </w:rPr>
  </w:style>
  <w:style w:type="table" w:customStyle="1" w:styleId="aff4">
    <w:name w:val="表样式"/>
    <w:basedOn w:val="a5"/>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ff5">
    <w:name w:val="图样式"/>
    <w:basedOn w:val="a2"/>
    <w:qFormat/>
    <w:pPr>
      <w:keepNext/>
      <w:spacing w:before="80" w:after="80"/>
      <w:jc w:val="center"/>
    </w:pPr>
  </w:style>
  <w:style w:type="paragraph" w:customStyle="1" w:styleId="aff6">
    <w:name w:val="文档标题"/>
    <w:basedOn w:val="a2"/>
    <w:qFormat/>
    <w:pPr>
      <w:tabs>
        <w:tab w:val="left" w:pos="0"/>
      </w:tabs>
      <w:spacing w:before="300" w:after="300"/>
      <w:jc w:val="center"/>
    </w:pPr>
    <w:rPr>
      <w:rFonts w:eastAsia="SimHei"/>
      <w:sz w:val="36"/>
      <w:szCs w:val="36"/>
    </w:rPr>
  </w:style>
  <w:style w:type="paragraph" w:customStyle="1" w:styleId="aff7">
    <w:name w:val="正文（首行不缩进）"/>
    <w:basedOn w:val="a2"/>
    <w:qFormat/>
  </w:style>
  <w:style w:type="paragraph" w:customStyle="1" w:styleId="aff8">
    <w:name w:val="注示头"/>
    <w:basedOn w:val="a2"/>
    <w:qFormat/>
    <w:pPr>
      <w:pBdr>
        <w:top w:val="single" w:sz="4" w:space="1" w:color="000000"/>
      </w:pBdr>
    </w:pPr>
    <w:rPr>
      <w:rFonts w:eastAsia="SimHei"/>
      <w:sz w:val="18"/>
    </w:rPr>
  </w:style>
  <w:style w:type="paragraph" w:customStyle="1" w:styleId="aff9">
    <w:name w:val="注示文本"/>
    <w:basedOn w:val="a2"/>
    <w:qFormat/>
    <w:pPr>
      <w:pBdr>
        <w:bottom w:val="single" w:sz="4" w:space="1" w:color="000000"/>
      </w:pBdr>
      <w:ind w:firstLine="360"/>
    </w:pPr>
    <w:rPr>
      <w:rFonts w:eastAsia="KaiTi_GB2312"/>
      <w:sz w:val="18"/>
      <w:szCs w:val="18"/>
    </w:rPr>
  </w:style>
  <w:style w:type="paragraph" w:customStyle="1" w:styleId="affa">
    <w:name w:val="编写建议"/>
    <w:basedOn w:val="a2"/>
    <w:qFormat/>
    <w:pPr>
      <w:ind w:firstLine="420"/>
    </w:pPr>
    <w:rPr>
      <w:rFonts w:cs="Arial"/>
      <w:i/>
      <w:color w:val="0000FF"/>
    </w:rPr>
  </w:style>
  <w:style w:type="character" w:customStyle="1" w:styleId="affb">
    <w:name w:val="样式一"/>
    <w:basedOn w:val="a4"/>
    <w:qFormat/>
    <w:rPr>
      <w:rFonts w:ascii="SimSun" w:hAnsi="SimSun"/>
      <w:b/>
      <w:bCs/>
      <w:color w:val="000000"/>
      <w:sz w:val="36"/>
    </w:rPr>
  </w:style>
  <w:style w:type="character" w:customStyle="1" w:styleId="affc">
    <w:name w:val="样式二"/>
    <w:basedOn w:val="affb"/>
    <w:qFormat/>
    <w:rPr>
      <w:rFonts w:ascii="SimSun" w:hAnsi="SimSun"/>
      <w:b/>
      <w:bCs/>
      <w:color w:val="000000"/>
      <w:sz w:val="36"/>
    </w:rPr>
  </w:style>
  <w:style w:type="character" w:customStyle="1" w:styleId="fontstyle01">
    <w:name w:val="fontstyle01"/>
    <w:basedOn w:val="a4"/>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6">
    <w:name w:val="书籍标题1"/>
    <w:basedOn w:val="a4"/>
    <w:uiPriority w:val="33"/>
    <w:qFormat/>
    <w:rPr>
      <w:b/>
      <w:bCs/>
      <w:i/>
      <w:iCs/>
      <w:spacing w:val="5"/>
    </w:rPr>
  </w:style>
  <w:style w:type="paragraph" w:customStyle="1" w:styleId="Bullets">
    <w:name w:val="Bullets"/>
    <w:basedOn w:val="a2"/>
    <w:qFormat/>
    <w:pPr>
      <w:overflowPunct w:val="0"/>
      <w:adjustRightInd w:val="0"/>
      <w:spacing w:after="180"/>
      <w:ind w:left="720" w:hanging="360"/>
      <w:textAlignment w:val="baseline"/>
    </w:pPr>
    <w:rPr>
      <w:rFonts w:ascii="Times New Roman" w:eastAsia="바탕"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0">
    <w:name w:val="清单表 31"/>
    <w:basedOn w:val="a5"/>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7">
    <w:name w:val="修订2"/>
    <w:hidden/>
    <w:uiPriority w:val="99"/>
    <w:semiHidden/>
    <w:qFormat/>
    <w:rPr>
      <w:rFonts w:asciiTheme="minorHAnsi" w:eastAsiaTheme="minorEastAsia" w:hAnsiTheme="minorHAnsi" w:cstheme="minorBidi"/>
      <w:sz w:val="22"/>
      <w:szCs w:val="22"/>
    </w:rPr>
  </w:style>
  <w:style w:type="paragraph" w:customStyle="1" w:styleId="34">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30</Pages>
  <Words>9274</Words>
  <Characters>52862</Characters>
  <Application>Microsoft Office Word</Application>
  <DocSecurity>0</DocSecurity>
  <Lines>440</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62012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samsung</cp:lastModifiedBy>
  <cp:revision>2</cp:revision>
  <cp:lastPrinted>2011-11-11T01:49:00Z</cp:lastPrinted>
  <dcterms:created xsi:type="dcterms:W3CDTF">2024-05-20T02:22:00Z</dcterms:created>
  <dcterms:modified xsi:type="dcterms:W3CDTF">2024-05-20T02:22:00Z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