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23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proofErr w:type="gramStart"/>
      <w:r>
        <w:t>This documents</w:t>
      </w:r>
      <w:proofErr w:type="gramEnd"/>
      <w:r>
        <w:t xml:space="preserve">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aff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r>
              <w:t>Taesang Yoo</w:t>
            </w:r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 xml:space="preserve">Vahid </w:t>
            </w:r>
            <w:proofErr w:type="spellStart"/>
            <w:r>
              <w:t>Pourahmadi</w:t>
            </w:r>
            <w:proofErr w:type="spellEnd"/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宋体" w:eastAsia="宋体" w:hAnsi="宋体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r>
              <w:t>Ameha Tsegaye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>Anil Kumar Yerrapragada</w:t>
            </w:r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 xml:space="preserve">WANG </w:t>
            </w:r>
            <w:proofErr w:type="spellStart"/>
            <w:r>
              <w:t>Guotong</w:t>
            </w:r>
            <w:proofErr w:type="spellEnd"/>
            <w:r>
              <w:t xml:space="preserve">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proofErr w:type="spellStart"/>
            <w:r>
              <w:rPr>
                <w:rFonts w:eastAsiaTheme="minorEastAsia"/>
                <w:szCs w:val="20"/>
                <w:lang w:eastAsia="ko-KR"/>
              </w:rPr>
              <w:t>Yunesung</w:t>
            </w:r>
            <w:proofErr w:type="spellEnd"/>
            <w:r>
              <w:rPr>
                <w:rFonts w:eastAsiaTheme="minorEastAsia"/>
                <w:szCs w:val="20"/>
                <w:lang w:eastAsia="ko-KR"/>
              </w:rPr>
              <w:t xml:space="preserve">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r>
              <w:t>Mavenir</w:t>
            </w:r>
          </w:p>
        </w:tc>
        <w:tc>
          <w:tcPr>
            <w:tcW w:w="2736" w:type="dxa"/>
          </w:tcPr>
          <w:p w14:paraId="5060336E" w14:textId="77777777" w:rsidR="00C83B63" w:rsidRDefault="005B0E11">
            <w:r>
              <w:t>Ali Fatih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624555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ae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Wendong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Xin Wang</w:t>
            </w:r>
          </w:p>
          <w:p w14:paraId="14BAA2D0" w14:textId="77777777" w:rsidR="00C83B63" w:rsidRDefault="005B0E11">
            <w:r>
              <w:rPr>
                <w:rFonts w:eastAsia="宋体"/>
                <w:lang w:eastAsia="zh-CN"/>
              </w:rPr>
              <w:t>Haruhi Echigo</w:t>
            </w:r>
          </w:p>
        </w:tc>
        <w:tc>
          <w:tcPr>
            <w:tcW w:w="3896" w:type="dxa"/>
          </w:tcPr>
          <w:p w14:paraId="5704C1E1" w14:textId="77777777" w:rsidR="00C83B63" w:rsidRDefault="00624555">
            <w:pPr>
              <w:rPr>
                <w:rFonts w:eastAsia="宋体"/>
                <w:lang w:eastAsia="zh-CN"/>
              </w:rPr>
            </w:pPr>
            <w:hyperlink r:id="rId13">
              <w:r w:rsidR="005B0E11">
                <w:rPr>
                  <w:rStyle w:val="ae"/>
                  <w:rFonts w:eastAsia="宋体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proofErr w:type="spellStart"/>
            <w:r>
              <w:t>Anseok</w:t>
            </w:r>
            <w:proofErr w:type="spellEnd"/>
            <w:r>
              <w:t xml:space="preserve">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B230FE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624555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ae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624555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ae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Lun Li</w:t>
            </w:r>
          </w:p>
          <w:p w14:paraId="1B943DD3" w14:textId="77777777" w:rsidR="00C83B63" w:rsidRDefault="005B0E11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Xingguang</w:t>
            </w:r>
            <w:proofErr w:type="spellEnd"/>
            <w:r>
              <w:rPr>
                <w:rFonts w:eastAsia="宋体"/>
                <w:lang w:eastAsia="zh-CN"/>
              </w:rPr>
              <w:t xml:space="preserve"> Wei</w:t>
            </w:r>
          </w:p>
        </w:tc>
        <w:tc>
          <w:tcPr>
            <w:tcW w:w="3896" w:type="dxa"/>
          </w:tcPr>
          <w:p w14:paraId="21147F8D" w14:textId="77777777" w:rsidR="00C83B63" w:rsidRDefault="00624555">
            <w:pPr>
              <w:rPr>
                <w:rFonts w:eastAsia="宋体"/>
                <w:lang w:eastAsia="zh-CN"/>
              </w:rPr>
            </w:pPr>
            <w:hyperlink r:id="rId16">
              <w:r w:rsidR="005B0E11">
                <w:rPr>
                  <w:rStyle w:val="ae"/>
                  <w:rFonts w:eastAsia="宋体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proofErr w:type="spellStart"/>
            <w:r>
              <w:t>Shyam</w:t>
            </w:r>
            <w:proofErr w:type="spellEnd"/>
            <w:r>
              <w:t xml:space="preserve"> Vijay </w:t>
            </w:r>
            <w:proofErr w:type="spellStart"/>
            <w:r>
              <w:t>Gadhai</w:t>
            </w:r>
            <w:proofErr w:type="spellEnd"/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624555">
            <w:hyperlink r:id="rId17">
              <w:r w:rsidR="005B0E11">
                <w:rPr>
                  <w:rStyle w:val="ae"/>
                </w:rPr>
                <w:t>svgadhai@iitk.ac.in</w:t>
              </w:r>
            </w:hyperlink>
          </w:p>
          <w:p w14:paraId="08BD3073" w14:textId="77777777" w:rsidR="00C83B63" w:rsidRDefault="00624555">
            <w:hyperlink r:id="rId18">
              <w:r w:rsidR="005B0E11">
                <w:rPr>
                  <w:rStyle w:val="ae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r>
              <w:t>Spreadtrum</w:t>
            </w:r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proofErr w:type="spellStart"/>
            <w:r>
              <w:rPr>
                <w:lang w:eastAsia="ko-KR"/>
              </w:rPr>
              <w:t>Jaehoon</w:t>
            </w:r>
            <w:proofErr w:type="spellEnd"/>
            <w:r>
              <w:rPr>
                <w:lang w:eastAsia="ko-KR"/>
              </w:rPr>
              <w:t xml:space="preserve">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proofErr w:type="spellStart"/>
            <w:r>
              <w:t>Qianrui</w:t>
            </w:r>
            <w:proofErr w:type="spellEnd"/>
            <w:r>
              <w:rPr>
                <w:rFonts w:eastAsia="宋体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宋体"/>
                <w:lang w:eastAsia="zh-CN"/>
              </w:rPr>
              <w:t>l</w:t>
            </w:r>
            <w:r>
              <w:t>iqianrui</w:t>
            </w:r>
            <w:r>
              <w:rPr>
                <w:rFonts w:eastAsia="宋体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>Victor Sergeev</w:t>
            </w:r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宋体" w:eastAsia="宋体" w:hAnsi="宋体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Cs w:val="20"/>
                <w:lang w:eastAsia="zh-CN"/>
              </w:rPr>
              <w:t>Liuzhengxuan</w:t>
            </w:r>
            <w:proofErr w:type="spellEnd"/>
          </w:p>
          <w:p w14:paraId="51480BAB" w14:textId="77777777" w:rsidR="00C83B63" w:rsidRDefault="005B0E11">
            <w:proofErr w:type="spellStart"/>
            <w:r>
              <w:rPr>
                <w:rFonts w:ascii="宋体" w:eastAsia="宋体" w:hAnsi="宋体"/>
                <w:szCs w:val="20"/>
                <w:lang w:eastAsia="zh-CN"/>
              </w:rPr>
              <w:t>Liumin</w:t>
            </w:r>
            <w:proofErr w:type="spellEnd"/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宋体" w:eastAsia="宋体" w:hAnsi="宋体"/>
                <w:szCs w:val="20"/>
                <w:lang w:eastAsia="zh-CN"/>
              </w:rPr>
            </w:pPr>
            <w:r>
              <w:rPr>
                <w:rFonts w:ascii="宋体" w:eastAsia="宋体" w:hAnsi="宋体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t>Isfar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Tariq</w:t>
            </w:r>
          </w:p>
          <w:p w14:paraId="63752CCC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Salam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Akoum</w:t>
            </w:r>
            <w:proofErr w:type="spellEnd"/>
          </w:p>
        </w:tc>
        <w:tc>
          <w:tcPr>
            <w:tcW w:w="3896" w:type="dxa"/>
          </w:tcPr>
          <w:p w14:paraId="21448A58" w14:textId="77777777" w:rsidR="00C83B63" w:rsidRDefault="00624555">
            <w:pPr>
              <w:rPr>
                <w:rFonts w:eastAsia="宋体"/>
                <w:szCs w:val="20"/>
                <w:lang w:eastAsia="zh-CN"/>
              </w:rPr>
            </w:pPr>
            <w:hyperlink r:id="rId19">
              <w:r w:rsidR="005B0E11">
                <w:rPr>
                  <w:rStyle w:val="ae"/>
                  <w:rFonts w:eastAsia="宋体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624555">
            <w:pPr>
              <w:rPr>
                <w:rFonts w:eastAsia="宋体"/>
                <w:szCs w:val="20"/>
                <w:lang w:eastAsia="zh-CN"/>
              </w:rPr>
            </w:pPr>
            <w:hyperlink r:id="rId20">
              <w:r w:rsidR="005B0E11">
                <w:rPr>
                  <w:rStyle w:val="ae"/>
                  <w:rFonts w:eastAsia="宋体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宋体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Yuhua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624555">
            <w:pPr>
              <w:pStyle w:val="af7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ae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624555">
            <w:pPr>
              <w:pStyle w:val="af7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ae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Xingqin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624555">
            <w:pPr>
              <w:pStyle w:val="af7"/>
              <w:spacing w:before="0" w:after="0" w:line="300" w:lineRule="auto"/>
            </w:pPr>
            <w:hyperlink r:id="rId23">
              <w:r w:rsidR="005B0E11">
                <w:rPr>
                  <w:rStyle w:val="ae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proofErr w:type="spellStart"/>
            <w:r>
              <w:rPr>
                <w:rFonts w:eastAsia="Yu Mincho"/>
                <w:szCs w:val="20"/>
                <w:lang w:eastAsia="ja-JP"/>
              </w:rPr>
              <w:t>Pedram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Kheirkhah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Sangdeh</w:t>
            </w:r>
            <w:proofErr w:type="spellEnd"/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af7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Futurewei</w:t>
            </w:r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Baoling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624555">
            <w:pPr>
              <w:pStyle w:val="af7"/>
              <w:spacing w:before="0" w:after="0" w:line="300" w:lineRule="auto"/>
            </w:pPr>
            <w:hyperlink r:id="rId24">
              <w:r w:rsidR="005B0E11">
                <w:rPr>
                  <w:rStyle w:val="ae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t>Yunsheng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Kuang</w:t>
            </w:r>
            <w:proofErr w:type="spellEnd"/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eastAsia="宋体"/>
                <w:szCs w:val="20"/>
                <w:lang w:eastAsia="zh-CN"/>
              </w:rPr>
              <w:t>CEWiT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>(</w:t>
            </w:r>
            <w:proofErr w:type="gramEnd"/>
            <w:r>
              <w:rPr>
                <w:rFonts w:eastAsia="宋体"/>
                <w:szCs w:val="20"/>
                <w:lang w:eastAsia="zh-CN"/>
              </w:rPr>
              <w:t>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lastRenderedPageBreak/>
              <w:t>Dhivagar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624555">
            <w:pPr>
              <w:pStyle w:val="af7"/>
              <w:spacing w:before="0" w:after="0" w:line="300" w:lineRule="auto"/>
              <w:rPr>
                <w:rStyle w:val="ae"/>
              </w:rPr>
            </w:pPr>
            <w:hyperlink r:id="rId25">
              <w:r w:rsidR="005B0E11">
                <w:rPr>
                  <w:rStyle w:val="ae"/>
                </w:rPr>
                <w:t>shivshankar@cewit.org.in</w:t>
              </w:r>
            </w:hyperlink>
          </w:p>
          <w:p w14:paraId="72D8AC81" w14:textId="77777777" w:rsidR="00C83B63" w:rsidRDefault="00624555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hyperlink r:id="rId26">
              <w:r w:rsidR="005B0E11">
                <w:rPr>
                  <w:rStyle w:val="ae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Pravjyot Deogun</w:t>
            </w:r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af7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Chenxi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624555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hyperlink r:id="rId27">
              <w:r w:rsidR="005B0E11">
                <w:rPr>
                  <w:rStyle w:val="ae"/>
                  <w:rFonts w:eastAsia="宋体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Sam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Atungsiri</w:t>
            </w:r>
            <w:proofErr w:type="spellEnd"/>
          </w:p>
        </w:tc>
        <w:tc>
          <w:tcPr>
            <w:tcW w:w="3896" w:type="dxa"/>
            <w:vAlign w:val="center"/>
          </w:tcPr>
          <w:p w14:paraId="2F86A77B" w14:textId="77777777" w:rsidR="00C83B63" w:rsidRDefault="00624555">
            <w:pPr>
              <w:pStyle w:val="af7"/>
              <w:spacing w:before="0" w:after="0" w:line="300" w:lineRule="auto"/>
            </w:pPr>
            <w:hyperlink r:id="rId28">
              <w:r w:rsidR="005B0E11">
                <w:rPr>
                  <w:rStyle w:val="ae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af7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Huaning Niu</w:t>
            </w:r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af7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Tejas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624555">
            <w:pPr>
              <w:pStyle w:val="af7"/>
              <w:spacing w:before="0" w:after="0" w:line="300" w:lineRule="auto"/>
            </w:pPr>
            <w:hyperlink r:id="rId29">
              <w:r w:rsidR="005B0E11">
                <w:rPr>
                  <w:rStyle w:val="ae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1"/>
      </w:pPr>
      <w:r>
        <w:t>Texts and plots to be captured into TR</w:t>
      </w:r>
    </w:p>
    <w:p w14:paraId="6ADA88B0" w14:textId="77777777" w:rsidR="00C83B63" w:rsidRDefault="00C83B63"/>
    <w:p w14:paraId="1ADD282F" w14:textId="77777777" w:rsidR="006E025D" w:rsidRDefault="006E025D" w:rsidP="006E025D">
      <w:pPr>
        <w:pStyle w:val="B1"/>
        <w:ind w:left="0" w:firstLine="0"/>
      </w:pPr>
      <w:r>
        <w:t xml:space="preserve">The description of the above </w:t>
      </w:r>
      <w:proofErr w:type="spellStart"/>
      <w:r>
        <w:t>boxcharts</w:t>
      </w:r>
      <w:proofErr w:type="spellEnd"/>
      <w:r>
        <w:t xml:space="preserve"> is as follows:</w:t>
      </w:r>
    </w:p>
    <w:p w14:paraId="315B5A1C" w14:textId="77777777" w:rsidR="006E025D" w:rsidRDefault="006E025D" w:rsidP="006E025D">
      <w:pPr>
        <w:pStyle w:val="B1"/>
        <w:numPr>
          <w:ilvl w:val="0"/>
          <w:numId w:val="148"/>
        </w:numPr>
      </w:pPr>
      <w:r>
        <w:t>The line inside of each box is the median</w:t>
      </w:r>
    </w:p>
    <w:p w14:paraId="189C9F25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4B92000B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3B188947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757361F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whiskers </w:t>
      </w:r>
      <w:proofErr w:type="gramStart"/>
      <w:r>
        <w:t>represents</w:t>
      </w:r>
      <w:proofErr w:type="gramEnd"/>
      <w:r>
        <w:t xml:space="preserve"> the minimum and maximum values excluding outliers </w:t>
      </w:r>
    </w:p>
    <w:p w14:paraId="27C4081F" w14:textId="67BB00AE" w:rsidR="006E025D" w:rsidRPr="006E025D" w:rsidRDefault="006E025D" w:rsidP="006E025D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 w:rsidR="007B3425"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 w:rsidR="007B3425"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523D6F99" w14:textId="77777777" w:rsidR="006E025D" w:rsidRPr="007B3425" w:rsidRDefault="006E025D" w:rsidP="006E025D">
      <w:pPr>
        <w:rPr>
          <w:lang w:val="en-US"/>
        </w:rPr>
      </w:pPr>
    </w:p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af3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payload);</w:t>
      </w:r>
    </w:p>
    <w:p w14:paraId="20ACF732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D23D1B9" w14:textId="4439223C" w:rsidR="00AD5DE1" w:rsidRDefault="00AD5DE1" w:rsidP="00AD5DE1">
      <w:pPr>
        <w:pStyle w:val="af3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af3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 OPPO] observe performance gain of -3.2% to 12.1% at CSI payload X (small payload)</w:t>
      </w:r>
    </w:p>
    <w:p w14:paraId="39E16CB7" w14:textId="6CECEFD4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10D65D7A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0ACCBB6F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26%</w:t>
      </w:r>
    </w:p>
    <w:p w14:paraId="2DCD4A3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26% at CSI feedback overhead A (small overhead)</w:t>
      </w:r>
    </w:p>
    <w:p w14:paraId="37A5E432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71161A8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2%</w:t>
      </w:r>
    </w:p>
    <w:p w14:paraId="4A462F74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2% at CSI feedback overhead A (small overhead)</w:t>
      </w:r>
    </w:p>
    <w:p w14:paraId="0197501C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B40D131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73%</w:t>
      </w:r>
    </w:p>
    <w:p w14:paraId="6DE35504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73% at CSI feedback overhead A (small overhead)</w:t>
      </w:r>
    </w:p>
    <w:p w14:paraId="45417FA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lastRenderedPageBreak/>
        <w:t>TBD performance gains at CSI feedback overhead B (medium overhead)</w:t>
      </w:r>
    </w:p>
    <w:p w14:paraId="7CCBE809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0A01654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12%</w:t>
      </w:r>
    </w:p>
    <w:p w14:paraId="6DAC5C6E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12% at CSI feedback overhead A (small overhead)</w:t>
      </w:r>
    </w:p>
    <w:p w14:paraId="0862C70C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>For CSI feedback overhead A (small overhead), 1 source [Futurewei] observes CSI feedback reduction of 92%</w:t>
      </w:r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af3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af3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af3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af3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af3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af3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af3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13 sources [Fujitsu, ZTE, Apple, QC, Samsung, vivo, OPPO, Xiaomi, Spreadtrum, Huawei, ETRI, Nokia, Futurewei] observe performance gain of 9.12-27.8% at CSI payload X (small payload)</w:t>
      </w:r>
      <w:r>
        <w:t>, for which the median SGCS gain is 14.8%;</w:t>
      </w:r>
    </w:p>
    <w:p w14:paraId="11FB63F3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10 sources [ZTE, QC, vivo, CATT, CMCC, Xiaomi, Spreadtrum, Huawei, ETRI, Nokia] observe performance gain of 4.34-27.9% at CSI payload Y (medium payload)</w:t>
      </w:r>
      <w:r>
        <w:t>, for which the median SGCS gain is 11%;</w:t>
      </w:r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8 sources [ZTE, QC, vivo, Huawei, CATT, Xiaomi, Spreadtrum,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3BD1578" w14:textId="77777777" w:rsidR="00C83B63" w:rsidRDefault="00C83B63">
      <w:pPr>
        <w:pStyle w:val="af3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af3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>8 sources [ZTE, QC, Samsung, vivo, Huawei, Xiaomi, Nokia, Futurewei] observe performance gain between 14.2-37.5%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19.67%.</w:t>
      </w:r>
    </w:p>
    <w:p w14:paraId="0252FEF6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</w:t>
      </w:r>
      <w:proofErr w:type="gramStart"/>
      <w:r>
        <w:rPr>
          <w:lang w:eastAsia="ko-KR"/>
        </w:rPr>
        <w:t>%  at</w:t>
      </w:r>
      <w:proofErr w:type="gramEnd"/>
      <w:r>
        <w:rPr>
          <w:lang w:eastAsia="ko-KR"/>
        </w:rPr>
        <w:t xml:space="preserve">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</w:t>
      </w:r>
      <w:proofErr w:type="gramStart"/>
      <w:r>
        <w:rPr>
          <w:lang w:eastAsia="ko-KR"/>
        </w:rPr>
        <w:t>Xiaomi]  observe</w:t>
      </w:r>
      <w:proofErr w:type="gramEnd"/>
      <w:r>
        <w:rPr>
          <w:lang w:eastAsia="ko-KR"/>
        </w:rPr>
        <w:t xml:space="preserve">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62CC0FC" w14:textId="77777777" w:rsidR="00C83B63" w:rsidRDefault="005B0E11">
      <w:pPr>
        <w:pStyle w:val="af3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af3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lastRenderedPageBreak/>
        <w:t>For Layer 1,</w:t>
      </w:r>
    </w:p>
    <w:p w14:paraId="5816A9E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14 sources [Fujitsu, ZTE, Apple, QC, Samsung, vivo, OPPO, Xiaomi, Spreadtrum, Huawei, ETRI, Nokia, 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0.62-30%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8.6%.</w:t>
      </w:r>
    </w:p>
    <w:p w14:paraId="788196E0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11 sources [ZTE, QC, vivo, CATT, CMCC, Xiaomi, Spreadtrum, Huawei, ETRI, </w:t>
      </w:r>
      <w:proofErr w:type="gramStart"/>
      <w:r>
        <w:rPr>
          <w:lang w:eastAsia="ko-KR"/>
        </w:rPr>
        <w:t>Nokia,  IIT</w:t>
      </w:r>
      <w:proofErr w:type="gramEnd"/>
      <w:r>
        <w:rPr>
          <w:lang w:eastAsia="ko-KR"/>
        </w:rPr>
        <w:t xml:space="preserve">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9 sources [ZTE, QC, vivo, Huawei, CATT, Xiaomi, Spreadtrum, Nokia, IIT Kanpur] observe performance gain of 0.5-6.78% at CSI payload Z (large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af3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Samsung, vivo, Huawei, Xiaomi, Nokia, 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1.06-16.49% at CSI payload Y (medium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10%.</w:t>
      </w:r>
    </w:p>
    <w:p w14:paraId="47BC0C4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2.98-13% at CSI payload Z (large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af3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2 </w:t>
      </w:r>
      <w:proofErr w:type="gramStart"/>
      <w:r>
        <w:rPr>
          <w:lang w:eastAsia="ko-KR"/>
        </w:rPr>
        <w:t>source</w:t>
      </w:r>
      <w:proofErr w:type="gramEnd"/>
      <w:r>
        <w:rPr>
          <w:lang w:eastAsia="ko-KR"/>
        </w:rPr>
        <w:t xml:space="preserve"> [QC, Samsung] observe performance gain between 8.7-29.96% at CSI payload X (small payload)</w:t>
      </w:r>
    </w:p>
    <w:p w14:paraId="0427B3E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 xml:space="preserve">bits; CSI payload Y is (100 - </w:t>
      </w:r>
      <w:proofErr w:type="gramStart"/>
      <w:r>
        <w:t>140 )</w:t>
      </w:r>
      <w:proofErr w:type="gramEnd"/>
      <w:r>
        <w:t>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2-6% at CSI feedback overhead C (large overhead)</w:t>
      </w:r>
    </w:p>
    <w:p w14:paraId="27688F0F" w14:textId="77777777" w:rsidR="00C83B63" w:rsidRDefault="005B0E11">
      <w:pPr>
        <w:pStyle w:val="B1"/>
        <w:numPr>
          <w:ilvl w:val="0"/>
          <w:numId w:val="26"/>
        </w:numPr>
      </w:pPr>
      <w:r>
        <w:t>For RU &gt; 70%, 4 sources [Huawei, Spreadtrum, QC, Oppo]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3D96EFCC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FAEFD3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77777777" w:rsidR="00C83B63" w:rsidRDefault="005B0E11">
      <w:pPr>
        <w:pStyle w:val="B1"/>
        <w:numPr>
          <w:ilvl w:val="0"/>
          <w:numId w:val="26"/>
        </w:numPr>
      </w:pPr>
      <w:r>
        <w:t>For RU &gt; 70%, 6 sources [Huawei, Interdigital, Futurewei, QC, Nokia, ZTE] observe performance gain of 3-29%</w:t>
      </w:r>
    </w:p>
    <w:p w14:paraId="794CAA2F" w14:textId="4CD9F6CE" w:rsidR="00C83B63" w:rsidRDefault="005B0E11">
      <w:pPr>
        <w:pStyle w:val="B1"/>
        <w:numPr>
          <w:ilvl w:val="1"/>
          <w:numId w:val="26"/>
        </w:numPr>
      </w:pPr>
      <w:r>
        <w:t>6 sources [Huawei, Interdigital, Futurewei,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The following </w:t>
      </w:r>
      <w:proofErr w:type="spellStart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boxchart</w:t>
      </w:r>
      <w:proofErr w:type="spellEnd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77777777" w:rsidR="00C83B63" w:rsidRDefault="005B0E11">
      <w:pPr>
        <w:pStyle w:val="B1"/>
        <w:numPr>
          <w:ilvl w:val="0"/>
          <w:numId w:val="26"/>
        </w:numPr>
      </w:pPr>
      <w:r>
        <w:t>For RU &gt;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0-1.4% at CSI feedback overhead C (large overhead)</w:t>
      </w:r>
    </w:p>
    <w:p w14:paraId="1A3F17ED" w14:textId="77777777" w:rsidR="00C83B63" w:rsidRDefault="005B0E11">
      <w:pPr>
        <w:pStyle w:val="B1"/>
        <w:numPr>
          <w:ilvl w:val="0"/>
          <w:numId w:val="26"/>
        </w:numPr>
      </w:pPr>
      <w:r>
        <w:t>For RU &gt; 70%, 4 sources [Huawei, Spreadtrum, QC, Oppo]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4 sources [Huawei, Spreadtrum, QC, Oppo]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3924D3FC" w:rsidR="00C83B63" w:rsidRDefault="005B0E11">
      <w:pPr>
        <w:pStyle w:val="B1"/>
        <w:numPr>
          <w:ilvl w:val="1"/>
          <w:numId w:val="26"/>
        </w:numPr>
      </w:pPr>
      <w:r>
        <w:t xml:space="preserve">4 </w:t>
      </w:r>
      <w:proofErr w:type="gramStart"/>
      <w:r>
        <w:t>sources[</w:t>
      </w:r>
      <w:proofErr w:type="gramEnd"/>
      <w:r>
        <w:t>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6 sources [Huawei, Interdigital, QC, Nokia, Futurewei, ZTE] observed performance gain of -2% to 7%  </w:t>
      </w:r>
    </w:p>
    <w:p w14:paraId="7417FC58" w14:textId="616EAF0D" w:rsidR="00C83B63" w:rsidRDefault="005B0E11">
      <w:pPr>
        <w:pStyle w:val="B1"/>
        <w:numPr>
          <w:ilvl w:val="1"/>
          <w:numId w:val="26"/>
        </w:numPr>
      </w:pPr>
      <w:r>
        <w:t>6 sources [Huawei, Interdigital, QC, Nokia, Futurewei, 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p w14:paraId="4FC99702" w14:textId="77777777" w:rsidR="00C83B63" w:rsidRDefault="005B0E11">
      <w:pPr>
        <w:pStyle w:val="B1"/>
        <w:numPr>
          <w:ilvl w:val="0"/>
          <w:numId w:val="26"/>
        </w:numPr>
      </w:pPr>
      <w:r>
        <w:t>For RU &gt; 70%, 6 sources [Huawei, Futurewei, Interdigital, QC, Nokia, ZTE] observes performance gain of -5% to 14%</w:t>
      </w:r>
    </w:p>
    <w:p w14:paraId="03B30B76" w14:textId="34EF6898" w:rsidR="00C83B63" w:rsidRDefault="005B0E11">
      <w:pPr>
        <w:pStyle w:val="B1"/>
        <w:numPr>
          <w:ilvl w:val="1"/>
          <w:numId w:val="26"/>
        </w:numPr>
      </w:pPr>
      <w:r>
        <w:t>6 sources Huawei, Futurewei,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</w:t>
      </w:r>
      <w:proofErr w:type="gramStart"/>
      <w:r>
        <w:t>)..</w:t>
      </w:r>
      <w:proofErr w:type="gramEnd"/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4-12%:</w:t>
      </w:r>
    </w:p>
    <w:p w14:paraId="46666DE6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>, Spreadtrum,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&gt;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598070D3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430ADB37" w:rsidR="00C83B63" w:rsidRDefault="005B0E11">
      <w:pPr>
        <w:pStyle w:val="af3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&gt; 70%, </w:t>
      </w: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3CE17E5D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lastRenderedPageBreak/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33.1% at CSI feedback overhead C (large overhead).</w:t>
      </w:r>
    </w:p>
    <w:p w14:paraId="584AF26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</w:t>
      </w:r>
      <w:proofErr w:type="gramStart"/>
      <w:r>
        <w:t>)..</w:t>
      </w:r>
      <w:proofErr w:type="gramEnd"/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77E96B76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7345118C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&gt;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60A04B5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</w:t>
      </w:r>
      <w:proofErr w:type="gramStart"/>
      <w:r>
        <w:t>)..</w:t>
      </w:r>
      <w:proofErr w:type="gramEnd"/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af3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>For Max Rank 1, 5 sources [Huawei, QC, Oppo, Xiaomi and Vivo] observe performance gains of 0-25%</w:t>
      </w:r>
    </w:p>
    <w:p w14:paraId="49279CD8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0-25% at CSI feedback overhead A (small overhead)</w:t>
      </w:r>
    </w:p>
    <w:p w14:paraId="0FB8E702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0-20% at CSI feedback overhead B (medium overhead)</w:t>
      </w:r>
    </w:p>
    <w:p w14:paraId="4382F7B7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2D897CD5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5F27A5A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3-23%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04AB0EF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2-24%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a8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>For Max Rank 1, 6 sources [Huawei, IIT Kanpur, QC, Oppo,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>6 sources [Huawei, IIT Kanpur, QC, Oppo,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>2 sources [Huawei, IIT Kanpur, QC, Oppo,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4DDBFC57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2B98FA02" w:rsidR="00C83B63" w:rsidRDefault="005B0E11">
      <w:pPr>
        <w:pStyle w:val="B1"/>
        <w:numPr>
          <w:ilvl w:val="1"/>
          <w:numId w:val="26"/>
        </w:numPr>
      </w:pPr>
      <w:r>
        <w:t>5 sources [Huawei, Xiaomi, QC, Nokia, ZTE] observe performance gains of 1-14%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1C027B8B" w:rsidR="00C83B63" w:rsidRPr="00B627C7" w:rsidRDefault="005B0E11">
      <w:pPr>
        <w:pStyle w:val="B1"/>
        <w:numPr>
          <w:ilvl w:val="1"/>
          <w:numId w:val="26"/>
        </w:numPr>
      </w:pPr>
      <w:r>
        <w:lastRenderedPageBreak/>
        <w:t xml:space="preserve">5 </w:t>
      </w:r>
      <w:r w:rsidRPr="00B627C7">
        <w:t>sources [Huawei, Xiaomi, QC, Nokia, ZTE] observe performance gains of 1-9% at CSI feedback overhead C (large overhead</w:t>
      </w:r>
      <w:proofErr w:type="gramStart"/>
      <w:r w:rsidRPr="00B627C7"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 xml:space="preserve">The following </w:t>
      </w:r>
      <w:proofErr w:type="spellStart"/>
      <w:r w:rsidRPr="00B627C7">
        <w:t>boxchart</w:t>
      </w:r>
      <w:proofErr w:type="spellEnd"/>
      <w:r w:rsidRPr="00B627C7">
        <w:t xml:space="preserve">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a8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71277891" w:rsidR="00C83B63" w:rsidRDefault="005B0E11">
      <w:pPr>
        <w:pStyle w:val="B1"/>
        <w:numPr>
          <w:ilvl w:val="1"/>
          <w:numId w:val="26"/>
        </w:numPr>
      </w:pPr>
      <w:r>
        <w:t>5 sources [Fujitsu, QC, vivo, Nokia, ZTE] observe performance gains of 12-58%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02C5EFC6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5811171E" w:rsidR="00C83B63" w:rsidRDefault="005B0E11">
      <w:pPr>
        <w:pStyle w:val="B1"/>
        <w:numPr>
          <w:ilvl w:val="1"/>
          <w:numId w:val="26"/>
        </w:numPr>
      </w:pPr>
      <w:r>
        <w:lastRenderedPageBreak/>
        <w:t>4 sources [QC, Vivo, Nokia, ZTE] observe performance gain of 2-9%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a8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af3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af3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gains of 2% at CSI feedback overhead A (small overhead)</w:t>
      </w:r>
    </w:p>
    <w:p w14:paraId="1E616BDA" w14:textId="77777777" w:rsidR="00C83B63" w:rsidRDefault="005B0E11">
      <w:pPr>
        <w:pStyle w:val="af3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af3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af3"/>
        <w:numPr>
          <w:ilvl w:val="0"/>
          <w:numId w:val="26"/>
        </w:numPr>
      </w:pPr>
      <w:r>
        <w:lastRenderedPageBreak/>
        <w:t xml:space="preserve">For Max Rank 2, 4 sources [QC, Fujitsu, Nokia, ZTE] observes performance gains of 2-35% </w:t>
      </w:r>
    </w:p>
    <w:p w14:paraId="3160E6ED" w14:textId="2917AB89" w:rsidR="00C83B63" w:rsidRDefault="005B0E11">
      <w:pPr>
        <w:pStyle w:val="af3"/>
        <w:numPr>
          <w:ilvl w:val="1"/>
          <w:numId w:val="26"/>
        </w:numPr>
      </w:pPr>
      <w:r>
        <w:t>4 sources [QC, Fujitsu, Nokia, ZTE] observe performance gains of 3-35%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F662FF1" w:rsidR="00C83B63" w:rsidRDefault="005B0E11">
      <w:pPr>
        <w:pStyle w:val="af3"/>
        <w:numPr>
          <w:ilvl w:val="1"/>
          <w:numId w:val="26"/>
        </w:numPr>
      </w:pPr>
      <w:r>
        <w:t>3 sources [QC, Nokia, ZTE] observe performance gains of 2-6.31%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00E18D2E" w:rsidR="00C83B63" w:rsidRDefault="005B0E11">
      <w:pPr>
        <w:pStyle w:val="af3"/>
        <w:numPr>
          <w:ilvl w:val="1"/>
          <w:numId w:val="26"/>
        </w:numPr>
      </w:pPr>
      <w:r>
        <w:t>3 sources [QC, Nokia, ZTE] observe performance gains of 2-8%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a8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af3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buffer;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buffer;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buffer;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&gt;=70%;</w:t>
      </w:r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>2 sources [QC, Nokia] observes CSI feedback reduction of 76-80% for full buffer;</w:t>
      </w:r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2 sources [QC, Futurewei]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>2 sources [QC, Nokia] observes CSI-feedback reduction of 73-80% for full buffer;</w:t>
      </w:r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lastRenderedPageBreak/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>3 sources [Huawei, QC, Nokia] observe the CSI feedback reduction of 70-80% for full buffer;</w:t>
      </w:r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70% for full buffer;</w:t>
      </w:r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68% for full buffer;</w:t>
      </w:r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66% for full buffer;</w:t>
      </w:r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buffer;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lastRenderedPageBreak/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CSI-feedback reduction of 51% for full buffer;</w:t>
      </w:r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34% for full buffer;</w:t>
      </w:r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&gt;=70%;</w:t>
      </w:r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45-50%;</w:t>
      </w:r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>2 sources [QC, Nokia] observes CSI-feedback reduction of 50-56% for full buffer;</w:t>
      </w:r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32% at RU &gt;= 70%;</w:t>
      </w:r>
    </w:p>
    <w:p w14:paraId="7BBE9AD8" w14:textId="77777777" w:rsidR="00C83B63" w:rsidRDefault="005B0E11">
      <w:r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55% for full buffer;</w:t>
      </w:r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 xml:space="preserve">1 source [QC] observes CSI feedback </w:t>
      </w:r>
      <w:proofErr w:type="spellStart"/>
      <w:r>
        <w:t>reductionof</w:t>
      </w:r>
      <w:proofErr w:type="spellEnd"/>
      <w:r>
        <w:t xml:space="preserve">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59% for full buffer;</w:t>
      </w:r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64% for full buffer;</w:t>
      </w:r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af3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>The performance metric is CSI feedback overhead reduction for Max rank 1, Max rank 2, or Max rank 4</w:t>
      </w:r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 xml:space="preserve">6 sources [oppo,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lastRenderedPageBreak/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payload);</w:t>
      </w:r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payload);</w:t>
      </w:r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payload);</w:t>
      </w:r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payload);</w:t>
      </w:r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payload);</w:t>
      </w:r>
    </w:p>
    <w:p w14:paraId="3B604CAA" w14:textId="77777777" w:rsidR="00C83B63" w:rsidRDefault="005B0E11">
      <w:pPr>
        <w:pStyle w:val="B1"/>
      </w:pPr>
      <w:r>
        <w:t>-</w:t>
      </w:r>
      <w:r>
        <w:tab/>
        <w:t>1 source [QC] observes the performance gain of 33.6% at CSI payload Y (medium payload);</w:t>
      </w:r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</w:t>
      </w:r>
      <w:proofErr w:type="spellStart"/>
      <w:r>
        <w:t>InterDigital</w:t>
      </w:r>
      <w:proofErr w:type="spellEnd"/>
      <w:r>
        <w:t xml:space="preserve">] observe the performance gain of -4 to 39.76% at CSI payload X (small payload), for which the median SGCS gain is 7.44%;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>, ZTE, Ericsson, CMCC, Xiaomi] observe the performance gain of 1.03- 20.84% at CSI payload Y (medium payload), for which the median SGCS gain is 5.99%;</w:t>
      </w:r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</w:t>
      </w:r>
      <w:proofErr w:type="spellStart"/>
      <w:r>
        <w:t>InterDigital</w:t>
      </w:r>
      <w:proofErr w:type="spellEnd"/>
      <w:r>
        <w:t xml:space="preserve">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payload);</w:t>
      </w:r>
    </w:p>
    <w:p w14:paraId="3CF55C5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6.3</w:t>
      </w:r>
      <w:proofErr w:type="gramEnd"/>
      <w:r>
        <w:t>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4.7</w:t>
      </w:r>
      <w:proofErr w:type="gramEnd"/>
      <w:r>
        <w:t xml:space="preserve">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description of the above </w:t>
      </w:r>
      <w:proofErr w:type="spellStart"/>
      <w:r w:rsidRPr="006E025D">
        <w:rPr>
          <w:strike/>
          <w:color w:val="4472C4" w:themeColor="accent1"/>
        </w:rPr>
        <w:t>boxcharts</w:t>
      </w:r>
      <w:proofErr w:type="spellEnd"/>
      <w:r w:rsidRPr="006E025D">
        <w:rPr>
          <w:strike/>
          <w:color w:val="4472C4" w:themeColor="accent1"/>
        </w:rPr>
        <w:t xml:space="preserve">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line inside of each box is the median</w:t>
      </w:r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lastRenderedPageBreak/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outliers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3" w:name="_Hlk174526396"/>
      <w:r>
        <w:rPr>
          <w:lang w:eastAsia="ko-KR"/>
        </w:rPr>
        <w:t>for the mixed scenario of 80% indoor and 20% outdoor users:</w:t>
      </w:r>
      <w:bookmarkEnd w:id="3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1.5% at CSI feedback overhead C (large overhead)</w:t>
      </w:r>
    </w:p>
    <w:p w14:paraId="57DD9D7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1 </w:t>
      </w:r>
      <w:proofErr w:type="gramStart"/>
      <w:r>
        <w:t>sources</w:t>
      </w:r>
      <w:proofErr w:type="gramEnd"/>
      <w:r>
        <w:t xml:space="preserve">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-0.2% to 22.1%</w:t>
      </w:r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3.2% at CSI feedback overhead C (large overhead)</w:t>
      </w:r>
    </w:p>
    <w:p w14:paraId="1B2570EB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-0.6% to 9.3%%: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7.5% at CSI feedback overhead C (large overhead)</w:t>
      </w:r>
    </w:p>
    <w:p w14:paraId="368FC3A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1 </w:t>
      </w:r>
      <w:proofErr w:type="gramStart"/>
      <w:r>
        <w:t>sources</w:t>
      </w:r>
      <w:proofErr w:type="gramEnd"/>
      <w:r>
        <w:t xml:space="preserve">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27% to 51%</w:t>
      </w:r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21.6% at CSI feedback overhead C (large overhead)</w:t>
      </w:r>
    </w:p>
    <w:p w14:paraId="3FDDAC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lastRenderedPageBreak/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[Ericsson] observes performance gain </w:t>
      </w:r>
      <w:proofErr w:type="gramStart"/>
      <w:r>
        <w:t>of  6</w:t>
      </w:r>
      <w:proofErr w:type="gramEnd"/>
      <w:r>
        <w:t>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lastRenderedPageBreak/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overhead);</w:t>
      </w:r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overhead);</w:t>
      </w:r>
    </w:p>
    <w:p w14:paraId="1B3F58F7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overhead);</w:t>
      </w:r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overhead);</w:t>
      </w:r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overhead);</w:t>
      </w:r>
    </w:p>
    <w:p w14:paraId="594B2E6B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overhead);</w:t>
      </w:r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overhead);</w:t>
      </w:r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overhead);</w:t>
      </w:r>
    </w:p>
    <w:p w14:paraId="6EC5DA3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lastRenderedPageBreak/>
        <w:t>3 sources [QC, Xiaomi, Vivo]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overhead);</w:t>
      </w:r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overhead);</w:t>
      </w:r>
    </w:p>
    <w:p w14:paraId="6233101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overhead);</w:t>
      </w:r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overhead);</w:t>
      </w:r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overhead);</w:t>
      </w:r>
    </w:p>
    <w:p w14:paraId="623EDA03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overhead);</w:t>
      </w:r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overhead);</w:t>
      </w:r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overhead);</w:t>
      </w:r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57%</w:t>
      </w:r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</w:t>
      </w:r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51%</w:t>
      </w:r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af3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payload);</w:t>
      </w:r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</w:t>
      </w:r>
      <w:proofErr w:type="gramStart"/>
      <w:r>
        <w:t>) ;</w:t>
      </w:r>
      <w:proofErr w:type="gramEnd"/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</w:t>
      </w:r>
      <w:proofErr w:type="gramStart"/>
      <w:r>
        <w:t>) .</w:t>
      </w:r>
      <w:proofErr w:type="gramEnd"/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payload);</w:t>
      </w:r>
    </w:p>
    <w:p w14:paraId="47CB2214" w14:textId="77777777" w:rsidR="00C83B63" w:rsidRDefault="005B0E11">
      <w:pPr>
        <w:pStyle w:val="B1"/>
      </w:pPr>
      <w:r>
        <w:t>-</w:t>
      </w:r>
      <w:r>
        <w:tab/>
        <w:t>1 source [QC] observes the performance gain of 10.1% at CSI payload Y (medium payload</w:t>
      </w:r>
      <w:proofErr w:type="gramStart"/>
      <w:r>
        <w:t>) ;</w:t>
      </w:r>
      <w:proofErr w:type="gramEnd"/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</w:t>
      </w:r>
      <w:proofErr w:type="gramStart"/>
      <w:r>
        <w:t>) .</w:t>
      </w:r>
      <w:proofErr w:type="gramEnd"/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payload);</w:t>
      </w:r>
    </w:p>
    <w:p w14:paraId="6EA5808C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26.2% at CSI payload Y (medium payload</w:t>
      </w:r>
      <w:proofErr w:type="gramStart"/>
      <w:r>
        <w:t>) ;</w:t>
      </w:r>
      <w:proofErr w:type="gramEnd"/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</w:t>
      </w:r>
      <w:proofErr w:type="gramStart"/>
      <w:r>
        <w:t>) .</w:t>
      </w:r>
      <w:proofErr w:type="gramEnd"/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payload);</w:t>
      </w:r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</w:t>
      </w:r>
      <w:proofErr w:type="gramStart"/>
      <w:r>
        <w:t>) ;</w:t>
      </w:r>
      <w:proofErr w:type="gramEnd"/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</w:t>
      </w:r>
      <w:proofErr w:type="gramStart"/>
      <w:r>
        <w:t>) .</w:t>
      </w:r>
      <w:proofErr w:type="gramEnd"/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payload);</w:t>
      </w:r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>The performance gain at CSI payload Y (medium payload) is TBD;</w:t>
      </w:r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af3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af3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Y (medium payload) is TBD</w:t>
      </w:r>
    </w:p>
    <w:p w14:paraId="39617644" w14:textId="77777777" w:rsidR="00557EF0" w:rsidRDefault="00557EF0" w:rsidP="00557EF0">
      <w:pPr>
        <w:pStyle w:val="af3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Z (large payload) is TBD</w:t>
      </w:r>
    </w:p>
    <w:p w14:paraId="6B02ED8F" w14:textId="77777777" w:rsidR="00557EF0" w:rsidRDefault="00557EF0" w:rsidP="00557EF0">
      <w:pPr>
        <w:pStyle w:val="af3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af3"/>
        <w:ind w:left="1440"/>
        <w:rPr>
          <w:lang w:eastAsia="ko-KR"/>
        </w:rPr>
      </w:pPr>
    </w:p>
    <w:p w14:paraId="7CF0AA8F" w14:textId="77777777" w:rsidR="00557EF0" w:rsidRDefault="00557EF0" w:rsidP="00557EF0">
      <w:r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af3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af3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af3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af3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af3"/>
        <w:numPr>
          <w:ilvl w:val="0"/>
          <w:numId w:val="41"/>
        </w:numPr>
      </w:pPr>
      <w:r>
        <w:lastRenderedPageBreak/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af3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payload);</w:t>
      </w:r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</w:t>
      </w:r>
      <w:proofErr w:type="gramStart"/>
      <w:r>
        <w:t>) ;</w:t>
      </w:r>
      <w:proofErr w:type="gramEnd"/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</w:t>
      </w:r>
      <w:proofErr w:type="gramStart"/>
      <w:r>
        <w:t>) .</w:t>
      </w:r>
      <w:proofErr w:type="gramEnd"/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</w:t>
      </w:r>
      <w:proofErr w:type="gramStart"/>
      <w:r>
        <w:t>) ;</w:t>
      </w:r>
      <w:proofErr w:type="gramEnd"/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af3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af3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af3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quantization </w:t>
      </w:r>
    </w:p>
    <w:p w14:paraId="36EE3984" w14:textId="77777777" w:rsidR="00630C9B" w:rsidRPr="003B327E" w:rsidRDefault="00630C9B" w:rsidP="00630C9B">
      <w:pPr>
        <w:pStyle w:val="af3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4E7DF7CE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 xml:space="preserve">-28% over benchmark, at CSI payload X (small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7001947A" w14:textId="6A8ED2B8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07AA0662" w14:textId="064962BF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lastRenderedPageBreak/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>, using TSF compression</w:t>
      </w:r>
    </w:p>
    <w:p w14:paraId="0029A7C0" w14:textId="19C79790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59151F81" w14:textId="3FF63679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</w:t>
      </w:r>
      <w:proofErr w:type="gramStart"/>
      <w:r>
        <w:rPr>
          <w:lang w:eastAsia="ko-KR"/>
        </w:rPr>
        <w:t>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</w:t>
      </w:r>
      <w:proofErr w:type="gramEnd"/>
      <w:r w:rsidR="00630C9B" w:rsidRPr="00630C9B">
        <w:rPr>
          <w:color w:val="FF0000"/>
          <w:lang w:eastAsia="ko-KR"/>
        </w:rPr>
        <w:t xml:space="preserve">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source [QC] observes the performance gain of 11.9% over the global model, with 27% of parameters and 1% of FLOPs as the global </w:t>
      </w:r>
      <w:proofErr w:type="gramStart"/>
      <w:r>
        <w:rPr>
          <w:lang w:eastAsia="ko-KR"/>
        </w:rPr>
        <w:t>model,  at</w:t>
      </w:r>
      <w:proofErr w:type="gramEnd"/>
      <w:r>
        <w:rPr>
          <w:lang w:eastAsia="ko-KR"/>
        </w:rPr>
        <w:t xml:space="preserve"> CSI payload Y (medium payload)</w:t>
      </w:r>
    </w:p>
    <w:p w14:paraId="2E871CEB" w14:textId="77777777" w:rsidR="00C83B63" w:rsidRDefault="005B0E11">
      <w:pPr>
        <w:pStyle w:val="af3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</w:t>
      </w:r>
      <w:proofErr w:type="spellStart"/>
      <w:r>
        <w:rPr>
          <w:lang w:eastAsia="ko-KR"/>
        </w:rPr>
        <w:t>ViVo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Oppo</w:t>
      </w:r>
      <w:proofErr w:type="spellEnd"/>
      <w:r>
        <w:rPr>
          <w:lang w:eastAsia="ko-KR"/>
        </w:rPr>
        <w:t>, Intel] observe a performance gain of 4.5-10% over benchmark, at CSI payload of X (small payload)</w:t>
      </w:r>
    </w:p>
    <w:p w14:paraId="6C9CD809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6 sources [Nokia, Vivo, Panasonic, Oppo, Futurewei, Intel] observes a performance gain of -2.65% to 6% over global model, at CSI payload of X (small payload)</w:t>
      </w:r>
    </w:p>
    <w:p w14:paraId="58ECF872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</w:t>
      </w:r>
      <w:proofErr w:type="gramStart"/>
      <w:r>
        <w:rPr>
          <w:lang w:eastAsia="ko-KR"/>
        </w:rPr>
        <w:t>sources</w:t>
      </w:r>
      <w:proofErr w:type="gramEnd"/>
      <w:r>
        <w:rPr>
          <w:lang w:eastAsia="ko-KR"/>
        </w:rPr>
        <w:t xml:space="preserve">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gains </w:t>
      </w:r>
    </w:p>
    <w:p w14:paraId="2C81BA0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gains </w:t>
      </w:r>
    </w:p>
    <w:p w14:paraId="785C6B8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For RU &lt;= 39%, 1 source [Intel] observes -0.4% performance gain</w:t>
      </w:r>
    </w:p>
    <w:p w14:paraId="23986E8A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gains </w:t>
      </w:r>
    </w:p>
    <w:p w14:paraId="29D56ED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gains </w:t>
      </w:r>
    </w:p>
    <w:p w14:paraId="06580F5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overhead);</w:t>
      </w:r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overhead);</w:t>
      </w:r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lastRenderedPageBreak/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overhead);</w:t>
      </w:r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overhead);</w:t>
      </w:r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overhead);</w:t>
      </w:r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overhead);</w:t>
      </w:r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overhead);</w:t>
      </w:r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9.83% at CSI feedback overhead B (medium overhead);</w:t>
      </w:r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overhead);</w:t>
      </w:r>
    </w:p>
    <w:p w14:paraId="17CAB620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af3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overhead);</w:t>
      </w:r>
    </w:p>
    <w:p w14:paraId="7A380CB3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overhead);</w:t>
      </w:r>
    </w:p>
    <w:p w14:paraId="3A6F9C85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66D463AB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overhead);</w:t>
      </w:r>
    </w:p>
    <w:p w14:paraId="6E2258F6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overhead);</w:t>
      </w:r>
    </w:p>
    <w:p w14:paraId="6AE02A53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</w:t>
      </w:r>
      <w:proofErr w:type="gramStart"/>
      <w:r>
        <w:rPr>
          <w:lang w:val="en-GB"/>
        </w:rPr>
        <w:t xml:space="preserve">model, </w:t>
      </w:r>
      <w:r>
        <w:t xml:space="preserve"> at</w:t>
      </w:r>
      <w:proofErr w:type="gramEnd"/>
      <w:r>
        <w:t xml:space="preserve"> CSI feedback overhead A (small overhead);</w:t>
      </w:r>
    </w:p>
    <w:p w14:paraId="7953B47B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Observation: 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lastRenderedPageBreak/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 xml:space="preserve">For Case 3, the FLOPs represent the total FLOP over the time window, not the normalized FLOP over 5msec. (i.e., the FLOPs </w:t>
      </w:r>
      <w:proofErr w:type="gramStart"/>
      <w:r>
        <w:t>is</w:t>
      </w:r>
      <w:proofErr w:type="gramEnd"/>
      <w:r>
        <w:t xml:space="preserve">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1"/>
      </w:pPr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125F928C" w:rsidR="006811F7" w:rsidRPr="00B230FE" w:rsidRDefault="00B230FE" w:rsidP="00F8770A">
            <w:pPr>
              <w:rPr>
                <w:b w:val="0"/>
                <w:bCs w:val="0"/>
                <w:iCs/>
              </w:rPr>
            </w:pPr>
            <w:r w:rsidRPr="00B230FE">
              <w:rPr>
                <w:rFonts w:eastAsia="宋体"/>
                <w:b w:val="0"/>
                <w:bCs w:val="0"/>
                <w:iCs/>
                <w:lang w:eastAsia="zh-CN"/>
              </w:rPr>
              <w:t>OPPO</w:t>
            </w:r>
          </w:p>
        </w:tc>
        <w:tc>
          <w:tcPr>
            <w:tcW w:w="7555" w:type="dxa"/>
          </w:tcPr>
          <w:p w14:paraId="1D0BDFB6" w14:textId="56309CC0" w:rsidR="006811F7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>T</w:t>
            </w:r>
            <w:r>
              <w:rPr>
                <w:rFonts w:eastAsia="宋体"/>
                <w:iCs/>
                <w:lang w:eastAsia="zh-CN"/>
              </w:rPr>
              <w:t>hanks to FL. We have two modifications:</w:t>
            </w:r>
          </w:p>
          <w:p w14:paraId="55CDFB23" w14:textId="5AD9DFF5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>1</w:t>
            </w:r>
            <w:r>
              <w:rPr>
                <w:rFonts w:eastAsia="宋体"/>
                <w:iCs/>
                <w:lang w:eastAsia="zh-CN"/>
              </w:rPr>
              <w:t>. For observation on full buffer performance case 2, we only evaluation the condition with CSI feedback overhead A (small overhead). So please remove our company as follows:</w:t>
            </w:r>
          </w:p>
          <w:p w14:paraId="5A285950" w14:textId="77777777" w:rsidR="00B230FE" w:rsidRDefault="00B230FE" w:rsidP="00B230FE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1, 5 sources [Huawei, QC, </w:t>
            </w:r>
            <w:proofErr w:type="spellStart"/>
            <w:r>
              <w:t>Oppo</w:t>
            </w:r>
            <w:proofErr w:type="spellEnd"/>
            <w:r>
              <w:t>, Xiaomi and Vivo] observe performance gains of 0-25%</w:t>
            </w:r>
          </w:p>
          <w:p w14:paraId="58F7259B" w14:textId="77777777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sources [Huawei, QC, </w:t>
            </w:r>
            <w:proofErr w:type="spellStart"/>
            <w:r>
              <w:t>Oppo</w:t>
            </w:r>
            <w:proofErr w:type="spellEnd"/>
            <w:r>
              <w:t>, Xiaomi and Vivo] observe performance gains of 0-25% at CSI feedback overhead A (small overhead)</w:t>
            </w:r>
          </w:p>
          <w:p w14:paraId="1C6A9975" w14:textId="68108DD4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</w:t>
            </w:r>
            <w:r>
              <w:t xml:space="preserve"> source [Huawei, QC, </w:t>
            </w:r>
            <w:proofErr w:type="spellStart"/>
            <w:r w:rsidRPr="00B230FE">
              <w:rPr>
                <w:strike/>
              </w:rPr>
              <w:t>Oppo</w:t>
            </w:r>
            <w:proofErr w:type="spellEnd"/>
            <w:r w:rsidRPr="00B230FE">
              <w:rPr>
                <w:strike/>
              </w:rPr>
              <w:t>,</w:t>
            </w:r>
            <w:r>
              <w:t xml:space="preserve"> Xiaomi and Vivo] observes performance gains of 0-20% at CSI feedback overhead B (medium overhead)</w:t>
            </w:r>
          </w:p>
          <w:p w14:paraId="408DD16E" w14:textId="3B6A2D29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>
              <w:t xml:space="preserve"> source [Huawei, QC, </w:t>
            </w:r>
            <w:proofErr w:type="spellStart"/>
            <w:r w:rsidRPr="00B230FE">
              <w:rPr>
                <w:strike/>
              </w:rPr>
              <w:t>Oppo</w:t>
            </w:r>
            <w:proofErr w:type="spellEnd"/>
            <w:r w:rsidRPr="00B230FE">
              <w:rPr>
                <w:strike/>
              </w:rPr>
              <w:t>,</w:t>
            </w:r>
            <w:r>
              <w:t xml:space="preserve"> Xiaomi and Vivo] observes performance gains of 0-18% at CSI feedback overhead C (large overhead)</w:t>
            </w:r>
          </w:p>
          <w:p w14:paraId="7D92C8A3" w14:textId="666563A2" w:rsidR="00B230FE" w:rsidRP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hint="eastAsia"/>
                <w:iCs/>
                <w:lang w:val="en-US" w:eastAsia="zh-CN"/>
              </w:rPr>
            </w:pPr>
            <w:r>
              <w:rPr>
                <w:rFonts w:eastAsia="宋体" w:hint="eastAsia"/>
                <w:iCs/>
                <w:lang w:val="en-US" w:eastAsia="zh-CN"/>
              </w:rPr>
              <w:t>2</w:t>
            </w:r>
            <w:r>
              <w:rPr>
                <w:rFonts w:eastAsia="宋体"/>
                <w:iCs/>
                <w:lang w:val="en-US" w:eastAsia="zh-CN"/>
              </w:rPr>
              <w:t>. Another modification is about RU&gt;70% should be RU&gt;=70% for the observation on FTP traffic performance Case 2 and Case 3.</w:t>
            </w:r>
            <w:bookmarkStart w:id="4" w:name="_GoBack"/>
            <w:bookmarkEnd w:id="4"/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77777777" w:rsidR="006811F7" w:rsidRPr="005E10A1" w:rsidRDefault="006811F7" w:rsidP="00F8770A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70348E39" w14:textId="77777777" w:rsidR="006811F7" w:rsidRPr="005E10A1" w:rsidRDefault="006811F7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8155" w14:textId="77777777" w:rsidR="00624555" w:rsidRDefault="00624555">
      <w:pPr>
        <w:spacing w:after="0"/>
      </w:pPr>
      <w:r>
        <w:separator/>
      </w:r>
    </w:p>
  </w:endnote>
  <w:endnote w:type="continuationSeparator" w:id="0">
    <w:p w14:paraId="624A2C6F" w14:textId="77777777" w:rsidR="00624555" w:rsidRDefault="006245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290923"/>
      <w:docPartObj>
        <w:docPartGallery w:val="Page Numbers (Bottom of Page)"/>
        <w:docPartUnique/>
      </w:docPartObj>
    </w:sdtPr>
    <w:sdtEndPr/>
    <w:sdtContent>
      <w:p w14:paraId="7FC7F004" w14:textId="01F7FD89" w:rsidR="00265D4C" w:rsidRDefault="00265D4C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9F5BD" w14:textId="77777777" w:rsidR="00624555" w:rsidRDefault="00624555">
      <w:pPr>
        <w:spacing w:after="0"/>
      </w:pPr>
      <w:r>
        <w:separator/>
      </w:r>
    </w:p>
  </w:footnote>
  <w:footnote w:type="continuationSeparator" w:id="0">
    <w:p w14:paraId="58EAB972" w14:textId="77777777" w:rsidR="00624555" w:rsidRDefault="006245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2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6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9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0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2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3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7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8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3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11"/>
  </w:num>
  <w:num w:numId="2">
    <w:abstractNumId w:val="63"/>
  </w:num>
  <w:num w:numId="3">
    <w:abstractNumId w:val="146"/>
  </w:num>
  <w:num w:numId="4">
    <w:abstractNumId w:val="123"/>
  </w:num>
  <w:num w:numId="5">
    <w:abstractNumId w:val="160"/>
  </w:num>
  <w:num w:numId="6">
    <w:abstractNumId w:val="94"/>
  </w:num>
  <w:num w:numId="7">
    <w:abstractNumId w:val="67"/>
  </w:num>
  <w:num w:numId="8">
    <w:abstractNumId w:val="74"/>
  </w:num>
  <w:num w:numId="9">
    <w:abstractNumId w:val="144"/>
  </w:num>
  <w:num w:numId="10">
    <w:abstractNumId w:val="157"/>
  </w:num>
  <w:num w:numId="11">
    <w:abstractNumId w:val="45"/>
  </w:num>
  <w:num w:numId="12">
    <w:abstractNumId w:val="58"/>
  </w:num>
  <w:num w:numId="13">
    <w:abstractNumId w:val="141"/>
  </w:num>
  <w:num w:numId="14">
    <w:abstractNumId w:val="102"/>
  </w:num>
  <w:num w:numId="15">
    <w:abstractNumId w:val="142"/>
  </w:num>
  <w:num w:numId="16">
    <w:abstractNumId w:val="42"/>
  </w:num>
  <w:num w:numId="17">
    <w:abstractNumId w:val="155"/>
  </w:num>
  <w:num w:numId="18">
    <w:abstractNumId w:val="18"/>
  </w:num>
  <w:num w:numId="19">
    <w:abstractNumId w:val="89"/>
  </w:num>
  <w:num w:numId="20">
    <w:abstractNumId w:val="54"/>
  </w:num>
  <w:num w:numId="21">
    <w:abstractNumId w:val="30"/>
  </w:num>
  <w:num w:numId="22">
    <w:abstractNumId w:val="1"/>
  </w:num>
  <w:num w:numId="23">
    <w:abstractNumId w:val="82"/>
  </w:num>
  <w:num w:numId="24">
    <w:abstractNumId w:val="105"/>
  </w:num>
  <w:num w:numId="25">
    <w:abstractNumId w:val="104"/>
  </w:num>
  <w:num w:numId="26">
    <w:abstractNumId w:val="40"/>
  </w:num>
  <w:num w:numId="27">
    <w:abstractNumId w:val="70"/>
  </w:num>
  <w:num w:numId="28">
    <w:abstractNumId w:val="75"/>
  </w:num>
  <w:num w:numId="29">
    <w:abstractNumId w:val="84"/>
  </w:num>
  <w:num w:numId="30">
    <w:abstractNumId w:val="106"/>
  </w:num>
  <w:num w:numId="31">
    <w:abstractNumId w:val="150"/>
  </w:num>
  <w:num w:numId="32">
    <w:abstractNumId w:val="103"/>
  </w:num>
  <w:num w:numId="33">
    <w:abstractNumId w:val="143"/>
  </w:num>
  <w:num w:numId="34">
    <w:abstractNumId w:val="10"/>
  </w:num>
  <w:num w:numId="35">
    <w:abstractNumId w:val="46"/>
  </w:num>
  <w:num w:numId="36">
    <w:abstractNumId w:val="117"/>
  </w:num>
  <w:num w:numId="37">
    <w:abstractNumId w:val="3"/>
  </w:num>
  <w:num w:numId="38">
    <w:abstractNumId w:val="122"/>
  </w:num>
  <w:num w:numId="39">
    <w:abstractNumId w:val="118"/>
  </w:num>
  <w:num w:numId="40">
    <w:abstractNumId w:val="21"/>
  </w:num>
  <w:num w:numId="41">
    <w:abstractNumId w:val="71"/>
  </w:num>
  <w:num w:numId="42">
    <w:abstractNumId w:val="8"/>
  </w:num>
  <w:num w:numId="43">
    <w:abstractNumId w:val="5"/>
  </w:num>
  <w:num w:numId="44">
    <w:abstractNumId w:val="152"/>
  </w:num>
  <w:num w:numId="45">
    <w:abstractNumId w:val="151"/>
  </w:num>
  <w:num w:numId="46">
    <w:abstractNumId w:val="147"/>
  </w:num>
  <w:num w:numId="47">
    <w:abstractNumId w:val="131"/>
  </w:num>
  <w:num w:numId="48">
    <w:abstractNumId w:val="109"/>
  </w:num>
  <w:num w:numId="49">
    <w:abstractNumId w:val="163"/>
  </w:num>
  <w:num w:numId="50">
    <w:abstractNumId w:val="79"/>
  </w:num>
  <w:num w:numId="51">
    <w:abstractNumId w:val="115"/>
  </w:num>
  <w:num w:numId="52">
    <w:abstractNumId w:val="19"/>
  </w:num>
  <w:num w:numId="53">
    <w:abstractNumId w:val="77"/>
  </w:num>
  <w:num w:numId="54">
    <w:abstractNumId w:val="50"/>
  </w:num>
  <w:num w:numId="55">
    <w:abstractNumId w:val="39"/>
  </w:num>
  <w:num w:numId="56">
    <w:abstractNumId w:val="65"/>
  </w:num>
  <w:num w:numId="57">
    <w:abstractNumId w:val="97"/>
  </w:num>
  <w:num w:numId="58">
    <w:abstractNumId w:val="110"/>
  </w:num>
  <w:num w:numId="59">
    <w:abstractNumId w:val="7"/>
  </w:num>
  <w:num w:numId="60">
    <w:abstractNumId w:val="26"/>
  </w:num>
  <w:num w:numId="61">
    <w:abstractNumId w:val="88"/>
  </w:num>
  <w:num w:numId="62">
    <w:abstractNumId w:val="86"/>
  </w:num>
  <w:num w:numId="63">
    <w:abstractNumId w:val="127"/>
  </w:num>
  <w:num w:numId="64">
    <w:abstractNumId w:val="129"/>
  </w:num>
  <w:num w:numId="65">
    <w:abstractNumId w:val="108"/>
  </w:num>
  <w:num w:numId="66">
    <w:abstractNumId w:val="35"/>
  </w:num>
  <w:num w:numId="67">
    <w:abstractNumId w:val="140"/>
  </w:num>
  <w:num w:numId="68">
    <w:abstractNumId w:val="33"/>
  </w:num>
  <w:num w:numId="69">
    <w:abstractNumId w:val="27"/>
  </w:num>
  <w:num w:numId="70">
    <w:abstractNumId w:val="48"/>
  </w:num>
  <w:num w:numId="71">
    <w:abstractNumId w:val="37"/>
  </w:num>
  <w:num w:numId="72">
    <w:abstractNumId w:val="9"/>
  </w:num>
  <w:num w:numId="73">
    <w:abstractNumId w:val="92"/>
  </w:num>
  <w:num w:numId="74">
    <w:abstractNumId w:val="57"/>
  </w:num>
  <w:num w:numId="75">
    <w:abstractNumId w:val="47"/>
  </w:num>
  <w:num w:numId="76">
    <w:abstractNumId w:val="13"/>
  </w:num>
  <w:num w:numId="77">
    <w:abstractNumId w:val="64"/>
  </w:num>
  <w:num w:numId="78">
    <w:abstractNumId w:val="125"/>
  </w:num>
  <w:num w:numId="79">
    <w:abstractNumId w:val="25"/>
  </w:num>
  <w:num w:numId="80">
    <w:abstractNumId w:val="91"/>
  </w:num>
  <w:num w:numId="81">
    <w:abstractNumId w:val="69"/>
  </w:num>
  <w:num w:numId="82">
    <w:abstractNumId w:val="32"/>
  </w:num>
  <w:num w:numId="83">
    <w:abstractNumId w:val="24"/>
  </w:num>
  <w:num w:numId="84">
    <w:abstractNumId w:val="55"/>
  </w:num>
  <w:num w:numId="85">
    <w:abstractNumId w:val="114"/>
  </w:num>
  <w:num w:numId="86">
    <w:abstractNumId w:val="68"/>
  </w:num>
  <w:num w:numId="87">
    <w:abstractNumId w:val="49"/>
  </w:num>
  <w:num w:numId="88">
    <w:abstractNumId w:val="99"/>
  </w:num>
  <w:num w:numId="89">
    <w:abstractNumId w:val="112"/>
  </w:num>
  <w:num w:numId="90">
    <w:abstractNumId w:val="38"/>
  </w:num>
  <w:num w:numId="91">
    <w:abstractNumId w:val="161"/>
  </w:num>
  <w:num w:numId="92">
    <w:abstractNumId w:val="44"/>
  </w:num>
  <w:num w:numId="93">
    <w:abstractNumId w:val="100"/>
  </w:num>
  <w:num w:numId="94">
    <w:abstractNumId w:val="134"/>
  </w:num>
  <w:num w:numId="95">
    <w:abstractNumId w:val="56"/>
  </w:num>
  <w:num w:numId="96">
    <w:abstractNumId w:val="0"/>
  </w:num>
  <w:num w:numId="97">
    <w:abstractNumId w:val="137"/>
  </w:num>
  <w:num w:numId="98">
    <w:abstractNumId w:val="52"/>
  </w:num>
  <w:num w:numId="99">
    <w:abstractNumId w:val="156"/>
  </w:num>
  <w:num w:numId="100">
    <w:abstractNumId w:val="72"/>
  </w:num>
  <w:num w:numId="101">
    <w:abstractNumId w:val="73"/>
  </w:num>
  <w:num w:numId="102">
    <w:abstractNumId w:val="60"/>
  </w:num>
  <w:num w:numId="103">
    <w:abstractNumId w:val="61"/>
  </w:num>
  <w:num w:numId="104">
    <w:abstractNumId w:val="135"/>
  </w:num>
  <w:num w:numId="105">
    <w:abstractNumId w:val="139"/>
  </w:num>
  <w:num w:numId="106">
    <w:abstractNumId w:val="51"/>
  </w:num>
  <w:num w:numId="107">
    <w:abstractNumId w:val="80"/>
  </w:num>
  <w:num w:numId="108">
    <w:abstractNumId w:val="138"/>
  </w:num>
  <w:num w:numId="109">
    <w:abstractNumId w:val="43"/>
  </w:num>
  <w:num w:numId="110">
    <w:abstractNumId w:val="4"/>
  </w:num>
  <w:num w:numId="111">
    <w:abstractNumId w:val="98"/>
  </w:num>
  <w:num w:numId="112">
    <w:abstractNumId w:val="154"/>
  </w:num>
  <w:num w:numId="113">
    <w:abstractNumId w:val="158"/>
  </w:num>
  <w:num w:numId="114">
    <w:abstractNumId w:val="162"/>
  </w:num>
  <w:num w:numId="115">
    <w:abstractNumId w:val="120"/>
  </w:num>
  <w:num w:numId="116">
    <w:abstractNumId w:val="113"/>
  </w:num>
  <w:num w:numId="117">
    <w:abstractNumId w:val="78"/>
  </w:num>
  <w:num w:numId="118">
    <w:abstractNumId w:val="12"/>
  </w:num>
  <w:num w:numId="119">
    <w:abstractNumId w:val="128"/>
  </w:num>
  <w:num w:numId="120">
    <w:abstractNumId w:val="29"/>
  </w:num>
  <w:num w:numId="121">
    <w:abstractNumId w:val="76"/>
  </w:num>
  <w:num w:numId="122">
    <w:abstractNumId w:val="148"/>
  </w:num>
  <w:num w:numId="123">
    <w:abstractNumId w:val="133"/>
  </w:num>
  <w:num w:numId="124">
    <w:abstractNumId w:val="85"/>
  </w:num>
  <w:num w:numId="125">
    <w:abstractNumId w:val="95"/>
  </w:num>
  <w:num w:numId="126">
    <w:abstractNumId w:val="17"/>
  </w:num>
  <w:num w:numId="127">
    <w:abstractNumId w:val="107"/>
  </w:num>
  <w:num w:numId="128">
    <w:abstractNumId w:val="62"/>
  </w:num>
  <w:num w:numId="129">
    <w:abstractNumId w:val="87"/>
  </w:num>
  <w:num w:numId="130">
    <w:abstractNumId w:val="22"/>
  </w:num>
  <w:num w:numId="131">
    <w:abstractNumId w:val="16"/>
  </w:num>
  <w:num w:numId="132">
    <w:abstractNumId w:val="126"/>
  </w:num>
  <w:num w:numId="133">
    <w:abstractNumId w:val="41"/>
  </w:num>
  <w:num w:numId="134">
    <w:abstractNumId w:val="164"/>
  </w:num>
  <w:num w:numId="135">
    <w:abstractNumId w:val="11"/>
  </w:num>
  <w:num w:numId="136">
    <w:abstractNumId w:val="28"/>
  </w:num>
  <w:num w:numId="137">
    <w:abstractNumId w:val="132"/>
  </w:num>
  <w:num w:numId="138">
    <w:abstractNumId w:val="121"/>
  </w:num>
  <w:num w:numId="139">
    <w:abstractNumId w:val="159"/>
  </w:num>
  <w:num w:numId="140">
    <w:abstractNumId w:val="23"/>
  </w:num>
  <w:num w:numId="141">
    <w:abstractNumId w:val="6"/>
  </w:num>
  <w:num w:numId="142">
    <w:abstractNumId w:val="130"/>
  </w:num>
  <w:num w:numId="143">
    <w:abstractNumId w:val="153"/>
  </w:num>
  <w:num w:numId="144">
    <w:abstractNumId w:val="119"/>
  </w:num>
  <w:num w:numId="145">
    <w:abstractNumId w:val="81"/>
  </w:num>
  <w:num w:numId="146">
    <w:abstractNumId w:val="96"/>
  </w:num>
  <w:num w:numId="147">
    <w:abstractNumId w:val="53"/>
  </w:num>
  <w:num w:numId="148">
    <w:abstractNumId w:val="149"/>
  </w:num>
  <w:num w:numId="149">
    <w:abstractNumId w:val="93"/>
  </w:num>
  <w:num w:numId="150">
    <w:abstractNumId w:val="15"/>
  </w:num>
  <w:num w:numId="151">
    <w:abstractNumId w:val="20"/>
  </w:num>
  <w:num w:numId="152">
    <w:abstractNumId w:val="83"/>
  </w:num>
  <w:num w:numId="153">
    <w:abstractNumId w:val="2"/>
  </w:num>
  <w:num w:numId="154">
    <w:abstractNumId w:val="66"/>
  </w:num>
  <w:num w:numId="155">
    <w:abstractNumId w:val="124"/>
  </w:num>
  <w:num w:numId="156">
    <w:abstractNumId w:val="31"/>
  </w:num>
  <w:num w:numId="157">
    <w:abstractNumId w:val="36"/>
  </w:num>
  <w:num w:numId="158">
    <w:abstractNumId w:val="111"/>
    <w:lvlOverride w:ilvl="0">
      <w:startOverride w:val="1"/>
    </w:lvlOverride>
  </w:num>
  <w:num w:numId="159">
    <w:abstractNumId w:val="146"/>
    <w:lvlOverride w:ilvl="0">
      <w:startOverride w:val="1"/>
    </w:lvlOverride>
  </w:num>
  <w:num w:numId="160">
    <w:abstractNumId w:val="146"/>
  </w:num>
  <w:num w:numId="161">
    <w:abstractNumId w:val="146"/>
  </w:num>
  <w:num w:numId="162">
    <w:abstractNumId w:val="146"/>
  </w:num>
  <w:num w:numId="163">
    <w:abstractNumId w:val="146"/>
  </w:num>
  <w:num w:numId="164">
    <w:abstractNumId w:val="146"/>
  </w:num>
  <w:num w:numId="165">
    <w:abstractNumId w:val="146"/>
  </w:num>
  <w:num w:numId="166">
    <w:abstractNumId w:val="146"/>
  </w:num>
  <w:num w:numId="167">
    <w:abstractNumId w:val="146"/>
    <w:lvlOverride w:ilvl="0">
      <w:startOverride w:val="1"/>
    </w:lvlOverride>
  </w:num>
  <w:num w:numId="168">
    <w:abstractNumId w:val="152"/>
  </w:num>
  <w:num w:numId="169">
    <w:abstractNumId w:val="152"/>
  </w:num>
  <w:num w:numId="170">
    <w:abstractNumId w:val="152"/>
  </w:num>
  <w:num w:numId="171">
    <w:abstractNumId w:val="152"/>
  </w:num>
  <w:num w:numId="172">
    <w:abstractNumId w:val="152"/>
  </w:num>
  <w:num w:numId="173">
    <w:abstractNumId w:val="152"/>
  </w:num>
  <w:num w:numId="174">
    <w:abstractNumId w:val="152"/>
  </w:num>
  <w:num w:numId="175">
    <w:abstractNumId w:val="152"/>
  </w:num>
  <w:num w:numId="176">
    <w:abstractNumId w:val="152"/>
  </w:num>
  <w:num w:numId="177">
    <w:abstractNumId w:val="152"/>
  </w:num>
  <w:num w:numId="178">
    <w:abstractNumId w:val="109"/>
  </w:num>
  <w:num w:numId="179">
    <w:abstractNumId w:val="109"/>
  </w:num>
  <w:num w:numId="180">
    <w:abstractNumId w:val="109"/>
  </w:num>
  <w:num w:numId="181">
    <w:abstractNumId w:val="109"/>
  </w:num>
  <w:num w:numId="182">
    <w:abstractNumId w:val="109"/>
  </w:num>
  <w:num w:numId="183">
    <w:abstractNumId w:val="109"/>
  </w:num>
  <w:num w:numId="184">
    <w:abstractNumId w:val="109"/>
  </w:num>
  <w:num w:numId="185">
    <w:abstractNumId w:val="136"/>
  </w:num>
  <w:num w:numId="186">
    <w:abstractNumId w:val="101"/>
  </w:num>
  <w:num w:numId="187">
    <w:abstractNumId w:val="59"/>
  </w:num>
  <w:num w:numId="188">
    <w:abstractNumId w:val="34"/>
  </w:num>
  <w:num w:numId="189">
    <w:abstractNumId w:val="116"/>
  </w:num>
  <w:num w:numId="190">
    <w:abstractNumId w:val="90"/>
  </w:num>
  <w:num w:numId="191">
    <w:abstractNumId w:val="145"/>
  </w:num>
  <w:num w:numId="192">
    <w:abstractNumId w:val="14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3C85"/>
    <w:rsid w:val="000B1EDC"/>
    <w:rsid w:val="000D6EE2"/>
    <w:rsid w:val="000E28D4"/>
    <w:rsid w:val="001074C3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97A16"/>
    <w:rsid w:val="004C2FD9"/>
    <w:rsid w:val="004E5B73"/>
    <w:rsid w:val="00557EF0"/>
    <w:rsid w:val="00577AC6"/>
    <w:rsid w:val="005B0E11"/>
    <w:rsid w:val="00604AA4"/>
    <w:rsid w:val="00610FFD"/>
    <w:rsid w:val="00624555"/>
    <w:rsid w:val="00630C9B"/>
    <w:rsid w:val="00650EA5"/>
    <w:rsid w:val="0067667A"/>
    <w:rsid w:val="006811F7"/>
    <w:rsid w:val="00682EA4"/>
    <w:rsid w:val="006A1218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EFC"/>
    <w:rsid w:val="00811C6C"/>
    <w:rsid w:val="00884D61"/>
    <w:rsid w:val="00885AEB"/>
    <w:rsid w:val="008925E6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20464"/>
    <w:rsid w:val="00B230FE"/>
    <w:rsid w:val="00B44051"/>
    <w:rsid w:val="00B46410"/>
    <w:rsid w:val="00B56EA2"/>
    <w:rsid w:val="00B627C7"/>
    <w:rsid w:val="00B629F5"/>
    <w:rsid w:val="00B715D4"/>
    <w:rsid w:val="00BC40D3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7112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FB5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1">
    <w:name w:val="heading 1"/>
    <w:next w:val="a"/>
    <w:link w:val="10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2">
    <w:name w:val="heading 2"/>
    <w:basedOn w:val="1"/>
    <w:next w:val="a"/>
    <w:link w:val="20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3">
    <w:name w:val="heading 3"/>
    <w:basedOn w:val="2"/>
    <w:next w:val="a"/>
    <w:link w:val="30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4">
    <w:name w:val="heading 4"/>
    <w:basedOn w:val="3"/>
    <w:next w:val="a"/>
    <w:link w:val="40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50">
    <w:name w:val="heading 5"/>
    <w:basedOn w:val="4"/>
    <w:next w:val="a"/>
    <w:link w:val="51"/>
    <w:qFormat/>
    <w:rsid w:val="00BC24FC"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7">
    <w:name w:val="heading 7"/>
    <w:basedOn w:val="a"/>
    <w:next w:val="a"/>
    <w:link w:val="70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8">
    <w:name w:val="heading 8"/>
    <w:basedOn w:val="1"/>
    <w:next w:val="a"/>
    <w:link w:val="80"/>
    <w:qFormat/>
    <w:rsid w:val="00BC24FC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BC24F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20">
    <w:name w:val="标题 2 字符"/>
    <w:basedOn w:val="a0"/>
    <w:link w:val="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30">
    <w:name w:val="标题 3 字符"/>
    <w:basedOn w:val="a0"/>
    <w:link w:val="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40">
    <w:name w:val="标题 4 字符"/>
    <w:basedOn w:val="a0"/>
    <w:link w:val="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51">
    <w:name w:val="标题 5 字符"/>
    <w:basedOn w:val="a0"/>
    <w:link w:val="50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60">
    <w:name w:val="标题 6 字符"/>
    <w:basedOn w:val="a0"/>
    <w:link w:val="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70">
    <w:name w:val="标题 7 字符"/>
    <w:basedOn w:val="a0"/>
    <w:link w:val="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80">
    <w:name w:val="标题 8 字符"/>
    <w:basedOn w:val="a0"/>
    <w:link w:val="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90">
    <w:name w:val="标题 9 字符"/>
    <w:basedOn w:val="a0"/>
    <w:link w:val="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a3">
    <w:name w:val="页眉 字符"/>
    <w:basedOn w:val="a0"/>
    <w:link w:val="a4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a5">
    <w:name w:val="页脚 字符"/>
    <w:basedOn w:val="a0"/>
    <w:link w:val="a6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a7">
    <w:name w:val="题注 字符"/>
    <w:link w:val="a8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a0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a9">
    <w:name w:val="annotation reference"/>
    <w:basedOn w:val="a0"/>
    <w:unhideWhenUsed/>
    <w:qFormat/>
    <w:rsid w:val="004955BE"/>
    <w:rPr>
      <w:sz w:val="16"/>
      <w:szCs w:val="16"/>
    </w:rPr>
  </w:style>
  <w:style w:type="character" w:customStyle="1" w:styleId="aa">
    <w:name w:val="批注文字 字符"/>
    <w:basedOn w:val="a0"/>
    <w:link w:val="ab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ac">
    <w:name w:val="批注主题 字符"/>
    <w:basedOn w:val="aa"/>
    <w:link w:val="ad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a0"/>
    <w:uiPriority w:val="99"/>
    <w:unhideWhenUsed/>
    <w:qFormat/>
    <w:rsid w:val="002A5599"/>
    <w:rPr>
      <w:color w:val="2B579A"/>
      <w:shd w:val="clear" w:color="auto" w:fill="E1DFDD"/>
    </w:rPr>
  </w:style>
  <w:style w:type="character" w:styleId="ae">
    <w:name w:val="Hyperlink"/>
    <w:basedOn w:val="a0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af">
    <w:name w:val="Intense Emphasis"/>
    <w:basedOn w:val="a0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af0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af1">
    <w:name w:val="Subtle Emphasis"/>
    <w:basedOn w:val="a0"/>
    <w:uiPriority w:val="19"/>
    <w:qFormat/>
    <w:rsid w:val="00CA7560"/>
    <w:rPr>
      <w:i/>
      <w:iCs/>
      <w:color w:val="404040" w:themeColor="text1" w:themeTint="BF"/>
    </w:rPr>
  </w:style>
  <w:style w:type="character" w:customStyle="1" w:styleId="af2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3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宋体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宋体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宋体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宋体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af4">
    <w:name w:val="批注框文本 字符"/>
    <w:basedOn w:val="a0"/>
    <w:link w:val="af5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1">
    <w:name w:val="未处理的提及1"/>
    <w:basedOn w:val="a0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af6">
    <w:name w:val="正文文本 字符"/>
    <w:basedOn w:val="a0"/>
    <w:link w:val="af7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af8">
    <w:name w:val="Strong"/>
    <w:qFormat/>
    <w:rsid w:val="00430E44"/>
    <w:rPr>
      <w:b/>
      <w:bCs/>
    </w:rPr>
  </w:style>
  <w:style w:type="character" w:customStyle="1" w:styleId="ui-provider">
    <w:name w:val="ui-provider"/>
    <w:basedOn w:val="a0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a0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2">
    <w:name w:val="멘션1"/>
    <w:basedOn w:val="a0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a0"/>
    <w:qFormat/>
    <w:rsid w:val="00D16036"/>
    <w:rPr>
      <w:rFonts w:ascii="Segoe UI" w:hAnsi="Segoe UI" w:cs="Segoe UI"/>
      <w:sz w:val="18"/>
      <w:szCs w:val="18"/>
    </w:rPr>
  </w:style>
  <w:style w:type="character" w:styleId="af9">
    <w:name w:val="Placeholder Text"/>
    <w:basedOn w:val="a0"/>
    <w:uiPriority w:val="99"/>
    <w:semiHidden/>
    <w:qFormat/>
    <w:rsid w:val="00C32BDE"/>
    <w:rPr>
      <w:color w:val="666666"/>
    </w:rPr>
  </w:style>
  <w:style w:type="character" w:customStyle="1" w:styleId="13">
    <w:name w:val="확인되지 않은 멘션1"/>
    <w:basedOn w:val="a0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4">
    <w:name w:val="未解決のメンション1"/>
    <w:basedOn w:val="a0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5">
    <w:name w:val="メンション1"/>
    <w:basedOn w:val="a0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2">
    <w:name w:val="확인되지 않은 멘션2"/>
    <w:basedOn w:val="a0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7">
    <w:name w:val="Body Text"/>
    <w:basedOn w:val="a"/>
    <w:link w:val="af6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afa">
    <w:name w:val="List"/>
    <w:basedOn w:val="a"/>
    <w:uiPriority w:val="99"/>
    <w:semiHidden/>
    <w:unhideWhenUsed/>
    <w:rsid w:val="00E82CBA"/>
    <w:pPr>
      <w:ind w:left="360" w:hanging="360"/>
      <w:contextualSpacing/>
    </w:pPr>
  </w:style>
  <w:style w:type="paragraph" w:styleId="a8">
    <w:name w:val="caption"/>
    <w:basedOn w:val="a"/>
    <w:next w:val="a"/>
    <w:link w:val="a7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a"/>
    <w:link w:val="3GPPTextChar"/>
    <w:qFormat/>
    <w:rsid w:val="00BC24FC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a6">
    <w:name w:val="footer"/>
    <w:basedOn w:val="a"/>
    <w:link w:val="a5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a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a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af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a"/>
    <w:link w:val="af2"/>
    <w:uiPriority w:val="34"/>
    <w:qFormat/>
    <w:rsid w:val="00364FF9"/>
    <w:pPr>
      <w:ind w:left="720"/>
      <w:contextualSpacing/>
    </w:pPr>
  </w:style>
  <w:style w:type="paragraph" w:styleId="afb">
    <w:name w:val="Revision"/>
    <w:uiPriority w:val="99"/>
    <w:semiHidden/>
    <w:qFormat/>
    <w:rsid w:val="00457A8C"/>
  </w:style>
  <w:style w:type="paragraph" w:styleId="ab">
    <w:name w:val="annotation text"/>
    <w:basedOn w:val="a"/>
    <w:link w:val="aa"/>
    <w:uiPriority w:val="99"/>
    <w:unhideWhenUsed/>
    <w:qFormat/>
    <w:rsid w:val="004955BE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a"/>
    <w:next w:val="a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a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宋体" w:hAnsi="Arial"/>
      <w:b/>
      <w:sz w:val="20"/>
      <w:szCs w:val="20"/>
    </w:rPr>
  </w:style>
  <w:style w:type="paragraph" w:customStyle="1" w:styleId="TAL">
    <w:name w:val="TAL"/>
    <w:basedOn w:val="a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宋体" w:hAnsi="Arial"/>
      <w:sz w:val="18"/>
      <w:szCs w:val="20"/>
    </w:rPr>
  </w:style>
  <w:style w:type="paragraph" w:customStyle="1" w:styleId="maintext">
    <w:name w:val="main text"/>
    <w:basedOn w:val="a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afc">
    <w:name w:val="table of figures"/>
    <w:basedOn w:val="a"/>
    <w:next w:val="a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af5">
    <w:name w:val="Balloon Text"/>
    <w:basedOn w:val="a"/>
    <w:link w:val="af4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a"/>
    <w:link w:val="hshChar"/>
    <w:qFormat/>
    <w:rsid w:val="000D243A"/>
    <w:pPr>
      <w:widowControl w:val="0"/>
      <w:spacing w:after="0" w:line="360" w:lineRule="exact"/>
    </w:pPr>
    <w:rPr>
      <w:rFonts w:eastAsia="宋体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af7"/>
    <w:next w:val="a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宋体"/>
      <w:b/>
      <w:szCs w:val="20"/>
      <w:lang w:eastAsia="zh-CN"/>
    </w:rPr>
  </w:style>
  <w:style w:type="paragraph" w:customStyle="1" w:styleId="B1">
    <w:name w:val="B1"/>
    <w:basedOn w:val="afa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a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a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afd">
    <w:name w:val="Normal (Web)"/>
    <w:basedOn w:val="a"/>
    <w:uiPriority w:val="99"/>
    <w:unhideWhenUsed/>
    <w:qFormat/>
    <w:rsid w:val="00016741"/>
    <w:pPr>
      <w:spacing w:beforeAutospacing="1" w:afterAutospacing="1"/>
      <w:jc w:val="left"/>
    </w:pPr>
    <w:rPr>
      <w:rFonts w:ascii="宋体" w:eastAsia="t" w:hAnsi="宋体" w:cs="宋体"/>
      <w:sz w:val="24"/>
      <w:szCs w:val="24"/>
      <w:lang w:val="en-US" w:eastAsia="zh-CN"/>
    </w:rPr>
  </w:style>
  <w:style w:type="paragraph" w:styleId="afe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a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a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5">
    <w:name w:val="List Bullet 5"/>
    <w:basedOn w:val="41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41">
    <w:name w:val="List Bullet 4"/>
    <w:basedOn w:val="a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a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3">
    <w:name w:val="列表段落2"/>
    <w:basedOn w:val="a"/>
    <w:qFormat/>
    <w:rsid w:val="001B5080"/>
    <w:pPr>
      <w:spacing w:line="276" w:lineRule="auto"/>
      <w:ind w:left="840"/>
      <w:textAlignment w:val="baseline"/>
    </w:pPr>
    <w:rPr>
      <w:rFonts w:eastAsia="宋体"/>
      <w:sz w:val="20"/>
      <w:szCs w:val="20"/>
    </w:rPr>
  </w:style>
  <w:style w:type="table" w:styleId="aff">
    <w:name w:val="Table Grid"/>
    <w:basedOn w:val="a1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a1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a1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a1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a1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1"/>
    <w:basedOn w:val="a1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Elegant"/>
    <w:basedOn w:val="a1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a1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a1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" Type="http://schemas.openxmlformats.org/officeDocument/2006/relationships/customXml" Target="../customXml/item5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zh-CN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zh-CN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3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488B22-7BF4-45B4-BAB5-25EC72A99E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54</Pages>
  <Words>13205</Words>
  <Characters>75269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刘文东(Liu Wendong)</cp:lastModifiedBy>
  <cp:revision>15</cp:revision>
  <dcterms:created xsi:type="dcterms:W3CDTF">2024-08-20T14:09:00Z</dcterms:created>
  <dcterms:modified xsi:type="dcterms:W3CDTF">2024-08-21T14:02:00Z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