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 xml:space="preserve">Send any </w:t>
      </w:r>
      <w:proofErr w:type="gramStart"/>
      <w:r w:rsidRPr="00E155A0">
        <w:rPr>
          <w:rFonts w:ascii="Arial" w:eastAsiaTheme="minorEastAsia" w:hAnsi="Arial" w:cs="Arial"/>
          <w:b/>
          <w:sz w:val="22"/>
          <w:szCs w:val="22"/>
        </w:rPr>
        <w:t>reply</w:t>
      </w:r>
      <w:proofErr w:type="gramEnd"/>
      <w:r w:rsidRPr="00E155A0">
        <w:rPr>
          <w:rFonts w:ascii="Arial" w:eastAsiaTheme="minorEastAsia" w:hAnsi="Arial" w:cs="Arial"/>
          <w:b/>
          <w:sz w:val="22"/>
          <w:szCs w:val="22"/>
        </w:rPr>
        <w:t xml:space="preserve">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1BA3D5DA" w14:textId="2C37DFF5" w:rsidR="00E155A0" w:rsidRPr="009624C9"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3515628"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9" w:name="_Hlk530081182"/>
      <w:r w:rsidRPr="00E155A0">
        <w:rPr>
          <w:rFonts w:eastAsiaTheme="minorEastAsia"/>
          <w:b/>
          <w:sz w:val="28"/>
          <w:lang w:val="en-US"/>
        </w:rPr>
        <w:t xml:space="preserve">IMT </w:t>
      </w:r>
      <w:bookmarkEnd w:id="9"/>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1ACCC55C" w14:textId="112F4F2D" w:rsidR="00A7492C" w:rsidRPr="00E61411"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E61411">
              <w:rPr>
                <w:rFonts w:eastAsiaTheme="minorEastAsia"/>
                <w:highlight w:val="yellow"/>
              </w:rPr>
              <w:t>Signal bandwidth = N</w:t>
            </w:r>
            <w:r w:rsidRPr="00E61411">
              <w:rPr>
                <w:rFonts w:eastAsiaTheme="minorEastAsia"/>
                <w:highlight w:val="yellow"/>
                <w:vertAlign w:val="subscript"/>
              </w:rPr>
              <w:t>RB</w:t>
            </w:r>
            <w:r w:rsidRPr="00E61411">
              <w:rPr>
                <w:rFonts w:eastAsiaTheme="minorEastAsia"/>
                <w:highlight w:val="yellow"/>
              </w:rPr>
              <w:t xml:space="preserve"> </w:t>
            </w:r>
            <w:r w:rsidR="00E56B51" w:rsidRPr="00E61411">
              <w:rPr>
                <w:rFonts w:eastAsiaTheme="minorEastAsia"/>
                <w:highlight w:val="yellow"/>
              </w:rPr>
              <w:t>×</w:t>
            </w:r>
            <w:r w:rsidRPr="00E61411">
              <w:rPr>
                <w:rFonts w:eastAsiaTheme="minorEastAsia"/>
                <w:highlight w:val="yellow"/>
              </w:rPr>
              <w:t xml:space="preserve"> SCS </w:t>
            </w:r>
            <w:r w:rsidR="00E56B51" w:rsidRPr="00E61411">
              <w:rPr>
                <w:rFonts w:eastAsiaTheme="minorEastAsia"/>
                <w:highlight w:val="yellow"/>
              </w:rPr>
              <w:t>×</w:t>
            </w:r>
            <w:r w:rsidRPr="00E61411">
              <w:rPr>
                <w:rFonts w:eastAsiaTheme="minorEastAsia"/>
                <w:highlight w:val="yellow"/>
              </w:rPr>
              <w:t xml:space="preserve"> 12</w:t>
            </w:r>
          </w:p>
          <w:p w14:paraId="6588A8C5" w14:textId="7DB81A10" w:rsidR="00B12DD0" w:rsidRPr="00E61411"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E61411">
              <w:rPr>
                <w:highlight w:val="yellow"/>
              </w:rPr>
              <w:t xml:space="preserve">Will be derived from </w:t>
            </w:r>
            <w:r w:rsidRPr="00E61411">
              <w:rPr>
                <w:highlight w:val="yellow"/>
              </w:rPr>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71D8004E" w:rsidR="00E155A0" w:rsidRPr="00A01209" w:rsidRDefault="00BA0261"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05DA4">
              <w:rPr>
                <w:rFonts w:eastAsiaTheme="minorEastAsia"/>
                <w:highlight w:val="yellow"/>
              </w:rPr>
              <w:t>TBD</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11EDFAF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OBUE</w:t>
            </w:r>
            <w:proofErr w:type="spellEnd"/>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18589EED" w:rsidR="00013954" w:rsidRPr="0006562B"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200 MHz BW requirements the same as</w:t>
            </w:r>
            <w:r w:rsidR="00013954" w:rsidRPr="0006562B">
              <w:rPr>
                <w:rFonts w:eastAsiaTheme="minorEastAsia"/>
              </w:rPr>
              <w:t xml:space="preserve"> [2]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1885A92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31 dB</w:t>
            </w:r>
          </w:p>
        </w:tc>
        <w:tc>
          <w:tcPr>
            <w:tcW w:w="1001" w:type="pct"/>
            <w:shd w:val="clear" w:color="auto" w:fill="auto"/>
            <w:vAlign w:val="center"/>
          </w:tcPr>
          <w:p w14:paraId="1070F731" w14:textId="1A0489B2"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highlight w:val="yellow"/>
              </w:rPr>
              <w:t>[</w:t>
            </w:r>
            <w:r w:rsidRPr="00367F2A">
              <w:rPr>
                <w:rFonts w:eastAsiaTheme="minorEastAsia"/>
                <w:highlight w:val="yellow"/>
              </w:rPr>
              <w:t>24</w:t>
            </w:r>
            <w:r>
              <w:rPr>
                <w:rFonts w:eastAsiaTheme="minorEastAsia"/>
                <w:highlight w:val="yellow"/>
              </w:rPr>
              <w:t>]</w:t>
            </w:r>
            <w:r w:rsidRPr="00367F2A">
              <w:rPr>
                <w:rFonts w:eastAsiaTheme="minorEastAsia"/>
                <w:highlight w:val="yellow"/>
              </w:rPr>
              <w:t xml:space="preserve"> dB</w:t>
            </w:r>
            <w:r>
              <w:rPr>
                <w:rFonts w:eastAsiaTheme="minorEastAsia"/>
                <w:highlight w:val="yellow"/>
              </w:rPr>
              <w:t xml:space="preserve"> </w:t>
            </w:r>
            <w:r w:rsidRPr="00A73EF9">
              <w:rPr>
                <w:rFonts w:eastAsiaTheme="minorEastAsia"/>
                <w:highlight w:val="yellow"/>
                <w:vertAlign w:val="superscript"/>
              </w:rPr>
              <w:t xml:space="preserve">(Note </w:t>
            </w:r>
            <w:r>
              <w:rPr>
                <w:rFonts w:eastAsiaTheme="minorEastAsia"/>
                <w:highlight w:val="yellow"/>
                <w:vertAlign w:val="superscript"/>
              </w:rPr>
              <w:t>3</w:t>
            </w:r>
            <w:r w:rsidRPr="00A73EF9">
              <w:rPr>
                <w:rFonts w:eastAsiaTheme="minorEastAsia"/>
                <w:highlight w:val="yellow"/>
                <w:vertAlign w:val="superscript"/>
              </w:rPr>
              <w:t>)</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251B0BE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120836BB" w:rsidR="00013954" w:rsidRPr="0006562B" w:rsidRDefault="00D3312F"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200 MHz BW requirements the same as</w:t>
            </w:r>
            <w:r w:rsidRPr="0006562B">
              <w:rPr>
                <w:rFonts w:eastAsiaTheme="minorEastAsia"/>
              </w:rPr>
              <w:t xml:space="preserve"> </w:t>
            </w:r>
            <w:r w:rsidR="00013954" w:rsidRPr="0006562B">
              <w:rPr>
                <w:rFonts w:eastAsiaTheme="minorEastAsia"/>
              </w:rPr>
              <w:t>[2]</w:t>
            </w:r>
            <w:r w:rsidR="00013954" w:rsidRPr="0006562B">
              <w:rPr>
                <w:rFonts w:eastAsiaTheme="minorEastAsia"/>
                <w:lang w:val="en-US"/>
              </w:rPr>
              <w:t>, § 6.5</w:t>
            </w:r>
            <w:r w:rsidR="0072353F">
              <w:rPr>
                <w:rFonts w:eastAsiaTheme="minorEastAsia"/>
                <w:lang w:val="en-US"/>
              </w:rPr>
              <w:t>A</w:t>
            </w:r>
            <w:r w:rsidR="00013954" w:rsidRPr="0006562B">
              <w:rPr>
                <w:rFonts w:eastAsiaTheme="minorEastAsia"/>
                <w:lang w:val="en-US"/>
              </w:rPr>
              <w:t>.3.</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27E967D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(Note 1)</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SimSun"/>
                <w:highlight w:val="yellow"/>
                <w:lang w:val="en-US"/>
              </w:rPr>
              <w:t>[13]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1021ED01"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19717F">
              <w:rPr>
                <w:highlight w:val="yellow"/>
              </w:rPr>
              <w:t>In-band blocking level</w:t>
            </w:r>
            <w:r w:rsidR="003607F9">
              <w:t>:</w:t>
            </w:r>
            <w:r>
              <w:br/>
            </w:r>
            <w:r>
              <w:br/>
            </w:r>
            <w:r w:rsidR="0006562B" w:rsidRPr="0006562B">
              <w:t xml:space="preserve">Out-of-band blocking level: </w:t>
            </w:r>
            <w:r w:rsidR="00D75CAC" w:rsidRPr="0006562B">
              <w:t xml:space="preserve">See table </w:t>
            </w:r>
            <w:r w:rsidR="00D75CAC" w:rsidRPr="0006562B">
              <w:t>3</w:t>
            </w:r>
            <w:r w:rsidR="00D75CAC" w:rsidRPr="0006562B">
              <w:t xml:space="preserve">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w:t>
            </w:r>
            <w:r w:rsidR="0019717F">
              <w:rPr>
                <w:iCs/>
                <w:vertAlign w:val="subscript"/>
              </w:rPr>
              <w:t>OB</w:t>
            </w:r>
            <w:proofErr w:type="spellEnd"/>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21457B1D"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4C0BCE">
              <w:rPr>
                <w:rFonts w:eastAsiaTheme="minorEastAsia"/>
                <w:highlight w:val="yellow"/>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E61411"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lang w:val="en-US"/>
              </w:rPr>
            </w:pPr>
            <w:r w:rsidRPr="00E61411">
              <w:rPr>
                <w:rFonts w:eastAsiaTheme="minorEastAsia"/>
                <w:highlight w:val="yellow"/>
                <w:lang w:val="en-US"/>
              </w:rPr>
              <w:t xml:space="preserve">See below “SINR operating range and mapping function” </w:t>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091704" w14:textId="68589F3A" w:rsidR="007340E9" w:rsidRPr="00D74B12" w:rsidRDefault="008E7670" w:rsidP="00B352E2">
      <w:pPr>
        <w:pStyle w:val="Tablelegend"/>
        <w:ind w:left="709" w:hanging="709"/>
        <w:rPr>
          <w:sz w:val="20"/>
        </w:rPr>
      </w:pPr>
      <w:r w:rsidRPr="00D74B12">
        <w:rPr>
          <w:sz w:val="20"/>
        </w:rPr>
        <w:t xml:space="preserve">Note </w:t>
      </w:r>
      <w:r w:rsidR="008A0F02">
        <w:rPr>
          <w:sz w:val="20"/>
        </w:rPr>
        <w:t>2</w:t>
      </w:r>
      <w:r w:rsidRPr="00D74B12">
        <w:rPr>
          <w:sz w:val="20"/>
        </w:rPr>
        <w:t>:</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w:t>
      </w:r>
    </w:p>
    <w:p w14:paraId="7AE78669" w14:textId="22644746" w:rsidR="00577FDC" w:rsidRDefault="00577FDC" w:rsidP="00577FDC">
      <w:pPr>
        <w:pStyle w:val="Tablelegend"/>
        <w:ind w:left="709" w:hanging="709"/>
        <w:rPr>
          <w:sz w:val="20"/>
        </w:rPr>
      </w:pPr>
      <w:r w:rsidRPr="00D74B12">
        <w:rPr>
          <w:sz w:val="20"/>
        </w:rPr>
        <w:t xml:space="preserve">Note </w:t>
      </w:r>
      <w:r w:rsidR="00217190">
        <w:rPr>
          <w:sz w:val="20"/>
        </w:rPr>
        <w:t>3</w:t>
      </w:r>
      <w:r w:rsidRPr="00D74B12">
        <w:rPr>
          <w:sz w:val="20"/>
        </w:rPr>
        <w:t>:</w:t>
      </w:r>
      <w:r w:rsidRPr="00D74B12">
        <w:rPr>
          <w:sz w:val="20"/>
        </w:rPr>
        <w:tab/>
      </w:r>
      <w:r w:rsidR="00D72D1C">
        <w:rPr>
          <w:sz w:val="20"/>
        </w:rPr>
        <w:t xml:space="preserve">User equipment (UE) </w:t>
      </w:r>
      <w:r w:rsidR="008806CD">
        <w:rPr>
          <w:sz w:val="20"/>
        </w:rPr>
        <w:t>ACLR value</w:t>
      </w:r>
      <w:r w:rsidR="00DD479D">
        <w:rPr>
          <w:sz w:val="20"/>
        </w:rPr>
        <w:t xml:space="preserve"> is</w:t>
      </w:r>
      <w:r w:rsidR="0095071B">
        <w:rPr>
          <w:sz w:val="20"/>
        </w:rPr>
        <w:t xml:space="preserve"> driven considering </w:t>
      </w:r>
      <w:r w:rsidR="00FF436E">
        <w:rPr>
          <w:sz w:val="20"/>
        </w:rPr>
        <w:t xml:space="preserve">the UE needs to meet the </w:t>
      </w:r>
      <w:r w:rsidR="004C2D87">
        <w:rPr>
          <w:sz w:val="20"/>
        </w:rPr>
        <w:t>Occupied bandwidth (OBW)</w:t>
      </w:r>
      <w:r w:rsidR="008806CD">
        <w:rPr>
          <w:sz w:val="20"/>
        </w:rPr>
        <w:t xml:space="preserve"> requirements</w:t>
      </w:r>
      <w:r w:rsidR="006A06E7">
        <w:rPr>
          <w:sz w:val="20"/>
        </w:rPr>
        <w:t xml:space="preserve">, which </w:t>
      </w:r>
      <w:r w:rsidR="00DD479D">
        <w:rPr>
          <w:sz w:val="20"/>
        </w:rPr>
        <w:t>is</w:t>
      </w:r>
      <w:r w:rsidR="006A06E7">
        <w:rPr>
          <w:sz w:val="20"/>
        </w:rPr>
        <w:t xml:space="preserve"> higher </w:t>
      </w:r>
      <w:r w:rsidR="004E0867">
        <w:rPr>
          <w:sz w:val="20"/>
        </w:rPr>
        <w:t>than needed</w:t>
      </w:r>
      <w:r w:rsidR="00C70DFA">
        <w:rPr>
          <w:sz w:val="20"/>
        </w:rPr>
        <w:t xml:space="preserve"> for</w:t>
      </w:r>
      <w:r w:rsidR="006A06E7">
        <w:rPr>
          <w:sz w:val="20"/>
        </w:rPr>
        <w:t xml:space="preserve"> co-existence</w:t>
      </w:r>
      <w:r w:rsidR="00C70DFA">
        <w:rPr>
          <w:sz w:val="20"/>
        </w:rPr>
        <w:t xml:space="preserve">. </w:t>
      </w:r>
    </w:p>
    <w:p w14:paraId="23ACD055" w14:textId="626345EE" w:rsidR="00B352E2" w:rsidRPr="00D74B12" w:rsidRDefault="00A76068" w:rsidP="00577FDC">
      <w:pPr>
        <w:pStyle w:val="Tablelegend"/>
        <w:ind w:left="709" w:hanging="709"/>
        <w:rPr>
          <w:sz w:val="20"/>
        </w:rPr>
      </w:pPr>
      <w:r>
        <w:rPr>
          <w:sz w:val="20"/>
        </w:rPr>
        <w:t>Note 4:</w:t>
      </w:r>
      <w:r>
        <w:rPr>
          <w:sz w:val="20"/>
        </w:rPr>
        <w:tab/>
      </w:r>
      <w:r w:rsidR="004D6AED" w:rsidRPr="00D74B12">
        <w:rPr>
          <w:sz w:val="20"/>
        </w:rPr>
        <w:t xml:space="preserve">Base Station In-band blocking applies in the supported uplink operating band plus the frequency ranges extending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above and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 xml:space="preserve">12750 to </w:t>
            </w:r>
            <w:proofErr w:type="spellStart"/>
            <w:proofErr w:type="gramStart"/>
            <w:r w:rsidRPr="00D75CAC">
              <w:rPr>
                <w:lang w:val="en-US"/>
              </w:rPr>
              <w:t>F</w:t>
            </w:r>
            <w:r w:rsidRPr="00D75CAC">
              <w:rPr>
                <w:vertAlign w:val="subscript"/>
                <w:lang w:val="en-US"/>
              </w:rPr>
              <w:t>UL</w:t>
            </w:r>
            <w:r w:rsidRPr="00D75CAC">
              <w:rPr>
                <w:rFonts w:cs="Arial"/>
                <w:vertAlign w:val="subscript"/>
                <w:lang w:val="en-US"/>
              </w:rPr>
              <w:t>,low</w:t>
            </w:r>
            <w:proofErr w:type="spellEnd"/>
            <w:proofErr w:type="gramEnd"/>
            <w:r w:rsidRPr="00D75CAC">
              <w:rPr>
                <w:rFonts w:cs="Arial"/>
                <w:vertAlign w:val="subscript"/>
                <w:lang w:val="en-US"/>
              </w:rPr>
              <w:t xml:space="preserve">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proofErr w:type="spellStart"/>
            <w:proofErr w:type="gramStart"/>
            <w:r w:rsidRPr="00D75CAC">
              <w:rPr>
                <w:lang w:val="en-US"/>
              </w:rPr>
              <w:t>F</w:t>
            </w:r>
            <w:r w:rsidRPr="00D75CAC">
              <w:rPr>
                <w:vertAlign w:val="subscript"/>
                <w:lang w:val="en-US"/>
              </w:rPr>
              <w:t>UL</w:t>
            </w:r>
            <w:r w:rsidRPr="00D75CAC">
              <w:rPr>
                <w:rFonts w:cs="Arial"/>
                <w:vertAlign w:val="subscript"/>
                <w:lang w:val="en-US"/>
              </w:rPr>
              <w:t>,high</w:t>
            </w:r>
            <w:proofErr w:type="spellEnd"/>
            <w:proofErr w:type="gramEnd"/>
            <w:r w:rsidRPr="00D75CAC">
              <w:rPr>
                <w:rFonts w:cs="Arial"/>
                <w:vertAlign w:val="subscript"/>
                <w:lang w:val="en-US"/>
              </w:rPr>
              <w:t xml:space="preserve">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0" w:name="OLE_LINK2"/>
      <w:bookmarkStart w:id="11"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0"/>
      <w:bookmarkEnd w:id="11"/>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2"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2"/>
    <w:p w14:paraId="41AA952F" w14:textId="0C37CFEE" w:rsidR="00E155A0" w:rsidRPr="00E155A0" w:rsidRDefault="00E155A0" w:rsidP="00E155A0">
      <w:pPr>
        <w:keepNext/>
        <w:keepLines/>
        <w:spacing w:after="0"/>
        <w:jc w:val="center"/>
        <w:rPr>
          <w:rFonts w:ascii="Arial" w:eastAsia="SimSun" w:hAnsi="Arial"/>
          <w:b/>
        </w:rPr>
      </w:pPr>
      <w:r w:rsidRPr="001D0DE2">
        <w:rPr>
          <w:rFonts w:ascii="Arial" w:eastAsia="SimSun" w:hAnsi="Arial"/>
          <w:b/>
          <w:highlight w:val="yellow"/>
        </w:rPr>
        <w:lastRenderedPageBreak/>
        <w:t>Table 4:</w:t>
      </w:r>
      <w:r w:rsidRPr="001D0DE2">
        <w:rPr>
          <w:rFonts w:eastAsiaTheme="minorEastAsia"/>
          <w:highlight w:val="yellow"/>
        </w:rPr>
        <w:t xml:space="preserve"> </w:t>
      </w:r>
      <w:r w:rsidRPr="001D0DE2">
        <w:rPr>
          <w:rFonts w:ascii="Arial" w:eastAsia="SimSun" w:hAnsi="Arial"/>
          <w:b/>
          <w:highlight w:val="yellow"/>
        </w:rPr>
        <w:t xml:space="preserve">Beamforming antenna characteristics for IMT in </w:t>
      </w:r>
      <w:r w:rsidR="003C4C52" w:rsidRPr="001D0DE2">
        <w:rPr>
          <w:rFonts w:ascii="Arial" w:eastAsia="SimSun" w:hAnsi="Arial"/>
          <w:b/>
          <w:highlight w:val="yellow"/>
        </w:rPr>
        <w:t>14800 to 15350</w:t>
      </w:r>
      <w:r w:rsidRPr="001D0DE2">
        <w:rPr>
          <w:rFonts w:ascii="Arial" w:eastAsia="SimSun" w:hAnsi="Arial"/>
          <w:b/>
          <w:highlight w:val="yellow"/>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B0890D7" w:rsidR="00984500" w:rsidRPr="00E155A0" w:rsidRDefault="00341A03"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Pr>
                <w:rFonts w:ascii="Times New Roman Bold" w:eastAsia="Calibri" w:hAnsi="Times New Roman Bold" w:cs="Times New Roman Bold"/>
                <w:b/>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4F558EC7" w:rsidR="00341A03" w:rsidRPr="002E3321" w:rsidRDefault="00341A03" w:rsidP="00341A03">
            <w:pPr>
              <w:spacing w:before="40" w:after="20"/>
              <w:jc w:val="center"/>
              <w:rPr>
                <w:rFonts w:eastAsia="Calibri" w:cs="Arial"/>
                <w:szCs w:val="22"/>
                <w:lang w:eastAsia="ko-KR"/>
              </w:rPr>
            </w:pPr>
            <w:r>
              <w:rPr>
                <w:rFonts w:eastAsiaTheme="minorEastAsia"/>
              </w:rPr>
              <w:t>17.1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53383E" w:rsidR="00341A03" w:rsidRPr="002E3321" w:rsidRDefault="00341A03" w:rsidP="00341A03">
            <w:pPr>
              <w:spacing w:before="40" w:after="20"/>
              <w:jc w:val="center"/>
              <w:rPr>
                <w:rFonts w:eastAsia="Calibri"/>
                <w:szCs w:val="22"/>
              </w:rPr>
            </w:pPr>
            <w:r>
              <w:rPr>
                <w:rFonts w:eastAsiaTheme="minorEastAsia"/>
              </w:rPr>
              <w:t>17.1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3A17518" w:rsidR="00341A03" w:rsidRPr="002E3321" w:rsidRDefault="00341A03" w:rsidP="00341A03">
            <w:pPr>
              <w:spacing w:before="40" w:after="20"/>
              <w:jc w:val="center"/>
              <w:rPr>
                <w:rFonts w:eastAsia="Calibri"/>
                <w:szCs w:val="22"/>
                <w:lang w:eastAsia="ko-KR"/>
              </w:rPr>
            </w:pPr>
            <w:r>
              <w:rPr>
                <w:rFonts w:eastAsiaTheme="minorEastAsia"/>
              </w:rPr>
              <w:t>8.1</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15FA00" w:rsidR="00341A03" w:rsidRPr="002E3321" w:rsidRDefault="00341A03" w:rsidP="00341A03">
            <w:pPr>
              <w:spacing w:before="40" w:after="20"/>
              <w:jc w:val="center"/>
              <w:rPr>
                <w:rFonts w:eastAsia="Calibri"/>
                <w:szCs w:val="22"/>
              </w:rPr>
            </w:pPr>
            <w:r>
              <w:rPr>
                <w:rFonts w:eastAsia="Calibri"/>
              </w:rPr>
              <w:t>8.9</w:t>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DBA01CC" w:rsidR="00341A03" w:rsidRPr="001C239F" w:rsidRDefault="00341A03" w:rsidP="00341A03">
            <w:pPr>
              <w:spacing w:before="40" w:after="20"/>
              <w:jc w:val="center"/>
              <w:rPr>
                <w:rFonts w:eastAsiaTheme="minorEastAsia"/>
                <w:highlight w:val="yellow"/>
                <w:lang w:val="en-US" w:eastAsia="zh-CN"/>
              </w:rPr>
            </w:pPr>
            <w:r w:rsidRPr="002758B9">
              <w:rPr>
                <w:rFonts w:eastAsiaTheme="minorEastAsia"/>
                <w:lang w:eastAsia="zh-CN"/>
              </w:rPr>
              <w:t>81.26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070AE826" w:rsidR="00341A03" w:rsidRPr="001C239F" w:rsidRDefault="00341A03" w:rsidP="00341A03">
            <w:pPr>
              <w:spacing w:before="40" w:after="20"/>
              <w:jc w:val="center"/>
              <w:rPr>
                <w:rFonts w:eastAsia="Calibri" w:cs="Arial"/>
                <w:szCs w:val="22"/>
                <w:highlight w:val="yellow"/>
                <w:lang w:eastAsia="ko-KR"/>
              </w:rPr>
            </w:pPr>
            <w:r w:rsidRPr="002758B9">
              <w:rPr>
                <w:rFonts w:eastAsia="Calibri" w:cs="Arial"/>
                <w:lang w:eastAsia="ko-KR"/>
              </w:rPr>
              <w:t>81.26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2606C4F" w:rsidR="00341A03" w:rsidRPr="001C239F" w:rsidDel="003430C8" w:rsidRDefault="00341A03" w:rsidP="00341A03">
            <w:pPr>
              <w:spacing w:before="40" w:after="20"/>
              <w:jc w:val="center"/>
              <w:rPr>
                <w:rFonts w:eastAsia="Calibri" w:cs="Arial"/>
                <w:szCs w:val="22"/>
                <w:highlight w:val="yellow"/>
                <w:lang w:eastAsia="ko-KR"/>
              </w:rPr>
            </w:pPr>
            <w:r w:rsidRPr="002758B9">
              <w:rPr>
                <w:rFonts w:eastAsia="Calibri" w:cs="Arial"/>
                <w:lang w:eastAsia="ko-KR"/>
              </w:rPr>
              <w:t>71.26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27F310" w:rsidR="00341A03" w:rsidRPr="00E155A0" w:rsidRDefault="00341A03" w:rsidP="00341A03">
            <w:pPr>
              <w:spacing w:before="40" w:after="20"/>
              <w:jc w:val="center"/>
              <w:rPr>
                <w:rFonts w:eastAsia="Calibri"/>
                <w:szCs w:val="22"/>
              </w:rPr>
            </w:pPr>
            <w:r w:rsidRPr="00AA4874">
              <w:rPr>
                <w:rFonts w:eastAsia="Calibri"/>
              </w:rPr>
              <w:t>32.81</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458B9911"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Macro Suburban, Macro Urban and Dense Urban 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71E9A3B4"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Macro Suburban, Macro Urban and Dense Urban</w:t>
      </w:r>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16"/>
      <w:footerReference w:type="default" r:id="rId17"/>
      <w:footnotePr>
        <w:numRestart w:val="eachSect"/>
      </w:footnotePr>
      <w:pgSz w:w="11907" w:h="16840" w:code="9"/>
      <w:pgMar w:top="1416" w:right="708"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7F99" w14:textId="77777777" w:rsidR="00495938" w:rsidRDefault="00495938">
      <w:r>
        <w:separator/>
      </w:r>
    </w:p>
  </w:endnote>
  <w:endnote w:type="continuationSeparator" w:id="0">
    <w:p w14:paraId="0B1F2C5A" w14:textId="77777777" w:rsidR="00495938" w:rsidRDefault="00495938">
      <w:r>
        <w:continuationSeparator/>
      </w:r>
    </w:p>
  </w:endnote>
  <w:endnote w:type="continuationNotice" w:id="1">
    <w:p w14:paraId="68B250E8" w14:textId="77777777" w:rsidR="00495938" w:rsidRDefault="00495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Mincho"/>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0EFF" w14:textId="77777777" w:rsidR="00495938" w:rsidRDefault="00495938">
      <w:r>
        <w:separator/>
      </w:r>
    </w:p>
  </w:footnote>
  <w:footnote w:type="continuationSeparator" w:id="0">
    <w:p w14:paraId="081CDBC9" w14:textId="77777777" w:rsidR="00495938" w:rsidRDefault="00495938">
      <w:r>
        <w:continuationSeparator/>
      </w:r>
    </w:p>
  </w:footnote>
  <w:footnote w:type="continuationNotice" w:id="1">
    <w:p w14:paraId="69199550" w14:textId="77777777" w:rsidR="00495938" w:rsidRDefault="004959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7B70"/>
    <w:rsid w:val="00011C1E"/>
    <w:rsid w:val="00013954"/>
    <w:rsid w:val="0001491E"/>
    <w:rsid w:val="000159E0"/>
    <w:rsid w:val="000162F9"/>
    <w:rsid w:val="00024323"/>
    <w:rsid w:val="0002443D"/>
    <w:rsid w:val="000262FA"/>
    <w:rsid w:val="00033397"/>
    <w:rsid w:val="00036F28"/>
    <w:rsid w:val="00040095"/>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53C44"/>
    <w:rsid w:val="00155B44"/>
    <w:rsid w:val="001575DE"/>
    <w:rsid w:val="00160B11"/>
    <w:rsid w:val="00160F37"/>
    <w:rsid w:val="001610A0"/>
    <w:rsid w:val="00162AB9"/>
    <w:rsid w:val="00162C47"/>
    <w:rsid w:val="00162DCA"/>
    <w:rsid w:val="00165DC7"/>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B0101"/>
    <w:rsid w:val="001B0597"/>
    <w:rsid w:val="001B138D"/>
    <w:rsid w:val="001B26CD"/>
    <w:rsid w:val="001B3783"/>
    <w:rsid w:val="001B3D2A"/>
    <w:rsid w:val="001B3D2B"/>
    <w:rsid w:val="001C1AAF"/>
    <w:rsid w:val="001C1DF4"/>
    <w:rsid w:val="001C239F"/>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A021B"/>
    <w:rsid w:val="003A1B87"/>
    <w:rsid w:val="003A22B7"/>
    <w:rsid w:val="003A2576"/>
    <w:rsid w:val="003A3004"/>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7712"/>
    <w:rsid w:val="003E47DA"/>
    <w:rsid w:val="003E6928"/>
    <w:rsid w:val="003E6D67"/>
    <w:rsid w:val="003E775B"/>
    <w:rsid w:val="003E7A5F"/>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C5A"/>
    <w:rsid w:val="004D34FE"/>
    <w:rsid w:val="004D3578"/>
    <w:rsid w:val="004D3714"/>
    <w:rsid w:val="004D3A40"/>
    <w:rsid w:val="004D6AED"/>
    <w:rsid w:val="004D7BA0"/>
    <w:rsid w:val="004E0867"/>
    <w:rsid w:val="004E0C1D"/>
    <w:rsid w:val="004E213A"/>
    <w:rsid w:val="004E29CC"/>
    <w:rsid w:val="004E4A5F"/>
    <w:rsid w:val="004E7864"/>
    <w:rsid w:val="004F1889"/>
    <w:rsid w:val="004F4D5A"/>
    <w:rsid w:val="004F50F2"/>
    <w:rsid w:val="004F63DE"/>
    <w:rsid w:val="004F7CA2"/>
    <w:rsid w:val="005026A7"/>
    <w:rsid w:val="00502FEA"/>
    <w:rsid w:val="0051048D"/>
    <w:rsid w:val="00515509"/>
    <w:rsid w:val="005177AD"/>
    <w:rsid w:val="00520A61"/>
    <w:rsid w:val="0052110D"/>
    <w:rsid w:val="00521953"/>
    <w:rsid w:val="005236E8"/>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FDE"/>
    <w:rsid w:val="00743C23"/>
    <w:rsid w:val="00744E76"/>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5114"/>
    <w:rsid w:val="00805820"/>
    <w:rsid w:val="008068C9"/>
    <w:rsid w:val="00814941"/>
    <w:rsid w:val="00815EA3"/>
    <w:rsid w:val="00816F2A"/>
    <w:rsid w:val="00826F97"/>
    <w:rsid w:val="00827D00"/>
    <w:rsid w:val="0083156D"/>
    <w:rsid w:val="008326CD"/>
    <w:rsid w:val="0083284B"/>
    <w:rsid w:val="00832B2A"/>
    <w:rsid w:val="00834F30"/>
    <w:rsid w:val="008355A8"/>
    <w:rsid w:val="00836899"/>
    <w:rsid w:val="00843454"/>
    <w:rsid w:val="008471C4"/>
    <w:rsid w:val="00850277"/>
    <w:rsid w:val="00850CDD"/>
    <w:rsid w:val="0085111F"/>
    <w:rsid w:val="00857CAA"/>
    <w:rsid w:val="00860BE8"/>
    <w:rsid w:val="00860ED3"/>
    <w:rsid w:val="00861858"/>
    <w:rsid w:val="00861F21"/>
    <w:rsid w:val="00866D7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7771"/>
    <w:rsid w:val="008B09E4"/>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4CB7"/>
    <w:rsid w:val="008D60CD"/>
    <w:rsid w:val="008E1DC6"/>
    <w:rsid w:val="008E2ABF"/>
    <w:rsid w:val="008E67BB"/>
    <w:rsid w:val="008E6C31"/>
    <w:rsid w:val="008E6CD8"/>
    <w:rsid w:val="008E7670"/>
    <w:rsid w:val="008F271A"/>
    <w:rsid w:val="008F5E12"/>
    <w:rsid w:val="008F6912"/>
    <w:rsid w:val="008F713A"/>
    <w:rsid w:val="0090050C"/>
    <w:rsid w:val="00901E06"/>
    <w:rsid w:val="0090220F"/>
    <w:rsid w:val="0090271F"/>
    <w:rsid w:val="00902D6A"/>
    <w:rsid w:val="00902E23"/>
    <w:rsid w:val="00904815"/>
    <w:rsid w:val="0090598A"/>
    <w:rsid w:val="00906DF2"/>
    <w:rsid w:val="00907978"/>
    <w:rsid w:val="009079B5"/>
    <w:rsid w:val="00907E19"/>
    <w:rsid w:val="00912C90"/>
    <w:rsid w:val="0091348E"/>
    <w:rsid w:val="009137F4"/>
    <w:rsid w:val="00913F08"/>
    <w:rsid w:val="009149F9"/>
    <w:rsid w:val="00917CCB"/>
    <w:rsid w:val="0092004A"/>
    <w:rsid w:val="00922599"/>
    <w:rsid w:val="009228DF"/>
    <w:rsid w:val="00923BC8"/>
    <w:rsid w:val="00924C1A"/>
    <w:rsid w:val="00926AAD"/>
    <w:rsid w:val="0092774C"/>
    <w:rsid w:val="00935DD7"/>
    <w:rsid w:val="00935FE6"/>
    <w:rsid w:val="00937B72"/>
    <w:rsid w:val="00941B37"/>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263B"/>
    <w:rsid w:val="009E2F72"/>
    <w:rsid w:val="009E3081"/>
    <w:rsid w:val="009E4D82"/>
    <w:rsid w:val="009E4E50"/>
    <w:rsid w:val="009E735E"/>
    <w:rsid w:val="009E7DA5"/>
    <w:rsid w:val="009F0D44"/>
    <w:rsid w:val="009F1FBC"/>
    <w:rsid w:val="009F37B7"/>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1484"/>
    <w:rsid w:val="00A2193D"/>
    <w:rsid w:val="00A2531E"/>
    <w:rsid w:val="00A313F6"/>
    <w:rsid w:val="00A329A1"/>
    <w:rsid w:val="00A35A3F"/>
    <w:rsid w:val="00A368FE"/>
    <w:rsid w:val="00A37E20"/>
    <w:rsid w:val="00A411BE"/>
    <w:rsid w:val="00A416DB"/>
    <w:rsid w:val="00A41CE9"/>
    <w:rsid w:val="00A43ADE"/>
    <w:rsid w:val="00A4433C"/>
    <w:rsid w:val="00A470B2"/>
    <w:rsid w:val="00A53724"/>
    <w:rsid w:val="00A54ECF"/>
    <w:rsid w:val="00A54F5F"/>
    <w:rsid w:val="00A5621C"/>
    <w:rsid w:val="00A56450"/>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EF9"/>
    <w:rsid w:val="00A7492C"/>
    <w:rsid w:val="00A75E8E"/>
    <w:rsid w:val="00A76068"/>
    <w:rsid w:val="00A778EC"/>
    <w:rsid w:val="00A80927"/>
    <w:rsid w:val="00A81D3C"/>
    <w:rsid w:val="00A8221A"/>
    <w:rsid w:val="00A822C9"/>
    <w:rsid w:val="00A82346"/>
    <w:rsid w:val="00A83020"/>
    <w:rsid w:val="00A85FB3"/>
    <w:rsid w:val="00A86A48"/>
    <w:rsid w:val="00A87DB7"/>
    <w:rsid w:val="00A91D30"/>
    <w:rsid w:val="00A9276D"/>
    <w:rsid w:val="00A96EDD"/>
    <w:rsid w:val="00AA0BE3"/>
    <w:rsid w:val="00AA1FA7"/>
    <w:rsid w:val="00AA3228"/>
    <w:rsid w:val="00AA7C39"/>
    <w:rsid w:val="00AB07F8"/>
    <w:rsid w:val="00AB0B6C"/>
    <w:rsid w:val="00AB4D3E"/>
    <w:rsid w:val="00AB503E"/>
    <w:rsid w:val="00AB730A"/>
    <w:rsid w:val="00AC17A1"/>
    <w:rsid w:val="00AC6A2B"/>
    <w:rsid w:val="00AD2E07"/>
    <w:rsid w:val="00AD3673"/>
    <w:rsid w:val="00AD77DE"/>
    <w:rsid w:val="00AE212F"/>
    <w:rsid w:val="00AE43AC"/>
    <w:rsid w:val="00AF09C5"/>
    <w:rsid w:val="00AF11E7"/>
    <w:rsid w:val="00AF219F"/>
    <w:rsid w:val="00AF5DAE"/>
    <w:rsid w:val="00AF65E1"/>
    <w:rsid w:val="00B00824"/>
    <w:rsid w:val="00B03D48"/>
    <w:rsid w:val="00B051C1"/>
    <w:rsid w:val="00B06CF4"/>
    <w:rsid w:val="00B0783C"/>
    <w:rsid w:val="00B07DA8"/>
    <w:rsid w:val="00B07DF1"/>
    <w:rsid w:val="00B11EA6"/>
    <w:rsid w:val="00B12DD0"/>
    <w:rsid w:val="00B13249"/>
    <w:rsid w:val="00B1355D"/>
    <w:rsid w:val="00B141DB"/>
    <w:rsid w:val="00B14246"/>
    <w:rsid w:val="00B15449"/>
    <w:rsid w:val="00B20FB4"/>
    <w:rsid w:val="00B213C0"/>
    <w:rsid w:val="00B22AA3"/>
    <w:rsid w:val="00B22B82"/>
    <w:rsid w:val="00B23C51"/>
    <w:rsid w:val="00B304A6"/>
    <w:rsid w:val="00B352E2"/>
    <w:rsid w:val="00B35AD9"/>
    <w:rsid w:val="00B44F49"/>
    <w:rsid w:val="00B47437"/>
    <w:rsid w:val="00B476B7"/>
    <w:rsid w:val="00B52758"/>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6164"/>
    <w:rsid w:val="00BC6218"/>
    <w:rsid w:val="00BC6D08"/>
    <w:rsid w:val="00BD0A4E"/>
    <w:rsid w:val="00BD5C61"/>
    <w:rsid w:val="00BD696C"/>
    <w:rsid w:val="00BE25BB"/>
    <w:rsid w:val="00BE69BF"/>
    <w:rsid w:val="00BF1095"/>
    <w:rsid w:val="00BF1C81"/>
    <w:rsid w:val="00C02435"/>
    <w:rsid w:val="00C0370F"/>
    <w:rsid w:val="00C03D95"/>
    <w:rsid w:val="00C12046"/>
    <w:rsid w:val="00C14BC0"/>
    <w:rsid w:val="00C15E2F"/>
    <w:rsid w:val="00C15ECD"/>
    <w:rsid w:val="00C17A60"/>
    <w:rsid w:val="00C20C5B"/>
    <w:rsid w:val="00C25D5B"/>
    <w:rsid w:val="00C30783"/>
    <w:rsid w:val="00C316CA"/>
    <w:rsid w:val="00C325A3"/>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80A"/>
    <w:rsid w:val="00CB3DDF"/>
    <w:rsid w:val="00CC00D9"/>
    <w:rsid w:val="00CC00FA"/>
    <w:rsid w:val="00CC3F7F"/>
    <w:rsid w:val="00CC539E"/>
    <w:rsid w:val="00CD110C"/>
    <w:rsid w:val="00CD2A0F"/>
    <w:rsid w:val="00CD2E52"/>
    <w:rsid w:val="00CD3781"/>
    <w:rsid w:val="00CD44C9"/>
    <w:rsid w:val="00CD6FF3"/>
    <w:rsid w:val="00CE4DE3"/>
    <w:rsid w:val="00CE5AE6"/>
    <w:rsid w:val="00CE5C0D"/>
    <w:rsid w:val="00CE6498"/>
    <w:rsid w:val="00CF0639"/>
    <w:rsid w:val="00CF0E94"/>
    <w:rsid w:val="00CF2001"/>
    <w:rsid w:val="00D0146F"/>
    <w:rsid w:val="00D04090"/>
    <w:rsid w:val="00D04DA3"/>
    <w:rsid w:val="00D05506"/>
    <w:rsid w:val="00D05747"/>
    <w:rsid w:val="00D0587B"/>
    <w:rsid w:val="00D05ED8"/>
    <w:rsid w:val="00D073AB"/>
    <w:rsid w:val="00D10A91"/>
    <w:rsid w:val="00D11B3A"/>
    <w:rsid w:val="00D13035"/>
    <w:rsid w:val="00D14F95"/>
    <w:rsid w:val="00D15384"/>
    <w:rsid w:val="00D172BE"/>
    <w:rsid w:val="00D17A68"/>
    <w:rsid w:val="00D209A0"/>
    <w:rsid w:val="00D20B11"/>
    <w:rsid w:val="00D22863"/>
    <w:rsid w:val="00D239A5"/>
    <w:rsid w:val="00D2544C"/>
    <w:rsid w:val="00D32758"/>
    <w:rsid w:val="00D3312F"/>
    <w:rsid w:val="00D33E0D"/>
    <w:rsid w:val="00D3471C"/>
    <w:rsid w:val="00D35C5C"/>
    <w:rsid w:val="00D41847"/>
    <w:rsid w:val="00D41DE8"/>
    <w:rsid w:val="00D42BA1"/>
    <w:rsid w:val="00D44E6B"/>
    <w:rsid w:val="00D4682F"/>
    <w:rsid w:val="00D47627"/>
    <w:rsid w:val="00D5225F"/>
    <w:rsid w:val="00D56778"/>
    <w:rsid w:val="00D56C2E"/>
    <w:rsid w:val="00D607E9"/>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F0658"/>
    <w:rsid w:val="00DF101A"/>
    <w:rsid w:val="00DF2B1F"/>
    <w:rsid w:val="00DF4AD9"/>
    <w:rsid w:val="00DF5FE4"/>
    <w:rsid w:val="00DF62CD"/>
    <w:rsid w:val="00E00B1F"/>
    <w:rsid w:val="00E01242"/>
    <w:rsid w:val="00E012A4"/>
    <w:rsid w:val="00E039EF"/>
    <w:rsid w:val="00E03B6E"/>
    <w:rsid w:val="00E06F9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3835"/>
    <w:rsid w:val="00E445E7"/>
    <w:rsid w:val="00E448DE"/>
    <w:rsid w:val="00E47103"/>
    <w:rsid w:val="00E47DCA"/>
    <w:rsid w:val="00E5399A"/>
    <w:rsid w:val="00E557F6"/>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739E"/>
    <w:rsid w:val="00F20B7F"/>
    <w:rsid w:val="00F22DBB"/>
    <w:rsid w:val="00F22EC7"/>
    <w:rsid w:val="00F26035"/>
    <w:rsid w:val="00F264EF"/>
    <w:rsid w:val="00F26CEE"/>
    <w:rsid w:val="00F34D43"/>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706"/>
    <w:rsid w:val="00F66CC8"/>
    <w:rsid w:val="00F7114E"/>
    <w:rsid w:val="00F71975"/>
    <w:rsid w:val="00F73192"/>
    <w:rsid w:val="00F731FA"/>
    <w:rsid w:val="00F75BF1"/>
    <w:rsid w:val="00F80990"/>
    <w:rsid w:val="00F8151B"/>
    <w:rsid w:val="00F8270A"/>
    <w:rsid w:val="00F85BCB"/>
    <w:rsid w:val="00F8631C"/>
    <w:rsid w:val="00F87226"/>
    <w:rsid w:val="00F90803"/>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44E7"/>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E122-9CCE-4A75-AA6A-E304ED573FC3}">
  <ds:schemaRefs>
    <ds:schemaRef ds:uri="http://schemas.microsoft.com/sharepoint/events"/>
  </ds:schemaRefs>
</ds:datastoreItem>
</file>

<file path=customXml/itemProps2.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3.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4.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232</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14252</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Shubham Bhargava</cp:lastModifiedBy>
  <cp:revision>269</cp:revision>
  <dcterms:created xsi:type="dcterms:W3CDTF">2024-08-22T12:00:00Z</dcterms:created>
  <dcterms:modified xsi:type="dcterms:W3CDTF">2024-11-19T23:14:00Z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