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256" w:rsidRDefault="000E422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b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b/>
          <w:color w:val="000000"/>
          <w:sz w:val="24"/>
          <w:szCs w:val="24"/>
        </w:rPr>
        <w:t>3GPP TSG-RAN WG2 Meeting #12</w:t>
      </w:r>
      <w:r w:rsidR="000967EA">
        <w:rPr>
          <w:b/>
          <w:color w:val="000000"/>
          <w:sz w:val="24"/>
          <w:szCs w:val="24"/>
        </w:rPr>
        <w:t>8</w:t>
      </w:r>
      <w:r>
        <w:rPr>
          <w:b/>
          <w:color w:val="000000"/>
          <w:sz w:val="24"/>
          <w:szCs w:val="24"/>
        </w:rPr>
        <w:t xml:space="preserve">                                                           </w:t>
      </w:r>
      <w:r w:rsidR="00781736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 R</w:t>
      </w:r>
      <w:r w:rsidR="004A5059">
        <w:rPr>
          <w:b/>
          <w:color w:val="000000"/>
          <w:sz w:val="24"/>
          <w:szCs w:val="24"/>
        </w:rPr>
        <w:t>2-</w:t>
      </w:r>
      <w:r w:rsidR="004A5059" w:rsidRPr="004A5059">
        <w:rPr>
          <w:b/>
          <w:color w:val="000000"/>
          <w:sz w:val="24"/>
          <w:szCs w:val="24"/>
        </w:rPr>
        <w:t>24</w:t>
      </w:r>
      <w:r w:rsidR="00886CC9">
        <w:rPr>
          <w:b/>
          <w:color w:val="000000"/>
          <w:sz w:val="24"/>
          <w:szCs w:val="24"/>
        </w:rPr>
        <w:t>10629</w:t>
      </w:r>
    </w:p>
    <w:p w:rsidR="00F74256" w:rsidRDefault="000967E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Orlando</w:t>
      </w:r>
      <w:r w:rsidR="000E422C">
        <w:rPr>
          <w:b/>
          <w:color w:val="000000"/>
          <w:sz w:val="24"/>
          <w:szCs w:val="24"/>
        </w:rPr>
        <w:t xml:space="preserve">, </w:t>
      </w:r>
      <w:r>
        <w:rPr>
          <w:b/>
          <w:color w:val="000000"/>
          <w:sz w:val="24"/>
          <w:szCs w:val="24"/>
        </w:rPr>
        <w:t>USA</w:t>
      </w:r>
      <w:r w:rsidR="000E422C">
        <w:rPr>
          <w:b/>
          <w:color w:val="000000"/>
          <w:sz w:val="24"/>
          <w:szCs w:val="24"/>
        </w:rPr>
        <w:t xml:space="preserve">, </w:t>
      </w:r>
      <w:r>
        <w:rPr>
          <w:b/>
          <w:color w:val="000000"/>
          <w:sz w:val="24"/>
          <w:szCs w:val="24"/>
        </w:rPr>
        <w:t>Nov.</w:t>
      </w:r>
      <w:r w:rsidR="000E422C">
        <w:rPr>
          <w:b/>
          <w:color w:val="000000"/>
          <w:sz w:val="24"/>
          <w:szCs w:val="24"/>
        </w:rPr>
        <w:t xml:space="preserve"> 1</w:t>
      </w:r>
      <w:r>
        <w:rPr>
          <w:b/>
          <w:color w:val="000000"/>
          <w:sz w:val="24"/>
          <w:szCs w:val="24"/>
        </w:rPr>
        <w:t>8</w:t>
      </w:r>
      <w:r w:rsidR="000E422C">
        <w:rPr>
          <w:b/>
          <w:color w:val="000000"/>
          <w:sz w:val="24"/>
          <w:szCs w:val="24"/>
          <w:vertAlign w:val="superscript"/>
        </w:rPr>
        <w:t>th</w:t>
      </w:r>
      <w:r w:rsidR="000E422C">
        <w:rPr>
          <w:b/>
          <w:color w:val="000000"/>
          <w:sz w:val="24"/>
          <w:szCs w:val="24"/>
        </w:rPr>
        <w:t xml:space="preserve"> – </w:t>
      </w:r>
      <w:r>
        <w:rPr>
          <w:b/>
          <w:color w:val="000000"/>
          <w:sz w:val="24"/>
          <w:szCs w:val="24"/>
        </w:rPr>
        <w:t>22</w:t>
      </w:r>
      <w:r w:rsidR="000E422C">
        <w:rPr>
          <w:b/>
          <w:color w:val="000000"/>
          <w:sz w:val="24"/>
          <w:szCs w:val="24"/>
          <w:vertAlign w:val="superscript"/>
        </w:rPr>
        <w:t>rd</w:t>
      </w:r>
      <w:r w:rsidR="000E422C">
        <w:rPr>
          <w:b/>
          <w:color w:val="000000"/>
          <w:sz w:val="24"/>
          <w:szCs w:val="24"/>
        </w:rPr>
        <w:t>, 2024</w:t>
      </w:r>
    </w:p>
    <w:p w:rsidR="00F74256" w:rsidRDefault="00F7425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</w:p>
    <w:p w:rsidR="00F74256" w:rsidRDefault="0036536D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</w:r>
      <w:r w:rsidR="00110022">
        <w:rPr>
          <w:b/>
          <w:sz w:val="24"/>
          <w:szCs w:val="24"/>
        </w:rPr>
        <w:t>8</w:t>
      </w:r>
      <w:r w:rsidR="000E422C">
        <w:rPr>
          <w:b/>
          <w:sz w:val="24"/>
          <w:szCs w:val="24"/>
        </w:rPr>
        <w:t>.</w:t>
      </w:r>
      <w:r w:rsidR="00110022">
        <w:rPr>
          <w:b/>
          <w:sz w:val="24"/>
          <w:szCs w:val="24"/>
        </w:rPr>
        <w:t>2</w:t>
      </w:r>
      <w:r w:rsidR="000E422C">
        <w:rPr>
          <w:b/>
          <w:sz w:val="24"/>
          <w:szCs w:val="24"/>
        </w:rPr>
        <w:t>.</w:t>
      </w:r>
      <w:r w:rsidR="00110022">
        <w:rPr>
          <w:b/>
          <w:sz w:val="24"/>
          <w:szCs w:val="24"/>
        </w:rPr>
        <w:t>4</w:t>
      </w:r>
    </w:p>
    <w:p w:rsidR="00F74256" w:rsidRDefault="000E422C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Title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  <w:t>Discussion o</w:t>
      </w:r>
      <w:r w:rsidR="0036536D">
        <w:rPr>
          <w:b/>
          <w:sz w:val="24"/>
          <w:szCs w:val="24"/>
        </w:rPr>
        <w:t xml:space="preserve">n </w:t>
      </w:r>
      <w:r w:rsidR="00F702B8">
        <w:rPr>
          <w:b/>
          <w:sz w:val="24"/>
          <w:szCs w:val="24"/>
        </w:rPr>
        <w:t xml:space="preserve">random </w:t>
      </w:r>
      <w:r w:rsidR="0036536D">
        <w:rPr>
          <w:b/>
          <w:sz w:val="24"/>
          <w:szCs w:val="24"/>
        </w:rPr>
        <w:t>access for ambient IoT</w:t>
      </w:r>
    </w:p>
    <w:p w:rsidR="00F74256" w:rsidRDefault="000E422C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Source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</w:r>
      <w:r w:rsidR="009A0266" w:rsidRPr="009A0266">
        <w:rPr>
          <w:b/>
          <w:sz w:val="24"/>
          <w:szCs w:val="24"/>
        </w:rPr>
        <w:t>Google Ireland Limited</w:t>
      </w:r>
    </w:p>
    <w:p w:rsidR="00F74256" w:rsidRDefault="000E422C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Work Item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  <w:t>FS_Ambient_IoT_solutions</w:t>
      </w:r>
    </w:p>
    <w:p w:rsidR="00F74256" w:rsidRDefault="000E422C">
      <w:pPr>
        <w:tabs>
          <w:tab w:val="left" w:pos="1985"/>
        </w:tabs>
        <w:rPr>
          <w:sz w:val="24"/>
          <w:szCs w:val="24"/>
        </w:rPr>
      </w:pPr>
      <w:r>
        <w:rPr>
          <w:b/>
          <w:sz w:val="24"/>
          <w:szCs w:val="24"/>
        </w:rPr>
        <w:t>Document for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  <w:t>Discussion and Decision</w:t>
      </w:r>
    </w:p>
    <w:p w:rsidR="00F74256" w:rsidRDefault="000E422C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Introduction</w:t>
      </w:r>
    </w:p>
    <w:p w:rsidR="00F74256" w:rsidRDefault="00DF19CE">
      <w:pPr>
        <w:rPr>
          <w:color w:val="000000"/>
        </w:rPr>
      </w:pPr>
      <w:r>
        <w:rPr>
          <w:color w:val="000000"/>
        </w:rPr>
        <w:t>In this paper,</w:t>
      </w:r>
      <w:r w:rsidR="009B7060">
        <w:rPr>
          <w:color w:val="000000"/>
        </w:rPr>
        <w:t xml:space="preserve"> </w:t>
      </w:r>
      <w:r w:rsidR="00E1154F">
        <w:rPr>
          <w:color w:val="000000"/>
        </w:rPr>
        <w:t>w</w:t>
      </w:r>
      <w:r w:rsidR="00A40AAD">
        <w:rPr>
          <w:rFonts w:hint="eastAsia"/>
          <w:color w:val="000000"/>
        </w:rPr>
        <w:t>e</w:t>
      </w:r>
      <w:r w:rsidR="00A40AAD">
        <w:rPr>
          <w:color w:val="000000"/>
        </w:rPr>
        <w:t xml:space="preserve"> </w:t>
      </w:r>
      <w:r w:rsidR="00267194">
        <w:rPr>
          <w:color w:val="000000"/>
        </w:rPr>
        <w:t xml:space="preserve">discuss </w:t>
      </w:r>
      <w:r w:rsidR="00E227DE">
        <w:rPr>
          <w:color w:val="000000"/>
        </w:rPr>
        <w:t xml:space="preserve">the access timing for ambient IoT and </w:t>
      </w:r>
      <w:r w:rsidR="00267194">
        <w:rPr>
          <w:color w:val="000000"/>
        </w:rPr>
        <w:t xml:space="preserve">discuss </w:t>
      </w:r>
      <w:r w:rsidR="00E227DE">
        <w:rPr>
          <w:color w:val="000000"/>
        </w:rPr>
        <w:t>the need for a backoff function</w:t>
      </w:r>
      <w:r w:rsidR="00267194">
        <w:rPr>
          <w:color w:val="000000"/>
        </w:rPr>
        <w:t xml:space="preserve"> that is used</w:t>
      </w:r>
      <w:r w:rsidR="00A40AAD">
        <w:rPr>
          <w:color w:val="000000"/>
        </w:rPr>
        <w:t xml:space="preserve"> to </w:t>
      </w:r>
      <w:r w:rsidR="00E227DE">
        <w:rPr>
          <w:color w:val="000000"/>
        </w:rPr>
        <w:t>spread device’s transmission over access occasions</w:t>
      </w:r>
      <w:r w:rsidR="00A40AAD">
        <w:rPr>
          <w:color w:val="000000"/>
        </w:rPr>
        <w:t xml:space="preserve">. </w:t>
      </w:r>
      <w:r w:rsidR="0094788B">
        <w:rPr>
          <w:color w:val="000000"/>
        </w:rPr>
        <w:t>It is also proposed to discuss whether Msg2 can contain only one response to a Msg1 transmission or multiple responses to multiple Msg1 transmissions.</w:t>
      </w:r>
    </w:p>
    <w:p w:rsidR="00F74256" w:rsidRDefault="000E422C">
      <w:pPr>
        <w:pStyle w:val="Heading1"/>
        <w:spacing w:before="180"/>
        <w:ind w:left="0" w:firstLine="0"/>
      </w:pP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ab/>
        <w:t xml:space="preserve">Discussion </w:t>
      </w:r>
    </w:p>
    <w:p w:rsidR="00D73E8C" w:rsidRDefault="00D73E8C" w:rsidP="00D73E8C">
      <w:r>
        <w:t xml:space="preserve">In RFID, the reader (i.e. interrogator) transmits a Select command to select devices (i.e. tags) and then transmits a </w:t>
      </w:r>
      <w:r>
        <w:rPr>
          <w:rFonts w:hint="eastAsia"/>
        </w:rPr>
        <w:t>Q</w:t>
      </w:r>
      <w:r>
        <w:t xml:space="preserve">uery command </w:t>
      </w:r>
      <w:r>
        <w:rPr>
          <w:rFonts w:hint="eastAsia"/>
        </w:rPr>
        <w:t>t</w:t>
      </w:r>
      <w:r>
        <w:t xml:space="preserve">o start an inventory round. The inventory round consists of at least one contention period followed by a non-contention period. Devices contend to transmit a 16-bit random ID in the contention period. If </w:t>
      </w:r>
      <w:r w:rsidR="00530D27">
        <w:t xml:space="preserve">a device receives </w:t>
      </w:r>
      <w:r>
        <w:t xml:space="preserve">an ACK </w:t>
      </w:r>
      <w:r w:rsidR="00530D27">
        <w:t xml:space="preserve">that </w:t>
      </w:r>
      <w:r>
        <w:t>acknowledge</w:t>
      </w:r>
      <w:r w:rsidR="00530D27">
        <w:t>s</w:t>
      </w:r>
      <w:r>
        <w:t xml:space="preserve"> </w:t>
      </w:r>
      <w:r w:rsidR="00530D27">
        <w:t>the</w:t>
      </w:r>
      <w:r>
        <w:t>16-bit random ID</w:t>
      </w:r>
      <w:r w:rsidR="00530D27">
        <w:t xml:space="preserve">, </w:t>
      </w:r>
      <w:r>
        <w:t xml:space="preserve">the winning device transmits </w:t>
      </w:r>
      <w:r w:rsidR="00530D27">
        <w:t xml:space="preserve">its </w:t>
      </w:r>
      <w:r>
        <w:t xml:space="preserve">data in the non-contention period. </w:t>
      </w:r>
    </w:p>
    <w:p w:rsidR="00D73E8C" w:rsidRDefault="00D73E8C" w:rsidP="00D73E8C">
      <w:r>
        <w:t xml:space="preserve">In ambient IoT, a contention period starts with a paging message that initiates a contention-based random access. At the end of the contention period, a non-contention period starts. In the non-contention period, the reader can </w:t>
      </w:r>
      <w:r w:rsidR="00530D27">
        <w:t>t</w:t>
      </w:r>
      <w:r>
        <w:t xml:space="preserve">ransmit </w:t>
      </w:r>
      <w:r w:rsidR="004E7FEA">
        <w:t xml:space="preserve">R2D data </w:t>
      </w:r>
      <w:r w:rsidR="00530D27">
        <w:t>or schedule D2R transmission</w:t>
      </w:r>
      <w:r>
        <w:t xml:space="preserve">, as illustrated in Fig. </w:t>
      </w:r>
      <w:r w:rsidR="004E7FEA">
        <w:t>1</w:t>
      </w:r>
      <w:r>
        <w:t xml:space="preserve">. It is proposed to agree </w:t>
      </w:r>
      <w:r w:rsidR="004635A7">
        <w:t xml:space="preserve">the terminology of contention period and non-contention period </w:t>
      </w:r>
      <w:r>
        <w:t xml:space="preserve">for ease of discussion afterward.  </w:t>
      </w:r>
    </w:p>
    <w:p w:rsidR="00D73E8C" w:rsidRDefault="00171C5B" w:rsidP="00D73E8C">
      <w:pPr>
        <w:spacing w:after="0"/>
        <w:jc w:val="center"/>
      </w:pPr>
      <w:r>
        <w:object w:dxaOrig="11941" w:dyaOrig="20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5pt;height:67.5pt" o:ole="">
            <v:imagedata r:id="rId9" o:title=""/>
          </v:shape>
          <o:OLEObject Type="Embed" ProgID="Visio.Drawing.15" ShapeID="_x0000_i1025" DrawAspect="Content" ObjectID="_1792584145" r:id="rId10"/>
        </w:object>
      </w:r>
    </w:p>
    <w:p w:rsidR="00B609FA" w:rsidRDefault="00B3289E" w:rsidP="00437EAD">
      <w:pPr>
        <w:jc w:val="center"/>
      </w:pPr>
      <w:r>
        <w:t>Fig. 1</w:t>
      </w:r>
      <w:r w:rsidR="00D73E8C">
        <w:t>: An example of access timing</w:t>
      </w:r>
      <w:r w:rsidR="00D73E8C">
        <w:rPr>
          <w:rFonts w:hint="eastAsia"/>
        </w:rPr>
        <w:t xml:space="preserve"> f</w:t>
      </w:r>
      <w:r w:rsidR="00D73E8C">
        <w:t xml:space="preserve">or ambient IoT. </w:t>
      </w:r>
    </w:p>
    <w:p w:rsidR="00D73E8C" w:rsidRDefault="00D73E8C" w:rsidP="00D73E8C">
      <w:pPr>
        <w:rPr>
          <w:b/>
          <w:color w:val="000000"/>
        </w:rPr>
      </w:pPr>
      <w:r w:rsidRPr="00BC56BB">
        <w:rPr>
          <w:b/>
        </w:rPr>
        <w:t>Proposal</w:t>
      </w:r>
      <w:r>
        <w:rPr>
          <w:b/>
          <w:color w:val="000000"/>
        </w:rPr>
        <w:t xml:space="preserve"> 1:  </w:t>
      </w:r>
      <w:r w:rsidR="000F6D92">
        <w:rPr>
          <w:b/>
          <w:color w:val="000000"/>
        </w:rPr>
        <w:t xml:space="preserve">RAN2 to </w:t>
      </w:r>
      <w:r w:rsidR="00E1154F">
        <w:rPr>
          <w:b/>
          <w:color w:val="000000"/>
        </w:rPr>
        <w:t>agree</w:t>
      </w:r>
      <w:r w:rsidR="000F6D92">
        <w:rPr>
          <w:b/>
          <w:color w:val="000000"/>
        </w:rPr>
        <w:t xml:space="preserve"> the </w:t>
      </w:r>
      <w:r w:rsidR="004635A7">
        <w:rPr>
          <w:rFonts w:hint="eastAsia"/>
          <w:b/>
          <w:color w:val="000000"/>
        </w:rPr>
        <w:t>t</w:t>
      </w:r>
      <w:r w:rsidR="004635A7">
        <w:rPr>
          <w:b/>
          <w:color w:val="000000"/>
        </w:rPr>
        <w:t xml:space="preserve">erminology of contention period and non-contention period </w:t>
      </w:r>
      <w:r w:rsidR="0017720A">
        <w:rPr>
          <w:b/>
          <w:color w:val="000000"/>
        </w:rPr>
        <w:t xml:space="preserve">in </w:t>
      </w:r>
      <w:r w:rsidR="000F6D92">
        <w:rPr>
          <w:b/>
          <w:color w:val="000000"/>
        </w:rPr>
        <w:t xml:space="preserve">Fig.1.  </w:t>
      </w:r>
      <w:r>
        <w:rPr>
          <w:b/>
          <w:color w:val="000000"/>
        </w:rPr>
        <w:t xml:space="preserve">  </w:t>
      </w:r>
      <w:r>
        <w:rPr>
          <w:rFonts w:hint="eastAsia"/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</w:p>
    <w:p w:rsidR="00460A79" w:rsidRDefault="00FD5D13">
      <w:r>
        <w:t>There are also some discussion on slotted ALOHA in the [POST127]</w:t>
      </w:r>
      <w:r w:rsidR="00761140" w:rsidRPr="00761140">
        <w:rPr>
          <w:rFonts w:hint="eastAsia"/>
        </w:rPr>
        <w:t xml:space="preserve"> </w:t>
      </w:r>
      <w:r w:rsidR="00761140">
        <w:rPr>
          <w:rFonts w:hint="eastAsia"/>
        </w:rPr>
        <w:t>[</w:t>
      </w:r>
      <w:r w:rsidR="00761140">
        <w:t>033</w:t>
      </w:r>
      <w:r w:rsidR="00761140">
        <w:rPr>
          <w:rFonts w:hint="eastAsia"/>
        </w:rPr>
        <w:t>]</w:t>
      </w:r>
      <w:r w:rsidR="00380C90">
        <w:t xml:space="preserve"> discussion</w:t>
      </w:r>
      <w:r>
        <w:t>. Slotted ALOHA is a multiple access scheme</w:t>
      </w:r>
      <w:r w:rsidR="00FC1D5B">
        <w:t xml:space="preserve"> based on the</w:t>
      </w:r>
      <w:r>
        <w:t xml:space="preserve"> </w:t>
      </w:r>
      <w:r w:rsidR="00FC1D5B">
        <w:t xml:space="preserve">ALOHA </w:t>
      </w:r>
      <w:r>
        <w:t>multiple access</w:t>
      </w:r>
      <w:r w:rsidR="00FC1D5B">
        <w:t xml:space="preserve">. In </w:t>
      </w:r>
      <w:r>
        <w:t>ALOHA</w:t>
      </w:r>
      <w:r w:rsidR="00FC1D5B">
        <w:t xml:space="preserve"> protocol, </w:t>
      </w:r>
      <w:r>
        <w:t xml:space="preserve">device can immediately transmit data when it has data in buffer. Slotted ALOHA improves the channel utilization of ALOHA by dividing time into equal-size slot. Device can only transmit data at the beginning of a time slot. </w:t>
      </w:r>
    </w:p>
    <w:p w:rsidR="00761140" w:rsidRDefault="00FD5D13" w:rsidP="00626606">
      <w:r>
        <w:t xml:space="preserve">To </w:t>
      </w:r>
      <w:r w:rsidR="001A7656">
        <w:t>spread</w:t>
      </w:r>
      <w:r>
        <w:t xml:space="preserve"> a large amount of de</w:t>
      </w:r>
      <w:r w:rsidR="00FC1D5B">
        <w:t xml:space="preserve">vices in time requires </w:t>
      </w:r>
      <w:r w:rsidR="001A7656">
        <w:t>a</w:t>
      </w:r>
      <w:r w:rsidR="00FC1D5B">
        <w:t xml:space="preserve"> </w:t>
      </w:r>
      <w:r>
        <w:t xml:space="preserve">backoff </w:t>
      </w:r>
      <w:r w:rsidR="001A7656">
        <w:t>function</w:t>
      </w:r>
      <w:r>
        <w:t xml:space="preserve">. </w:t>
      </w:r>
      <w:r w:rsidR="00FC1D5B">
        <w:t>In the legacy</w:t>
      </w:r>
      <w:r w:rsidR="00626606">
        <w:t xml:space="preserve"> random access procedure, gNB may indicate a BI to UE. </w:t>
      </w:r>
      <w:r w:rsidR="00626606">
        <w:rPr>
          <w:rFonts w:hint="eastAsia"/>
        </w:rPr>
        <w:t>UE u</w:t>
      </w:r>
      <w:r w:rsidR="00626606">
        <w:t xml:space="preserve">ses the BI to determine </w:t>
      </w:r>
      <w:r w:rsidR="00224D03">
        <w:t>which PRACH occasion to transmit a random access preamble</w:t>
      </w:r>
      <w:r w:rsidR="001A7656">
        <w:t>.</w:t>
      </w:r>
      <w:r w:rsidR="00224D03">
        <w:t xml:space="preserve"> </w:t>
      </w:r>
      <w:r w:rsidR="00530D27">
        <w:t xml:space="preserve">UE </w:t>
      </w:r>
      <w:r w:rsidR="001A7656">
        <w:t>waits for the</w:t>
      </w:r>
      <w:r w:rsidR="00171C5B">
        <w:t xml:space="preserve"> selected</w:t>
      </w:r>
      <w:r w:rsidR="001A7656">
        <w:t xml:space="preserve"> PRACH occasion to </w:t>
      </w:r>
      <w:r w:rsidR="00626606">
        <w:t xml:space="preserve">transmit a random access preamble. </w:t>
      </w:r>
      <w:r w:rsidR="00761140">
        <w:t>In RFID</w:t>
      </w:r>
      <w:r w:rsidR="004C42FC">
        <w:t xml:space="preserve"> </w:t>
      </w:r>
      <w:r w:rsidR="00761140">
        <w:t xml:space="preserve">devices selects one of Q slots to transmit </w:t>
      </w:r>
      <w:r w:rsidR="00763FCB">
        <w:t>a 16-bits</w:t>
      </w:r>
      <w:r w:rsidR="00761140">
        <w:t xml:space="preserve"> random ID.</w:t>
      </w:r>
    </w:p>
    <w:p w:rsidR="00626606" w:rsidRDefault="00626606" w:rsidP="00626606">
      <w:r>
        <w:t xml:space="preserve">Backoff </w:t>
      </w:r>
      <w:r w:rsidR="004C42FC">
        <w:t>function</w:t>
      </w:r>
      <w:r>
        <w:t xml:space="preserve"> is also useful </w:t>
      </w:r>
      <w:r w:rsidR="00224D03">
        <w:t>for</w:t>
      </w:r>
      <w:r w:rsidR="00FC1D5B">
        <w:t xml:space="preserve"> </w:t>
      </w:r>
      <w:r>
        <w:t xml:space="preserve">ambient IoT, especially in the case that </w:t>
      </w:r>
      <w:r w:rsidR="00761140">
        <w:t xml:space="preserve">a large amount </w:t>
      </w:r>
      <w:r>
        <w:t xml:space="preserve">of IoT devices </w:t>
      </w:r>
      <w:r w:rsidR="00763FCB">
        <w:t xml:space="preserve">is </w:t>
      </w:r>
      <w:r>
        <w:t xml:space="preserve">near </w:t>
      </w:r>
      <w:r w:rsidR="00761140">
        <w:t>the reader. For example, a</w:t>
      </w:r>
      <w:r w:rsidR="001863B5">
        <w:t xml:space="preserve">n ambient IoT </w:t>
      </w:r>
      <w:r>
        <w:t xml:space="preserve">device </w:t>
      </w:r>
      <w:r w:rsidR="00FC1D5B">
        <w:t xml:space="preserve">can be </w:t>
      </w:r>
      <w:r>
        <w:t xml:space="preserve">attached to each </w:t>
      </w:r>
      <w:r w:rsidR="00761140">
        <w:t xml:space="preserve">item </w:t>
      </w:r>
      <w:r>
        <w:t>on a rack</w:t>
      </w:r>
      <w:r w:rsidR="00761140">
        <w:t xml:space="preserve"> in a warehouse</w:t>
      </w:r>
      <w:r>
        <w:t xml:space="preserve">. In </w:t>
      </w:r>
      <w:r w:rsidR="00FC1D5B">
        <w:t>such a</w:t>
      </w:r>
      <w:r>
        <w:t xml:space="preserve"> case, a reader should be a</w:t>
      </w:r>
      <w:r w:rsidR="00171C5B">
        <w:t>ble to indicate a backoff</w:t>
      </w:r>
      <w:r w:rsidR="00761140">
        <w:rPr>
          <w:rFonts w:hint="eastAsia"/>
        </w:rPr>
        <w:t xml:space="preserve"> </w:t>
      </w:r>
      <w:r>
        <w:t xml:space="preserve">to </w:t>
      </w:r>
      <w:r w:rsidR="00FC1D5B">
        <w:t>spread devices’ transmissions</w:t>
      </w:r>
      <w:r w:rsidR="0010248B">
        <w:t xml:space="preserve"> in times</w:t>
      </w:r>
      <w:r>
        <w:t xml:space="preserve">. </w:t>
      </w:r>
    </w:p>
    <w:p w:rsidR="00962EFE" w:rsidRDefault="004C42FC" w:rsidP="00962EFE">
      <w:r>
        <w:t>T</w:t>
      </w:r>
      <w:r w:rsidR="00962EFE">
        <w:t xml:space="preserve">he reader </w:t>
      </w:r>
      <w:r w:rsidR="007B4B53">
        <w:t>could</w:t>
      </w:r>
      <w:r w:rsidR="00962EFE">
        <w:t xml:space="preserve"> indicate the backoff indicator in a paging message as in RFID</w:t>
      </w:r>
      <w:r w:rsidR="00171C5B">
        <w:t>, or a</w:t>
      </w:r>
      <w:r w:rsidR="007B4B53">
        <w:t xml:space="preserve">lternatively, </w:t>
      </w:r>
      <w:r w:rsidR="00962EFE">
        <w:t xml:space="preserve">the reader </w:t>
      </w:r>
      <w:r w:rsidR="007B4B53">
        <w:t>could</w:t>
      </w:r>
      <w:r w:rsidR="00962EFE">
        <w:t xml:space="preserve"> include the backoff </w:t>
      </w:r>
      <w:r w:rsidR="00171C5B">
        <w:t xml:space="preserve">indicator </w:t>
      </w:r>
      <w:r w:rsidR="00962EFE">
        <w:t>in Msg2 similar to leg</w:t>
      </w:r>
      <w:r w:rsidR="005E6682">
        <w:t xml:space="preserve">acy random access procedure. </w:t>
      </w:r>
    </w:p>
    <w:p w:rsidR="00626606" w:rsidRDefault="00626606" w:rsidP="00626606">
      <w:pPr>
        <w:rPr>
          <w:b/>
          <w:color w:val="000000"/>
        </w:rPr>
      </w:pPr>
      <w:r w:rsidRPr="00BC56BB">
        <w:rPr>
          <w:b/>
        </w:rPr>
        <w:lastRenderedPageBreak/>
        <w:t>Proposal</w:t>
      </w:r>
      <w:r>
        <w:rPr>
          <w:b/>
          <w:color w:val="000000"/>
        </w:rPr>
        <w:t xml:space="preserve"> </w:t>
      </w:r>
      <w:r w:rsidR="00D73E8C">
        <w:rPr>
          <w:b/>
          <w:color w:val="000000"/>
        </w:rPr>
        <w:t>2</w:t>
      </w:r>
      <w:r>
        <w:rPr>
          <w:b/>
          <w:color w:val="000000"/>
        </w:rPr>
        <w:t xml:space="preserve">:  </w:t>
      </w:r>
      <w:r w:rsidR="00ED41B4">
        <w:rPr>
          <w:b/>
          <w:color w:val="000000"/>
        </w:rPr>
        <w:t>B</w:t>
      </w:r>
      <w:r>
        <w:rPr>
          <w:b/>
          <w:color w:val="000000"/>
        </w:rPr>
        <w:t xml:space="preserve">ackoff </w:t>
      </w:r>
      <w:r w:rsidR="00171C5B">
        <w:rPr>
          <w:rFonts w:hint="eastAsia"/>
          <w:b/>
          <w:color w:val="000000"/>
        </w:rPr>
        <w:t>f</w:t>
      </w:r>
      <w:r w:rsidR="00171C5B">
        <w:rPr>
          <w:b/>
          <w:color w:val="000000"/>
        </w:rPr>
        <w:t xml:space="preserve">unction </w:t>
      </w:r>
      <w:r w:rsidR="00ED41B4">
        <w:rPr>
          <w:b/>
          <w:color w:val="000000"/>
        </w:rPr>
        <w:t xml:space="preserve">should be supported </w:t>
      </w:r>
      <w:r>
        <w:rPr>
          <w:b/>
          <w:color w:val="000000"/>
        </w:rPr>
        <w:t>for Msg1 transmission.</w:t>
      </w:r>
      <w:r>
        <w:rPr>
          <w:rFonts w:hint="eastAsia"/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</w:p>
    <w:p w:rsidR="00E145FF" w:rsidRDefault="00E145FF" w:rsidP="00E145FF">
      <w:pPr>
        <w:rPr>
          <w:b/>
          <w:color w:val="000000"/>
        </w:rPr>
      </w:pPr>
      <w:r w:rsidRPr="00BC56BB">
        <w:rPr>
          <w:b/>
        </w:rPr>
        <w:t>Proposal</w:t>
      </w:r>
      <w:r>
        <w:rPr>
          <w:b/>
          <w:color w:val="000000"/>
        </w:rPr>
        <w:t xml:space="preserve"> </w:t>
      </w:r>
      <w:r w:rsidR="00D73E8C">
        <w:rPr>
          <w:b/>
          <w:color w:val="000000"/>
        </w:rPr>
        <w:t>3</w:t>
      </w:r>
      <w:r>
        <w:rPr>
          <w:b/>
          <w:color w:val="000000"/>
        </w:rPr>
        <w:t xml:space="preserve">:  </w:t>
      </w:r>
      <w:r w:rsidR="00E227DE">
        <w:rPr>
          <w:b/>
          <w:color w:val="000000"/>
        </w:rPr>
        <w:t>B</w:t>
      </w:r>
      <w:r w:rsidR="00ED41B4">
        <w:rPr>
          <w:b/>
          <w:color w:val="000000"/>
        </w:rPr>
        <w:t xml:space="preserve">ackoff indicator </w:t>
      </w:r>
      <w:r w:rsidR="00F445AA">
        <w:rPr>
          <w:b/>
          <w:color w:val="000000"/>
        </w:rPr>
        <w:t xml:space="preserve">can </w:t>
      </w:r>
      <w:r w:rsidR="00ED41B4">
        <w:rPr>
          <w:b/>
          <w:color w:val="000000"/>
        </w:rPr>
        <w:t>be included</w:t>
      </w:r>
      <w:r w:rsidR="00740A34">
        <w:rPr>
          <w:b/>
          <w:color w:val="000000"/>
        </w:rPr>
        <w:t xml:space="preserve"> in </w:t>
      </w:r>
      <w:r w:rsidR="00ED41B4">
        <w:rPr>
          <w:b/>
          <w:color w:val="000000"/>
        </w:rPr>
        <w:t xml:space="preserve">a </w:t>
      </w:r>
      <w:r w:rsidR="00740A34">
        <w:rPr>
          <w:b/>
          <w:color w:val="000000"/>
        </w:rPr>
        <w:t>paging message or Msg2</w:t>
      </w:r>
      <w:r>
        <w:rPr>
          <w:b/>
          <w:color w:val="000000"/>
        </w:rPr>
        <w:t>.</w:t>
      </w:r>
      <w:r>
        <w:rPr>
          <w:rFonts w:hint="eastAsia"/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</w:p>
    <w:p w:rsidR="000157ED" w:rsidRDefault="000157ED" w:rsidP="000157ED">
      <w:r>
        <w:t>In RFID, after the reader transmits a Query command, there is only one access occasion following the Query command. Devices contend to transmit a 16-bit random ID in the access occasion. At most one device will win the contention. The reader transmits a ACK to acknowledge the reception of the random ID from the winning device.</w:t>
      </w:r>
    </w:p>
    <w:p w:rsidR="000157ED" w:rsidRDefault="000157ED" w:rsidP="000157ED">
      <w:r>
        <w:t>In ambient IoT,</w:t>
      </w:r>
      <w:r w:rsidR="002111C2">
        <w:t xml:space="preserve"> since</w:t>
      </w:r>
      <w:r>
        <w:t xml:space="preserve"> </w:t>
      </w:r>
      <w:r w:rsidR="002111C2">
        <w:t xml:space="preserve">slotted aloha is agreed to be the multiple access scheme, </w:t>
      </w:r>
      <w:r>
        <w:t xml:space="preserve">there </w:t>
      </w:r>
      <w:r w:rsidR="002111C2">
        <w:t xml:space="preserve">may have </w:t>
      </w:r>
      <w:r>
        <w:t>more than one access occasion</w:t>
      </w:r>
      <w:r w:rsidR="002111C2">
        <w:t>. As a result, it may happen that m</w:t>
      </w:r>
      <w:r>
        <w:t xml:space="preserve">ore than one device </w:t>
      </w:r>
      <w:r w:rsidR="002111C2">
        <w:t>successfully transmit a random ID to the reader</w:t>
      </w:r>
      <w:r>
        <w:t xml:space="preserve">. </w:t>
      </w:r>
      <w:r w:rsidR="002111C2">
        <w:t>In that case, it is unclear whether</w:t>
      </w:r>
      <w:r>
        <w:t xml:space="preserve"> Msg2 </w:t>
      </w:r>
      <w:r w:rsidR="002111C2">
        <w:t xml:space="preserve">can contain only one response for a Msg1 transmission as illustrated in Fig.1 or is allowed to </w:t>
      </w:r>
      <w:r>
        <w:t>contain multiple responses, each of which</w:t>
      </w:r>
      <w:r w:rsidR="002111C2">
        <w:t xml:space="preserve"> respond to </w:t>
      </w:r>
      <w:r>
        <w:t xml:space="preserve">a </w:t>
      </w:r>
      <w:r w:rsidR="006D380E">
        <w:t>successful</w:t>
      </w:r>
      <w:r>
        <w:t xml:space="preserve"> Msg1</w:t>
      </w:r>
      <w:r w:rsidR="002111C2">
        <w:t xml:space="preserve"> transmissions in Fig. 2</w:t>
      </w:r>
      <w:r w:rsidR="007C622A">
        <w:t xml:space="preserve">. </w:t>
      </w:r>
      <w:r>
        <w:t xml:space="preserve"> </w:t>
      </w:r>
    </w:p>
    <w:p w:rsidR="000157ED" w:rsidRDefault="00A6526D" w:rsidP="006D380E">
      <w:pPr>
        <w:spacing w:after="0"/>
        <w:jc w:val="center"/>
      </w:pPr>
      <w:r>
        <w:object w:dxaOrig="8011" w:dyaOrig="1486">
          <v:shape id="_x0000_i1026" type="#_x0000_t75" style="width:333.5pt;height:61.5pt" o:ole="">
            <v:imagedata r:id="rId11" o:title=""/>
          </v:shape>
          <o:OLEObject Type="Embed" ProgID="Visio.Drawing.15" ShapeID="_x0000_i1026" DrawAspect="Content" ObjectID="_1792584146" r:id="rId12"/>
        </w:object>
      </w:r>
    </w:p>
    <w:p w:rsidR="006D380E" w:rsidRDefault="006D380E" w:rsidP="006D380E">
      <w:pPr>
        <w:jc w:val="center"/>
      </w:pPr>
      <w:r>
        <w:t xml:space="preserve">Fig. </w:t>
      </w:r>
      <w:r w:rsidR="00B3289E">
        <w:t>2</w:t>
      </w:r>
      <w:r>
        <w:t xml:space="preserve">: </w:t>
      </w:r>
      <w:r w:rsidR="00A6526D">
        <w:t xml:space="preserve">Msg2 contains </w:t>
      </w:r>
      <w:r w:rsidR="005551B8">
        <w:t xml:space="preserve">only </w:t>
      </w:r>
      <w:r w:rsidR="00A6526D">
        <w:t>one response for a successful Msg1 transmission</w:t>
      </w:r>
      <w:r>
        <w:t xml:space="preserve">. </w:t>
      </w:r>
    </w:p>
    <w:p w:rsidR="006D380E" w:rsidRDefault="00A6526D" w:rsidP="00F10E21">
      <w:pPr>
        <w:spacing w:after="0"/>
        <w:jc w:val="center"/>
      </w:pPr>
      <w:r>
        <w:object w:dxaOrig="6571" w:dyaOrig="1388">
          <v:shape id="_x0000_i1027" type="#_x0000_t75" style="width:282pt;height:59.5pt" o:ole="">
            <v:imagedata r:id="rId13" o:title=""/>
          </v:shape>
          <o:OLEObject Type="Embed" ProgID="Visio.Drawing.15" ShapeID="_x0000_i1027" DrawAspect="Content" ObjectID="_1792584147" r:id="rId14"/>
        </w:object>
      </w:r>
    </w:p>
    <w:p w:rsidR="006D380E" w:rsidRPr="006D380E" w:rsidRDefault="006D380E" w:rsidP="006D380E">
      <w:pPr>
        <w:jc w:val="center"/>
      </w:pPr>
      <w:r>
        <w:t xml:space="preserve">Fig. </w:t>
      </w:r>
      <w:r w:rsidR="00B3289E">
        <w:t>3</w:t>
      </w:r>
      <w:r>
        <w:t xml:space="preserve">: </w:t>
      </w:r>
      <w:r w:rsidR="00A6526D">
        <w:t>Msg2 contains multiple responses for successful Msg1 transmissions</w:t>
      </w:r>
      <w:r>
        <w:t xml:space="preserve">. </w:t>
      </w:r>
    </w:p>
    <w:p w:rsidR="00EC56D3" w:rsidRDefault="00EC56D3" w:rsidP="00E4511C">
      <w:pPr>
        <w:ind w:left="1080" w:hanging="1080"/>
        <w:jc w:val="both"/>
        <w:rPr>
          <w:b/>
          <w:color w:val="000000"/>
        </w:rPr>
      </w:pPr>
      <w:r w:rsidRPr="00BC56BB">
        <w:rPr>
          <w:b/>
        </w:rPr>
        <w:t>Proposal</w:t>
      </w:r>
      <w:r w:rsidR="00D73E8C">
        <w:rPr>
          <w:b/>
          <w:color w:val="000000"/>
        </w:rPr>
        <w:t xml:space="preserve"> 4</w:t>
      </w:r>
      <w:r w:rsidR="00E4511C">
        <w:rPr>
          <w:b/>
          <w:color w:val="000000"/>
        </w:rPr>
        <w:t>: R</w:t>
      </w:r>
      <w:r w:rsidR="000157ED">
        <w:rPr>
          <w:b/>
          <w:color w:val="000000"/>
        </w:rPr>
        <w:t xml:space="preserve">AN2 to discuss whether Msg2 </w:t>
      </w:r>
      <w:r w:rsidR="00A4294F">
        <w:rPr>
          <w:b/>
          <w:color w:val="000000"/>
        </w:rPr>
        <w:t>can contain</w:t>
      </w:r>
      <w:bookmarkStart w:id="1" w:name="_GoBack"/>
      <w:bookmarkEnd w:id="1"/>
      <w:r w:rsidR="00A4294F">
        <w:rPr>
          <w:b/>
          <w:color w:val="000000"/>
        </w:rPr>
        <w:t xml:space="preserve"> </w:t>
      </w:r>
      <w:r w:rsidR="00E4511C">
        <w:rPr>
          <w:b/>
          <w:color w:val="000000"/>
        </w:rPr>
        <w:t xml:space="preserve">multiple </w:t>
      </w:r>
      <w:r w:rsidR="00CB5AC3">
        <w:rPr>
          <w:b/>
          <w:color w:val="000000"/>
        </w:rPr>
        <w:t xml:space="preserve">responses </w:t>
      </w:r>
      <w:r w:rsidR="00C6556F">
        <w:rPr>
          <w:b/>
          <w:color w:val="000000"/>
        </w:rPr>
        <w:t>to</w:t>
      </w:r>
      <w:r w:rsidR="00E4511C">
        <w:rPr>
          <w:b/>
          <w:color w:val="000000"/>
        </w:rPr>
        <w:t xml:space="preserve"> </w:t>
      </w:r>
      <w:r w:rsidR="000157ED">
        <w:rPr>
          <w:b/>
          <w:color w:val="000000"/>
        </w:rPr>
        <w:t>Msg1 transmissions</w:t>
      </w:r>
      <w:r>
        <w:rPr>
          <w:b/>
          <w:color w:val="000000"/>
        </w:rPr>
        <w:t>.</w:t>
      </w:r>
      <w:r>
        <w:rPr>
          <w:rFonts w:hint="eastAsia"/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</w:p>
    <w:p w:rsidR="00F74256" w:rsidRDefault="000E422C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</w:rPr>
        <w:tab/>
        <w:t>Conclusions</w:t>
      </w:r>
    </w:p>
    <w:p w:rsidR="00F74256" w:rsidRDefault="000E422C">
      <w:pPr>
        <w:spacing w:after="0" w:line="360" w:lineRule="auto"/>
      </w:pPr>
      <w:r>
        <w:t xml:space="preserve">In conclusion, we have the following proposals: </w:t>
      </w:r>
    </w:p>
    <w:p w:rsidR="00F74256" w:rsidRDefault="00BC56BB" w:rsidP="001960E2">
      <w:pPr>
        <w:ind w:left="1170" w:hanging="1170"/>
        <w:jc w:val="both"/>
        <w:rPr>
          <w:b/>
          <w:color w:val="000000"/>
        </w:rPr>
      </w:pPr>
      <w:r w:rsidRPr="00BC56BB">
        <w:rPr>
          <w:b/>
        </w:rPr>
        <w:t>Proposal</w:t>
      </w:r>
      <w:r w:rsidR="009B3CF1">
        <w:rPr>
          <w:b/>
          <w:color w:val="000000"/>
        </w:rPr>
        <w:t xml:space="preserve"> 1:</w:t>
      </w:r>
      <w:r w:rsidR="001960E2">
        <w:rPr>
          <w:b/>
        </w:rPr>
        <w:t xml:space="preserve">  </w:t>
      </w:r>
      <w:r w:rsidR="001E0EE0">
        <w:rPr>
          <w:b/>
          <w:color w:val="000000"/>
        </w:rPr>
        <w:t>RAN2 to agree the access timing in Fig.1</w:t>
      </w:r>
      <w:r w:rsidR="000E422C">
        <w:rPr>
          <w:b/>
          <w:color w:val="000000"/>
        </w:rPr>
        <w:t>.</w:t>
      </w:r>
    </w:p>
    <w:p w:rsidR="00F74256" w:rsidRDefault="000E422C" w:rsidP="001960E2">
      <w:pPr>
        <w:ind w:left="1170" w:hanging="1170"/>
        <w:jc w:val="both"/>
      </w:pPr>
      <w:r>
        <w:rPr>
          <w:b/>
        </w:rPr>
        <w:t xml:space="preserve">Proposal 2: </w:t>
      </w:r>
      <w:r w:rsidR="00BC56BB">
        <w:rPr>
          <w:b/>
        </w:rPr>
        <w:t xml:space="preserve"> </w:t>
      </w:r>
      <w:r w:rsidR="001E0EE0">
        <w:rPr>
          <w:b/>
          <w:color w:val="000000"/>
        </w:rPr>
        <w:t>Backoff mechanism should be supported for Msg1 transmission</w:t>
      </w:r>
      <w:r>
        <w:rPr>
          <w:b/>
        </w:rPr>
        <w:t>.</w:t>
      </w:r>
    </w:p>
    <w:p w:rsidR="00F74256" w:rsidRDefault="000E422C">
      <w:r>
        <w:rPr>
          <w:b/>
        </w:rPr>
        <w:t xml:space="preserve">Proposal 3: </w:t>
      </w:r>
      <w:r w:rsidR="00BC56BB">
        <w:rPr>
          <w:b/>
        </w:rPr>
        <w:t xml:space="preserve"> </w:t>
      </w:r>
      <w:r w:rsidR="001E0EE0">
        <w:rPr>
          <w:b/>
          <w:color w:val="000000"/>
        </w:rPr>
        <w:t>Backoff indicator can be included in a paging message or Msg2</w:t>
      </w:r>
      <w:r>
        <w:rPr>
          <w:b/>
        </w:rPr>
        <w:t>.</w:t>
      </w:r>
    </w:p>
    <w:p w:rsidR="00F74256" w:rsidRDefault="000E422C" w:rsidP="005C28B2">
      <w:pPr>
        <w:ind w:left="1170" w:hanging="1170"/>
        <w:jc w:val="both"/>
        <w:rPr>
          <w:b/>
        </w:rPr>
      </w:pPr>
      <w:r>
        <w:rPr>
          <w:b/>
        </w:rPr>
        <w:t xml:space="preserve">Proposal 4: </w:t>
      </w:r>
      <w:r w:rsidR="001E0EE0">
        <w:rPr>
          <w:b/>
        </w:rPr>
        <w:t xml:space="preserve"> </w:t>
      </w:r>
      <w:r w:rsidR="001E0EE0">
        <w:rPr>
          <w:b/>
          <w:color w:val="000000"/>
        </w:rPr>
        <w:t>RAN2 to discuss whether Msg2 can contain multiple responses to Msg1 transmissions</w:t>
      </w:r>
      <w:r>
        <w:rPr>
          <w:b/>
        </w:rPr>
        <w:t>.</w:t>
      </w:r>
    </w:p>
    <w:p w:rsidR="00F74256" w:rsidRDefault="00F74256">
      <w:pPr>
        <w:ind w:left="1080"/>
        <w:jc w:val="both"/>
        <w:rPr>
          <w:b/>
        </w:rPr>
      </w:pPr>
    </w:p>
    <w:sectPr w:rsidR="00F74256">
      <w:headerReference w:type="even" r:id="rId15"/>
      <w:headerReference w:type="default" r:id="rId16"/>
      <w:footerReference w:type="default" r:id="rId17"/>
      <w:headerReference w:type="first" r:id="rId18"/>
      <w:pgSz w:w="11907" w:h="16840"/>
      <w:pgMar w:top="1440" w:right="1440" w:bottom="1440" w:left="1440" w:header="675" w:footer="5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3A0C" w:rsidRDefault="002A3A0C">
      <w:pPr>
        <w:spacing w:after="0"/>
      </w:pPr>
      <w:r>
        <w:separator/>
      </w:r>
    </w:p>
  </w:endnote>
  <w:endnote w:type="continuationSeparator" w:id="0">
    <w:p w:rsidR="002A3A0C" w:rsidRDefault="002A3A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669" w:rsidRDefault="00E00669">
    <w:pPr>
      <w:widowControl w:val="0"/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jc w:val="center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9C3409">
      <w:rPr>
        <w:rFonts w:ascii="Arial" w:eastAsia="Arial" w:hAnsi="Arial" w:cs="Arial"/>
        <w:b/>
        <w:noProof/>
        <w:color w:val="000000"/>
        <w:sz w:val="18"/>
        <w:szCs w:val="18"/>
      </w:rPr>
      <w:t>2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3A0C" w:rsidRDefault="002A3A0C">
      <w:pPr>
        <w:spacing w:after="0"/>
      </w:pPr>
      <w:r>
        <w:separator/>
      </w:r>
    </w:p>
  </w:footnote>
  <w:footnote w:type="continuationSeparator" w:id="0">
    <w:p w:rsidR="002A3A0C" w:rsidRDefault="002A3A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669" w:rsidRDefault="00E00669">
    <w:r>
      <w:t xml:space="preserve">Page </w:t>
    </w:r>
    <w:r>
      <w:fldChar w:fldCharType="begin"/>
    </w:r>
    <w:r>
      <w:instrText>PAGE</w:instrText>
    </w:r>
    <w:r>
      <w:fldChar w:fldCharType="end"/>
    </w:r>
    <w:r>
      <w:br/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>
              <wp:simplePos x="0" y="0"/>
              <wp:positionH relativeFrom="column">
                <wp:posOffset>-596899</wp:posOffset>
              </wp:positionH>
              <wp:positionV relativeFrom="paragraph">
                <wp:posOffset>-3784599</wp:posOffset>
              </wp:positionV>
              <wp:extent cx="8763134" cy="8763134"/>
              <wp:effectExtent l="0" t="0" r="0" b="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E00669" w:rsidRDefault="00E00669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5" o:spid="_x0000_s1026" style="position:absolute;margin-left:-47pt;margin-top:-298pt;width:690pt;height:690pt;rotation:-45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" stroked="f">
              <v:textbox inset="2.53958mm,2.53958mm,2.53958mm,2.53958mm">
                <w:txbxContent>
                  <w:p w:rsidR="00E00669" w:rsidRDefault="00E00669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669" w:rsidRDefault="00E00669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669" w:rsidRDefault="00E00669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>
              <wp:simplePos x="0" y="0"/>
              <wp:positionH relativeFrom="column">
                <wp:posOffset>-596899</wp:posOffset>
              </wp:positionH>
              <wp:positionV relativeFrom="paragraph">
                <wp:posOffset>-3784599</wp:posOffset>
              </wp:positionV>
              <wp:extent cx="8763134" cy="8763134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E00669" w:rsidRDefault="00E00669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4" o:spid="_x0000_s1027" style="position:absolute;margin-left:-47pt;margin-top:-298pt;width:690pt;height:690pt;rotation:-45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" stroked="f">
              <v:textbox inset="2.53958mm,2.53958mm,2.53958mm,2.53958mm">
                <w:txbxContent>
                  <w:p w:rsidR="00E00669" w:rsidRDefault="00E00669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C6727"/>
    <w:multiLevelType w:val="hybridMultilevel"/>
    <w:tmpl w:val="3E50D3D4"/>
    <w:lvl w:ilvl="0" w:tplc="2DA0D26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466268EF"/>
    <w:multiLevelType w:val="hybridMultilevel"/>
    <w:tmpl w:val="271E29B6"/>
    <w:lvl w:ilvl="0" w:tplc="2DA0D26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256"/>
    <w:rsid w:val="0000765E"/>
    <w:rsid w:val="00014B1C"/>
    <w:rsid w:val="000157ED"/>
    <w:rsid w:val="00017E7C"/>
    <w:rsid w:val="00023DA5"/>
    <w:rsid w:val="00032507"/>
    <w:rsid w:val="00053845"/>
    <w:rsid w:val="00070DA3"/>
    <w:rsid w:val="0008662D"/>
    <w:rsid w:val="000967EA"/>
    <w:rsid w:val="000C75C2"/>
    <w:rsid w:val="000D7380"/>
    <w:rsid w:val="000E12D7"/>
    <w:rsid w:val="000E422C"/>
    <w:rsid w:val="000F6D92"/>
    <w:rsid w:val="0010248B"/>
    <w:rsid w:val="00110022"/>
    <w:rsid w:val="0016599D"/>
    <w:rsid w:val="00171C5B"/>
    <w:rsid w:val="0017720A"/>
    <w:rsid w:val="00177225"/>
    <w:rsid w:val="00177775"/>
    <w:rsid w:val="001863B5"/>
    <w:rsid w:val="001960E2"/>
    <w:rsid w:val="001963D2"/>
    <w:rsid w:val="001A7656"/>
    <w:rsid w:val="001E0EE0"/>
    <w:rsid w:val="00205658"/>
    <w:rsid w:val="002111C2"/>
    <w:rsid w:val="002226B0"/>
    <w:rsid w:val="00224D03"/>
    <w:rsid w:val="00246370"/>
    <w:rsid w:val="00267194"/>
    <w:rsid w:val="0028339F"/>
    <w:rsid w:val="002A3A0C"/>
    <w:rsid w:val="002D6645"/>
    <w:rsid w:val="002D7A78"/>
    <w:rsid w:val="002E6DAE"/>
    <w:rsid w:val="002F639B"/>
    <w:rsid w:val="003120EF"/>
    <w:rsid w:val="00312287"/>
    <w:rsid w:val="00316F48"/>
    <w:rsid w:val="00330FB4"/>
    <w:rsid w:val="00347AC6"/>
    <w:rsid w:val="00361778"/>
    <w:rsid w:val="0036536D"/>
    <w:rsid w:val="00372260"/>
    <w:rsid w:val="00380C90"/>
    <w:rsid w:val="00384236"/>
    <w:rsid w:val="003A0BF0"/>
    <w:rsid w:val="003C2957"/>
    <w:rsid w:val="003C3737"/>
    <w:rsid w:val="003E2417"/>
    <w:rsid w:val="004010F4"/>
    <w:rsid w:val="004062E7"/>
    <w:rsid w:val="004143BE"/>
    <w:rsid w:val="00417B13"/>
    <w:rsid w:val="004203CA"/>
    <w:rsid w:val="00437EAD"/>
    <w:rsid w:val="00442832"/>
    <w:rsid w:val="004561DA"/>
    <w:rsid w:val="00460A79"/>
    <w:rsid w:val="004635A7"/>
    <w:rsid w:val="004656BF"/>
    <w:rsid w:val="00476C9E"/>
    <w:rsid w:val="00484FE7"/>
    <w:rsid w:val="004A5059"/>
    <w:rsid w:val="004C2380"/>
    <w:rsid w:val="004C42FC"/>
    <w:rsid w:val="004D3C2F"/>
    <w:rsid w:val="004E7FEA"/>
    <w:rsid w:val="00530D27"/>
    <w:rsid w:val="00534767"/>
    <w:rsid w:val="00542335"/>
    <w:rsid w:val="005457DD"/>
    <w:rsid w:val="005551B8"/>
    <w:rsid w:val="00565A75"/>
    <w:rsid w:val="00567511"/>
    <w:rsid w:val="00581BE4"/>
    <w:rsid w:val="00595A3A"/>
    <w:rsid w:val="005A43C2"/>
    <w:rsid w:val="005A6388"/>
    <w:rsid w:val="005B5C9E"/>
    <w:rsid w:val="005C28B2"/>
    <w:rsid w:val="005E6682"/>
    <w:rsid w:val="00621B7F"/>
    <w:rsid w:val="00626606"/>
    <w:rsid w:val="00626C3D"/>
    <w:rsid w:val="006516A4"/>
    <w:rsid w:val="006B27E5"/>
    <w:rsid w:val="006D380E"/>
    <w:rsid w:val="00702FC1"/>
    <w:rsid w:val="00710BC6"/>
    <w:rsid w:val="00740A34"/>
    <w:rsid w:val="0074419F"/>
    <w:rsid w:val="007508D5"/>
    <w:rsid w:val="00761140"/>
    <w:rsid w:val="00762714"/>
    <w:rsid w:val="007631C3"/>
    <w:rsid w:val="0076369E"/>
    <w:rsid w:val="00763FCB"/>
    <w:rsid w:val="00781736"/>
    <w:rsid w:val="007B4B53"/>
    <w:rsid w:val="007C622A"/>
    <w:rsid w:val="007F545F"/>
    <w:rsid w:val="00860024"/>
    <w:rsid w:val="0086261D"/>
    <w:rsid w:val="00865D72"/>
    <w:rsid w:val="00877F25"/>
    <w:rsid w:val="0088562D"/>
    <w:rsid w:val="00886CC9"/>
    <w:rsid w:val="00897985"/>
    <w:rsid w:val="008A36D0"/>
    <w:rsid w:val="008A4D4A"/>
    <w:rsid w:val="008B0E77"/>
    <w:rsid w:val="00902457"/>
    <w:rsid w:val="0091691A"/>
    <w:rsid w:val="0094788B"/>
    <w:rsid w:val="009601B2"/>
    <w:rsid w:val="00962EFE"/>
    <w:rsid w:val="00994D73"/>
    <w:rsid w:val="009A0266"/>
    <w:rsid w:val="009B3CF1"/>
    <w:rsid w:val="009B7060"/>
    <w:rsid w:val="009C3409"/>
    <w:rsid w:val="009E433E"/>
    <w:rsid w:val="009E7478"/>
    <w:rsid w:val="00A021E1"/>
    <w:rsid w:val="00A04FD7"/>
    <w:rsid w:val="00A13FBB"/>
    <w:rsid w:val="00A33A21"/>
    <w:rsid w:val="00A40AAD"/>
    <w:rsid w:val="00A417F8"/>
    <w:rsid w:val="00A4294F"/>
    <w:rsid w:val="00A63640"/>
    <w:rsid w:val="00A6526D"/>
    <w:rsid w:val="00A7568C"/>
    <w:rsid w:val="00A81867"/>
    <w:rsid w:val="00AA3B4B"/>
    <w:rsid w:val="00AA66E4"/>
    <w:rsid w:val="00AB2D6D"/>
    <w:rsid w:val="00AF6495"/>
    <w:rsid w:val="00AF78B2"/>
    <w:rsid w:val="00B1298B"/>
    <w:rsid w:val="00B241CF"/>
    <w:rsid w:val="00B3289E"/>
    <w:rsid w:val="00B5168A"/>
    <w:rsid w:val="00B609FA"/>
    <w:rsid w:val="00B7488C"/>
    <w:rsid w:val="00B82EFE"/>
    <w:rsid w:val="00BA159A"/>
    <w:rsid w:val="00BA350E"/>
    <w:rsid w:val="00BC0FE7"/>
    <w:rsid w:val="00BC56BB"/>
    <w:rsid w:val="00BD214F"/>
    <w:rsid w:val="00BE574B"/>
    <w:rsid w:val="00C20989"/>
    <w:rsid w:val="00C443B5"/>
    <w:rsid w:val="00C4551E"/>
    <w:rsid w:val="00C50BEA"/>
    <w:rsid w:val="00C558B1"/>
    <w:rsid w:val="00C617BD"/>
    <w:rsid w:val="00C6556F"/>
    <w:rsid w:val="00C817BB"/>
    <w:rsid w:val="00C95E44"/>
    <w:rsid w:val="00CB2E59"/>
    <w:rsid w:val="00CB5AC3"/>
    <w:rsid w:val="00D34E04"/>
    <w:rsid w:val="00D64240"/>
    <w:rsid w:val="00D73E8C"/>
    <w:rsid w:val="00DA029A"/>
    <w:rsid w:val="00DD3D27"/>
    <w:rsid w:val="00DD67C1"/>
    <w:rsid w:val="00DF19CE"/>
    <w:rsid w:val="00DF7BA8"/>
    <w:rsid w:val="00E00669"/>
    <w:rsid w:val="00E031BA"/>
    <w:rsid w:val="00E047E1"/>
    <w:rsid w:val="00E1154F"/>
    <w:rsid w:val="00E145FF"/>
    <w:rsid w:val="00E20364"/>
    <w:rsid w:val="00E227DE"/>
    <w:rsid w:val="00E332D2"/>
    <w:rsid w:val="00E4511C"/>
    <w:rsid w:val="00EB69FB"/>
    <w:rsid w:val="00EC56D3"/>
    <w:rsid w:val="00EC5A71"/>
    <w:rsid w:val="00ED41B4"/>
    <w:rsid w:val="00F10E21"/>
    <w:rsid w:val="00F420D1"/>
    <w:rsid w:val="00F445AA"/>
    <w:rsid w:val="00F63ED2"/>
    <w:rsid w:val="00F702B8"/>
    <w:rsid w:val="00F70C46"/>
    <w:rsid w:val="00F7378A"/>
    <w:rsid w:val="00F74256"/>
    <w:rsid w:val="00F80D10"/>
    <w:rsid w:val="00F919AA"/>
    <w:rsid w:val="00F95A53"/>
    <w:rsid w:val="00FA470B"/>
    <w:rsid w:val="00FB47EB"/>
    <w:rsid w:val="00FC0D1A"/>
    <w:rsid w:val="00FC1D5B"/>
    <w:rsid w:val="00FD121D"/>
    <w:rsid w:val="00FD5D13"/>
    <w:rsid w:val="00FF17FF"/>
    <w:rsid w:val="00FF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2D8E4"/>
  <w15:docId w15:val="{DEBD7E00-6E5C-4E92-B4F5-E585C6562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GB" w:eastAsia="zh-TW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432" w:hanging="432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576" w:hanging="576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008" w:hanging="1008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05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53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qFormat/>
    <w:rsid w:val="000241D7"/>
    <w:pPr>
      <w:spacing w:after="0"/>
    </w:pPr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241D7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0241D7"/>
    <w:rPr>
      <w:rFonts w:ascii="Arial" w:eastAsia="Times New Roman" w:hAnsi="Arial"/>
      <w:lang w:eastAsia="ja-JP"/>
    </w:rPr>
  </w:style>
  <w:style w:type="paragraph" w:customStyle="1" w:styleId="TF">
    <w:name w:val="TF"/>
    <w:basedOn w:val="TH"/>
    <w:link w:val="TFChar"/>
    <w:rsid w:val="00EB3639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EB3639"/>
    <w:pPr>
      <w:keepNext/>
      <w:keepLines/>
      <w:spacing w:before="60"/>
      <w:jc w:val="center"/>
    </w:pPr>
    <w:rPr>
      <w:rFonts w:ascii="Arial" w:eastAsia="Batang" w:hAnsi="Arial"/>
      <w:b/>
      <w:lang w:eastAsia="en-US"/>
    </w:rPr>
  </w:style>
  <w:style w:type="character" w:customStyle="1" w:styleId="THChar">
    <w:name w:val="TH Char"/>
    <w:link w:val="TH"/>
    <w:qFormat/>
    <w:rsid w:val="00EB3639"/>
    <w:rPr>
      <w:rFonts w:ascii="Arial" w:eastAsia="Batang" w:hAnsi="Arial"/>
      <w:b/>
      <w:lang w:eastAsia="en-US"/>
    </w:rPr>
  </w:style>
  <w:style w:type="character" w:customStyle="1" w:styleId="TFChar">
    <w:name w:val="TF Char"/>
    <w:link w:val="TF"/>
    <w:rsid w:val="00EB3639"/>
    <w:rPr>
      <w:rFonts w:ascii="Arial" w:eastAsia="Batang" w:hAnsi="Arial"/>
      <w:b/>
      <w:lang w:eastAsia="en-US"/>
    </w:rPr>
  </w:style>
  <w:style w:type="paragraph" w:customStyle="1" w:styleId="TAC">
    <w:name w:val="TAC"/>
    <w:basedOn w:val="Normal"/>
    <w:link w:val="TACChar"/>
    <w:qFormat/>
    <w:rsid w:val="00C32F9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CChar">
    <w:name w:val="TAC Char"/>
    <w:link w:val="TAC"/>
    <w:qFormat/>
    <w:rsid w:val="00C32F92"/>
    <w:rPr>
      <w:rFonts w:ascii="Arial" w:eastAsia="Times New Roman" w:hAnsi="Arial"/>
      <w:sz w:val="18"/>
      <w:lang w:eastAsia="ja-JP"/>
    </w:rPr>
  </w:style>
  <w:style w:type="paragraph" w:styleId="ListParagraph">
    <w:name w:val="List Paragraph"/>
    <w:aliases w:val="- Bullets,목록 단락,列出段落,?? ??,?????,????,Lista1,列出段落1,中等深浅网格 1 - 着色 21,リスト段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4C5D0D"/>
    <w:pPr>
      <w:ind w:left="720"/>
      <w:contextualSpacing/>
    </w:pPr>
  </w:style>
  <w:style w:type="character" w:customStyle="1" w:styleId="ListParagraphChar">
    <w:name w:val="List Paragraph Char"/>
    <w:aliases w:val="- Bullets Char,목록 단락 Char,列出段落 Char,?? ?? Char,????? Char,???? Char,Lista1 Char,列出段落1 Char,中等深浅网格 1 - 着色 21 Char,リスト段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721C2"/>
  </w:style>
  <w:style w:type="paragraph" w:customStyle="1" w:styleId="Agreement">
    <w:name w:val="Agreement"/>
    <w:basedOn w:val="Normal"/>
    <w:next w:val="Doc-text2"/>
    <w:uiPriority w:val="99"/>
    <w:qFormat/>
    <w:rsid w:val="00740A34"/>
    <w:pPr>
      <w:numPr>
        <w:numId w:val="2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PjrFM0qJiXjuzRUfdvjRVNpDvw==">CgMxLjAyCGguZ2pkZ3hzMgloLjMwajB6bGwyDmgucTEzdzdqOXViaHAxOAByITFKRWlsN1VKRkFxcVNKa3Q1eElhRVJMMzNfMzRZRlFCNw==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DEC4700-A0FA-4B3F-8D79-7AC03C323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2865</TotalTime>
  <Pages>2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4668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Shiangrung Ye</dc:creator>
  <cp:lastModifiedBy>Google</cp:lastModifiedBy>
  <cp:revision>151</cp:revision>
  <dcterms:created xsi:type="dcterms:W3CDTF">2023-02-16T07:04:00Z</dcterms:created>
  <dcterms:modified xsi:type="dcterms:W3CDTF">2024-11-08T07:16:00Z</dcterms:modified>
</cp:coreProperties>
</file>