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77777777"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10"/>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7C196F">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7C196F">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RS of serving cell for event evaluation</w:t>
      </w:r>
    </w:p>
    <w:p w14:paraId="334A4790" w14:textId="77777777" w:rsidR="002214F4" w:rsidRDefault="007C196F">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7C196F">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af8"/>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7C196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7C196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7C196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7C196F">
            <w:pPr>
              <w:snapToGrid/>
              <w:spacing w:before="180" w:after="0" w:afterAutospacing="0" w:line="0" w:lineRule="atLeast"/>
              <w:contextualSpacing/>
              <w:jc w:val="left"/>
            </w:pPr>
            <w:hyperlink r:id="rId35"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7C196F">
            <w:pPr>
              <w:snapToGrid/>
              <w:spacing w:before="180" w:after="0" w:afterAutospacing="0" w:line="0" w:lineRule="atLeast"/>
              <w:contextualSpacing/>
              <w:jc w:val="left"/>
            </w:pPr>
            <w:hyperlink r:id="rId36"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7C196F">
            <w:pPr>
              <w:snapToGrid/>
              <w:spacing w:before="180" w:after="0" w:afterAutospacing="0" w:line="0" w:lineRule="atLeast"/>
              <w:contextualSpacing/>
              <w:jc w:val="left"/>
            </w:pPr>
            <w:hyperlink r:id="rId37"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7C196F">
            <w:pPr>
              <w:snapToGrid/>
              <w:spacing w:before="180" w:after="0" w:afterAutospacing="0" w:line="0" w:lineRule="atLeast"/>
              <w:contextualSpacing/>
              <w:jc w:val="left"/>
            </w:pPr>
            <w:hyperlink r:id="rId38"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7C196F">
            <w:pPr>
              <w:snapToGrid/>
              <w:spacing w:before="180" w:after="0" w:afterAutospacing="0" w:line="0" w:lineRule="atLeast"/>
              <w:contextualSpacing/>
              <w:jc w:val="left"/>
            </w:pPr>
            <w:hyperlink r:id="rId39"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7C196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There is no consensus in RAN1 on the support L1-SINR measurement based on CSI-RS for candidate cells</w:t>
      </w:r>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30"/>
      </w:pPr>
      <w:r>
        <w:rPr>
          <w:rFonts w:hint="eastAsia"/>
        </w:rPr>
        <w:lastRenderedPageBreak/>
        <w:t>[No issue] Support of intra- and inter frequency measurement</w:t>
      </w:r>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30"/>
      </w:pPr>
      <w:r>
        <w:rPr>
          <w:rFonts w:hint="eastAsia"/>
        </w:rPr>
        <w:t>[Mid] Time domain property of CSI-RS for measurement</w:t>
      </w:r>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cell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At least CSI-RS for beam management is supported for L1-RSRP measurement for candidate cell</w:t>
      </w:r>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a0"/>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a0"/>
        <w:numPr>
          <w:ilvl w:val="0"/>
          <w:numId w:val="15"/>
        </w:numPr>
      </w:pPr>
      <w:r>
        <w:rPr>
          <w:rFonts w:hint="eastAsia"/>
          <w:highlight w:val="yellow"/>
        </w:rPr>
        <w:t>Yes(2)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supporting SP/AP CSI-RS provides more flexibility for LTM</w:t>
      </w:r>
    </w:p>
    <w:p w14:paraId="334A48B5" w14:textId="77777777" w:rsidR="002214F4" w:rsidRDefault="00400394">
      <w:pPr>
        <w:pStyle w:val="a0"/>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id some unnecessary measurement and save energy consumption at UE side</w:t>
      </w:r>
    </w:p>
    <w:p w14:paraId="334A48BB" w14:textId="77777777" w:rsidR="002214F4" w:rsidRDefault="00400394">
      <w:pPr>
        <w:pStyle w:val="a0"/>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a0"/>
        <w:numPr>
          <w:ilvl w:val="1"/>
          <w:numId w:val="15"/>
        </w:numPr>
      </w:pPr>
      <w:r>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Mechanism to trigger aperiodic CSI-RS transmission</w:t>
      </w:r>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a0"/>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30"/>
      </w:pPr>
      <w:r>
        <w:rPr>
          <w:rFonts w:hint="eastAsia"/>
        </w:rPr>
        <w:lastRenderedPageBreak/>
        <w:t>[Low] Type of CSI-RS for L1 measurement</w:t>
      </w:r>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cell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At least CSI-RS for beam management is supported for L1-RSRP measurement for candidate cell</w:t>
      </w:r>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measurement requirements for L1 reporting and L3 reporting are different</w:t>
      </w:r>
    </w:p>
    <w:p w14:paraId="334A496B" w14:textId="77777777" w:rsidR="002214F4" w:rsidRDefault="00400394">
      <w:pPr>
        <w:pStyle w:val="a0"/>
        <w:numPr>
          <w:ilvl w:val="1"/>
          <w:numId w:val="15"/>
        </w:numPr>
      </w:pPr>
      <w:r>
        <w:t>The CSI-RS for mobility configuration introduces restrictions on parameters that are not needed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334A49D9" w14:textId="77777777" w:rsidR="002214F4" w:rsidRDefault="002214F4">
      <w:pPr>
        <w:spacing w:before="180"/>
        <w:rPr>
          <w:lang w:val="en-US"/>
        </w:rPr>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30"/>
      </w:pPr>
      <w:r>
        <w:rPr>
          <w:rFonts w:hint="eastAsia"/>
        </w:rPr>
        <w:lastRenderedPageBreak/>
        <w:t>[Low] QCL source of CSI-RS for candidate cells</w:t>
      </w:r>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If the QCLed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30"/>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Explicit 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LTM-CSI-ResourceConfig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a0"/>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a0"/>
        <w:numPr>
          <w:ilvl w:val="1"/>
          <w:numId w:val="18"/>
        </w:numPr>
      </w:pPr>
      <w:r>
        <w:rPr>
          <w:rFonts w:hint="eastAsia"/>
        </w:rPr>
        <w:t>Spreadtrum</w:t>
      </w:r>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configured  </w:t>
      </w:r>
    </w:p>
    <w:p w14:paraId="334A4A5D" w14:textId="77777777" w:rsidR="002214F4" w:rsidRDefault="00400394">
      <w:pPr>
        <w:pStyle w:val="a0"/>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NZP-CSI-RS-ResourceSet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LTM-CSI-ResourceConfig.</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‘LTM-CSI-ResourceConfig’</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option </w:t>
      </w:r>
    </w:p>
    <w:p w14:paraId="334A4A84" w14:textId="77777777" w:rsidR="002214F4" w:rsidRDefault="00400394">
      <w:pPr>
        <w:pStyle w:val="a0"/>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a0"/>
        <w:numPr>
          <w:ilvl w:val="3"/>
          <w:numId w:val="19"/>
        </w:numPr>
      </w:pPr>
      <w:r>
        <w:lastRenderedPageBreak/>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a0"/>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a0"/>
        <w:numPr>
          <w:ilvl w:val="2"/>
          <w:numId w:val="21"/>
        </w:numPr>
      </w:pPr>
      <w:r>
        <w:rPr>
          <w:rFonts w:hint="eastAsia"/>
          <w:lang w:val="en-GB"/>
        </w:rPr>
        <w:t>FFS how and whether to add/modify the parameters</w:t>
      </w:r>
    </w:p>
    <w:p w14:paraId="334A4AA8" w14:textId="77777777" w:rsidR="002214F4" w:rsidRDefault="00400394">
      <w:pPr>
        <w:pStyle w:val="a0"/>
        <w:numPr>
          <w:ilvl w:val="1"/>
          <w:numId w:val="21"/>
        </w:numPr>
      </w:pPr>
      <w:r>
        <w:rPr>
          <w:rFonts w:hint="eastAsia"/>
        </w:rPr>
        <w:t>FFS how to associate the NZP-CSI-RS-Resource or NZP-CSI-RS-ResourceSet with candidate cell</w:t>
      </w:r>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a0"/>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a0"/>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a0"/>
        <w:numPr>
          <w:ilvl w:val="2"/>
          <w:numId w:val="21"/>
        </w:numPr>
      </w:pPr>
      <w:r>
        <w:rPr>
          <w:rFonts w:hint="eastAsia"/>
        </w:rPr>
        <w:t>FFS how and whether to add/modify the parameters</w:t>
      </w:r>
    </w:p>
    <w:p w14:paraId="334A4ABB" w14:textId="77777777" w:rsidR="002214F4" w:rsidRDefault="00400394">
      <w:pPr>
        <w:pStyle w:val="a0"/>
        <w:numPr>
          <w:ilvl w:val="1"/>
          <w:numId w:val="21"/>
        </w:numPr>
      </w:pPr>
      <w:r>
        <w:rPr>
          <w:rFonts w:hint="eastAsia"/>
        </w:rPr>
        <w:t>FFS how to associate NZP-CSI-RS-Resource and/or NZP-CSI-RS-ResourceSet with a candidate cell</w:t>
      </w:r>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a0"/>
        <w:numPr>
          <w:ilvl w:val="0"/>
          <w:numId w:val="15"/>
        </w:numPr>
        <w:rPr>
          <w:lang w:eastAsia="zh-CN"/>
        </w:rPr>
      </w:pPr>
      <w:r>
        <w:t>CSI-RS based L1-RSRP report is supported for gNB scheduled measurement reporting</w:t>
      </w:r>
    </w:p>
    <w:p w14:paraId="334A4B1C" w14:textId="77777777" w:rsidR="002214F4" w:rsidRDefault="00400394">
      <w:pPr>
        <w:pStyle w:val="a0"/>
        <w:numPr>
          <w:ilvl w:val="0"/>
          <w:numId w:val="15"/>
        </w:numPr>
      </w:pPr>
      <w:r>
        <w:t>FFS: CSI-RS based L1-SINR report is supported for gNB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a0"/>
        <w:numPr>
          <w:ilvl w:val="0"/>
          <w:numId w:val="22"/>
        </w:numPr>
      </w:pPr>
      <w:r>
        <w:rPr>
          <w:rFonts w:hint="eastAsia"/>
        </w:rPr>
        <w:t>No L1 specified filtering for time and spatial domain is introduced</w:t>
      </w:r>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aspects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Support group based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Same as Rel-18 LTM, the source cell and/or target cell configured with mTRP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20"/>
        <w:rPr>
          <w:lang w:val="en-US"/>
        </w:rPr>
      </w:pPr>
      <w:r>
        <w:rPr>
          <w:rFonts w:hint="eastAsia"/>
          <w:lang w:val="en-US"/>
        </w:rPr>
        <w:lastRenderedPageBreak/>
        <w:t>Event triggered reporting</w:t>
      </w:r>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a0"/>
        <w:numPr>
          <w:ilvl w:val="0"/>
          <w:numId w:val="15"/>
        </w:numPr>
        <w:rPr>
          <w:lang w:eastAsia="zh-CN"/>
        </w:rPr>
      </w:pPr>
      <w:r>
        <w:t>SSB based L1-RSRP measurements is supported for event triggered reporting</w:t>
      </w:r>
    </w:p>
    <w:p w14:paraId="334A4B4A" w14:textId="77777777" w:rsidR="002214F4" w:rsidRDefault="00400394">
      <w:pPr>
        <w:pStyle w:val="a0"/>
        <w:numPr>
          <w:ilvl w:val="0"/>
          <w:numId w:val="15"/>
        </w:numPr>
      </w:pPr>
      <w:r>
        <w:t>CSI-RS based L1-RSRP measurements is supported for event triggered reporting</w:t>
      </w:r>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30"/>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evaluation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a0"/>
        <w:numPr>
          <w:ilvl w:val="2"/>
          <w:numId w:val="15"/>
        </w:numPr>
        <w:rPr>
          <w:lang w:eastAsia="zh-CN"/>
        </w:rPr>
      </w:pPr>
      <w:r>
        <w:t>Option. 1: Derived from QCL (type-D) RS(s) of the indicated joint/DL TCI state for the serving cell</w:t>
      </w:r>
    </w:p>
    <w:p w14:paraId="334A4B79" w14:textId="77777777" w:rsidR="002214F4" w:rsidRDefault="00400394">
      <w:pPr>
        <w:pStyle w:val="a0"/>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a0"/>
        <w:numPr>
          <w:ilvl w:val="3"/>
          <w:numId w:val="15"/>
        </w:numPr>
        <w:rPr>
          <w:lang w:eastAsia="zh-CN"/>
        </w:rPr>
      </w:pPr>
      <w:r>
        <w:t>QCL RS or SSB is configured by the network</w:t>
      </w:r>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a0"/>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QCL RS or SSB QCLed with the QCL RS for serving cell RS for event evaluation can be clarified as follows;</w:t>
      </w:r>
    </w:p>
    <w:p w14:paraId="334A4B95" w14:textId="77777777" w:rsidR="002214F4" w:rsidRDefault="00400394">
      <w:pPr>
        <w:pStyle w:val="a0"/>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a0"/>
      </w:pPr>
      <w:r>
        <w:rPr>
          <w:rFonts w:hint="eastAsia"/>
        </w:rPr>
        <w:t>Spreadtrum</w:t>
      </w:r>
    </w:p>
    <w:p w14:paraId="334A4B9A" w14:textId="77777777" w:rsidR="002214F4" w:rsidRDefault="00400394">
      <w:pPr>
        <w:pStyle w:val="a0"/>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a0"/>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QCLed with the QCL RS of the indicated DL/joint TCI state is used. </w:t>
      </w:r>
    </w:p>
    <w:p w14:paraId="334A4BA4" w14:textId="77777777" w:rsidR="002214F4" w:rsidRDefault="00400394">
      <w:pPr>
        <w:pStyle w:val="a0"/>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a0"/>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a0"/>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The network decides which of QCL RS or SSB QCLed with QCL RS should be used for the serving cell.</w:t>
      </w:r>
    </w:p>
    <w:p w14:paraId="334A4BB5" w14:textId="77777777" w:rsidR="002214F4" w:rsidRDefault="00400394">
      <w:pPr>
        <w:pStyle w:val="a0"/>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a0"/>
        <w:numPr>
          <w:ilvl w:val="1"/>
          <w:numId w:val="6"/>
        </w:numPr>
      </w:pPr>
      <w:r>
        <w:lastRenderedPageBreak/>
        <w:t>When the serving cell is configured with mTRP and has two indicated joint/DL TCI states:</w:t>
      </w:r>
    </w:p>
    <w:p w14:paraId="334A4BBC" w14:textId="77777777" w:rsidR="002214F4" w:rsidRDefault="00400394">
      <w:pPr>
        <w:pStyle w:val="a0"/>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For the serving cell RS for event evaluation, either QCL RS or SSB QCLed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SSB QCLed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Issue 2: support of mTRP for serving cell</w:t>
      </w:r>
    </w:p>
    <w:p w14:paraId="334A4BD4" w14:textId="77777777" w:rsidR="002214F4" w:rsidRDefault="00400394">
      <w:pPr>
        <w:pStyle w:val="a0"/>
        <w:numPr>
          <w:ilvl w:val="1"/>
          <w:numId w:val="6"/>
        </w:numPr>
      </w:pPr>
      <w:r>
        <w:rPr>
          <w:rFonts w:hint="eastAsia"/>
        </w:rPr>
        <w:t>Whether mTRP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Companies are requested</w:t>
      </w:r>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a0"/>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a0"/>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a0"/>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5" w:name="_[FL_Proposal_3-4-v2]"/>
      <w:bookmarkEnd w:id="5"/>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30"/>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a0"/>
        <w:numPr>
          <w:ilvl w:val="3"/>
          <w:numId w:val="6"/>
        </w:numPr>
      </w:pPr>
      <w:r>
        <w:t>Support network configurable L1 filtering for event-triggered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a0"/>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a0"/>
        <w:numPr>
          <w:ilvl w:val="3"/>
          <w:numId w:val="6"/>
        </w:numPr>
      </w:pPr>
      <w:r>
        <w:t>A network configurable filter can ensure consistent variance of the RSRP measurements used for event evaluation</w:t>
      </w:r>
    </w:p>
    <w:p w14:paraId="334A4CD1" w14:textId="77777777" w:rsidR="002214F4" w:rsidRDefault="00400394">
      <w:pPr>
        <w:pStyle w:val="a0"/>
        <w:numPr>
          <w:ilvl w:val="3"/>
          <w:numId w:val="6"/>
        </w:numPr>
      </w:pPr>
      <w:r>
        <w:t>Different network deployments and network configurations require different filter settings for optimal performance</w:t>
      </w:r>
    </w:p>
    <w:p w14:paraId="334A4CD2" w14:textId="77777777" w:rsidR="002214F4" w:rsidRDefault="00400394">
      <w:pPr>
        <w:pStyle w:val="a0"/>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a0"/>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a0"/>
        <w:numPr>
          <w:ilvl w:val="3"/>
          <w:numId w:val="6"/>
        </w:numPr>
      </w:pPr>
      <w:bookmarkStart w:id="7" w:name="_Toc181975631"/>
      <w:r>
        <w:t>The network configurable filter is a first order IIR filter.</w:t>
      </w:r>
      <w:bookmarkEnd w:id="7"/>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TTT can solve the issue</w:t>
      </w:r>
    </w:p>
    <w:p w14:paraId="334A4CD7" w14:textId="77777777" w:rsidR="002214F4" w:rsidRDefault="00400394">
      <w:pPr>
        <w:pStyle w:val="a0"/>
        <w:numPr>
          <w:ilvl w:val="1"/>
          <w:numId w:val="6"/>
        </w:numPr>
      </w:pPr>
      <w:r>
        <w:rPr>
          <w:rFonts w:hint="eastAsia"/>
        </w:rPr>
        <w:t>Can be left to UE implementation</w:t>
      </w:r>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30"/>
      </w:pPr>
      <w:r>
        <w:rPr>
          <w:rFonts w:hint="eastAsia"/>
        </w:rPr>
        <w:lastRenderedPageBreak/>
        <w:t>[Closed] Other issues for event triggered reporting</w:t>
      </w:r>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a0"/>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Support simplified event-triggered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r>
        <w:rPr>
          <w:rFonts w:hint="eastAsia"/>
        </w:rPr>
        <w:t>No(3): CATT, MediaTek</w:t>
      </w:r>
      <w:r>
        <w:t>, Spreadtrum</w:t>
      </w:r>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8" w:name="_[FL_Proposal_4-1-v2]"/>
      <w:bookmarkEnd w:id="8"/>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a0"/>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30"/>
      </w:pPr>
      <w:r>
        <w:rPr>
          <w:rFonts w:hint="eastAsia"/>
        </w:rPr>
        <w:lastRenderedPageBreak/>
        <w:t>[Low] UE Rx beam management</w:t>
      </w:r>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Rx beam refinement with ‘repetition’ set to ‘on’ is supported for both gNB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30"/>
      </w:pPr>
      <w:r>
        <w:rPr>
          <w:rFonts w:hint="eastAsia"/>
        </w:rPr>
        <w:t>[High] CSI acquisition framework i.e. timing of measurement and reporting</w:t>
      </w:r>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The report is sent directly to target cell</w:t>
      </w:r>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a0"/>
        <w:numPr>
          <w:ilvl w:val="0"/>
          <w:numId w:val="26"/>
        </w:numPr>
      </w:pPr>
      <w:r>
        <w:rPr>
          <w:rFonts w:hint="eastAsia"/>
        </w:rPr>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vivo, Apple, NEC, Sony, MeidaTek, Sharp</w:t>
      </w:r>
    </w:p>
    <w:p w14:paraId="334A4EA2" w14:textId="77777777" w:rsidR="002214F4" w:rsidRDefault="00400394">
      <w:pPr>
        <w:pStyle w:val="a0"/>
        <w:numPr>
          <w:ilvl w:val="1"/>
          <w:numId w:val="26"/>
        </w:numPr>
      </w:pPr>
      <w:r>
        <w:rPr>
          <w:rFonts w:hint="eastAsia"/>
        </w:rPr>
        <w:t>Measurement timing should be decided first: Samsung</w:t>
      </w:r>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9" w:name="_[FL_proposal_5.1-v2]"/>
      <w:bookmarkEnd w:id="9"/>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Drawback 1: number of candidate cells to be measured</w:t>
      </w:r>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RS configuration to measure from 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Periodicity 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lastRenderedPageBreak/>
              <w:t>4) Dedicated signal (Alt-1, Alt-2, Alt-3)</w:t>
            </w:r>
            <w:r>
              <w:rPr>
                <w:rFonts w:eastAsiaTheme="minorEastAsia"/>
              </w:rPr>
              <w:t>: Selection of candidate cell to be measured can be performed by the dedicated signal such as MAC CE. 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more clear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214F4" w14:paraId="334A4F77" w14:textId="77777777" w:rsidTr="002214F4">
        <w:tc>
          <w:tcPr>
            <w:tcW w:w="1389" w:type="dxa"/>
          </w:tcPr>
          <w:p w14:paraId="334A4F74" w14:textId="77777777" w:rsidR="002214F4" w:rsidRDefault="002214F4">
            <w:pPr>
              <w:spacing w:before="180"/>
              <w:rPr>
                <w:rFonts w:eastAsia="SimSun"/>
                <w:lang w:val="en-US" w:eastAsia="zh-CN"/>
              </w:rPr>
            </w:pPr>
          </w:p>
        </w:tc>
        <w:tc>
          <w:tcPr>
            <w:tcW w:w="6454" w:type="dxa"/>
          </w:tcPr>
          <w:p w14:paraId="334A4F75" w14:textId="77777777" w:rsidR="002214F4" w:rsidRDefault="002214F4">
            <w:pPr>
              <w:spacing w:before="180"/>
              <w:rPr>
                <w:rFonts w:eastAsia="SimSun"/>
                <w:lang w:val="en-US" w:eastAsia="zh-CN"/>
              </w:rPr>
            </w:pPr>
          </w:p>
        </w:tc>
        <w:tc>
          <w:tcPr>
            <w:tcW w:w="2214" w:type="dxa"/>
          </w:tcPr>
          <w:p w14:paraId="334A4F76" w14:textId="77777777" w:rsidR="002214F4" w:rsidRDefault="002214F4">
            <w:pPr>
              <w:spacing w:before="180"/>
              <w:rPr>
                <w:lang w:val="en-US"/>
              </w:rPr>
            </w:pPr>
          </w:p>
        </w:tc>
      </w:tr>
      <w:tr w:rsidR="002214F4" w14:paraId="334A4F7B" w14:textId="77777777" w:rsidTr="002214F4">
        <w:tc>
          <w:tcPr>
            <w:tcW w:w="1389" w:type="dxa"/>
          </w:tcPr>
          <w:p w14:paraId="334A4F78" w14:textId="77777777" w:rsidR="002214F4" w:rsidRDefault="002214F4">
            <w:pPr>
              <w:spacing w:before="180"/>
              <w:rPr>
                <w:rFonts w:eastAsia="SimSun"/>
                <w:lang w:val="en-US" w:eastAsia="zh-CN"/>
              </w:rPr>
            </w:pPr>
          </w:p>
        </w:tc>
        <w:tc>
          <w:tcPr>
            <w:tcW w:w="6454" w:type="dxa"/>
          </w:tcPr>
          <w:p w14:paraId="334A4F79" w14:textId="77777777" w:rsidR="002214F4" w:rsidRDefault="002214F4">
            <w:pPr>
              <w:spacing w:before="180"/>
              <w:rPr>
                <w:rFonts w:eastAsia="SimSun"/>
                <w:lang w:val="en-US" w:eastAsia="zh-CN"/>
              </w:rPr>
            </w:pPr>
          </w:p>
        </w:tc>
        <w:tc>
          <w:tcPr>
            <w:tcW w:w="2214" w:type="dxa"/>
          </w:tcPr>
          <w:p w14:paraId="334A4F7A" w14:textId="77777777" w:rsidR="002214F4" w:rsidRDefault="002214F4">
            <w:pPr>
              <w:spacing w:before="180"/>
              <w:rPr>
                <w:lang w:val="en-US"/>
              </w:rPr>
            </w:pPr>
          </w:p>
        </w:tc>
      </w:tr>
    </w:tbl>
    <w:p w14:paraId="334A4F7C" w14:textId="77777777" w:rsidR="002214F4" w:rsidRDefault="002214F4">
      <w:pPr>
        <w:snapToGrid/>
        <w:spacing w:before="180" w:after="0" w:afterAutospacing="0"/>
        <w:jc w:val="left"/>
      </w:pPr>
    </w:p>
    <w:p w14:paraId="5883ACDD" w14:textId="34ADB5DA" w:rsidR="00AE0EB3" w:rsidRDefault="00AE0EB3" w:rsidP="00AE0EB3">
      <w:pPr>
        <w:pStyle w:val="5"/>
        <w:rPr>
          <w:lang w:val="en-US"/>
        </w:rPr>
      </w:pPr>
      <w:r>
        <w:rPr>
          <w:rFonts w:hint="eastAsia"/>
          <w:lang w:val="en-US"/>
        </w:rPr>
        <w:t>[FL proposal 5-1-v</w:t>
      </w:r>
      <w:r>
        <w:rPr>
          <w:rFonts w:hint="eastAsia"/>
          <w:lang w:val="en-US"/>
        </w:rPr>
        <w:t>4</w:t>
      </w:r>
      <w:r>
        <w:rPr>
          <w:rFonts w:hint="eastAsia"/>
          <w:lang w:val="en-US"/>
        </w:rPr>
        <w:t>]</w:t>
      </w:r>
    </w:p>
    <w:p w14:paraId="6FE5A8A5" w14:textId="77777777" w:rsidR="00AE0EB3" w:rsidRDefault="00AE0EB3">
      <w:pPr>
        <w:snapToGrid/>
        <w:spacing w:before="180" w:after="0" w:afterAutospacing="0"/>
        <w:jc w:val="left"/>
        <w:rPr>
          <w:rFonts w:hint="eastAsia"/>
        </w:rPr>
      </w:pPr>
    </w:p>
    <w:p w14:paraId="3D0021F8" w14:textId="77777777" w:rsidR="00AE0EB3"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napToGrid/>
              <w:spacing w:before="180" w:after="0" w:afterAutospacing="0"/>
              <w:ind w:left="22" w:hanging="22"/>
              <w:jc w:val="left"/>
              <w:rPr>
                <w:sz w:val="21"/>
                <w:szCs w:val="16"/>
                <w:lang w:val="en-US"/>
              </w:rPr>
            </w:pPr>
          </w:p>
        </w:tc>
        <w:tc>
          <w:tcPr>
            <w:tcW w:w="3886" w:type="dxa"/>
            <w:shd w:val="clear" w:color="auto" w:fill="D9D9D9" w:themeFill="background1" w:themeFillShade="D9"/>
          </w:tcPr>
          <w:p w14:paraId="0330DA6D"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napToGrid/>
              <w:spacing w:before="180" w:after="0" w:afterAutospacing="0"/>
              <w:ind w:left="22" w:hanging="22"/>
              <w:jc w:val="left"/>
              <w:rPr>
                <w:rFonts w:hint="eastAsia"/>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lastRenderedPageBreak/>
              <w:t>Triggered by LTM event (autonomous)</w:t>
            </w:r>
          </w:p>
        </w:tc>
        <w:tc>
          <w:tcPr>
            <w:tcW w:w="3544" w:type="dxa"/>
          </w:tcPr>
          <w:p w14:paraId="5F60B1A4"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63396D62"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2E55EB">
              <w:rPr>
                <w:sz w:val="21"/>
                <w:szCs w:val="16"/>
                <w:lang w:val="en-US"/>
              </w:rPr>
              <w:br/>
            </w:r>
            <w:r w:rsidR="002E55EB">
              <w:rPr>
                <w:rFonts w:eastAsia="SimSun"/>
                <w:lang w:val="en-US" w:eastAsia="zh-CN"/>
              </w:rPr>
              <w:t>(complexity, performance)</w:t>
            </w:r>
          </w:p>
        </w:tc>
        <w:tc>
          <w:tcPr>
            <w:tcW w:w="3886" w:type="dxa"/>
          </w:tcPr>
          <w:p w14:paraId="59192112" w14:textId="30FD2DEE" w:rsidR="00AE0EB3" w:rsidRDefault="00AE0EB3" w:rsidP="00C86E13">
            <w:pPr>
              <w:snapToGrid/>
              <w:spacing w:before="180" w:after="0" w:afterAutospacing="0"/>
              <w:ind w:left="420" w:hanging="420"/>
              <w:jc w:val="left"/>
              <w:rPr>
                <w:rFonts w:hint="eastAsia"/>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p>
          <w:p w14:paraId="3416A27B" w14:textId="77777777" w:rsidR="00AE0EB3" w:rsidRDefault="00AE0EB3" w:rsidP="00C86E13">
            <w:pPr>
              <w:snapToGrid/>
              <w:spacing w:before="180" w:after="0" w:afterAutospacing="0"/>
              <w:ind w:left="420" w:hanging="4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napToGrid/>
              <w:spacing w:before="180" w:after="0" w:afterAutospacing="0"/>
              <w:ind w:left="22" w:hanging="22"/>
              <w:jc w:val="left"/>
              <w:rPr>
                <w:rFonts w:hint="eastAsia"/>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napToGrid/>
              <w:spacing w:before="180" w:after="0" w:afterAutospacing="0"/>
              <w:ind w:left="420" w:hanging="420"/>
              <w:jc w:val="left"/>
              <w:rPr>
                <w:rFonts w:hint="eastAsia"/>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periodic CSI-RS reource</w:t>
            </w:r>
          </w:p>
        </w:tc>
        <w:tc>
          <w:tcPr>
            <w:tcW w:w="3544" w:type="dxa"/>
          </w:tcPr>
          <w:p w14:paraId="4D31B676" w14:textId="77777777" w:rsidR="00AE0EB3" w:rsidRDefault="00AE0EB3" w:rsidP="00C86E13">
            <w:pPr>
              <w:snapToGrid/>
              <w:spacing w:before="180" w:after="0" w:afterAutospacing="0"/>
              <w:ind w:left="420" w:hanging="420"/>
              <w:jc w:val="left"/>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napToGrid/>
              <w:spacing w:before="180" w:after="0" w:afterAutospacing="0"/>
              <w:ind w:left="22" w:hanging="22"/>
              <w:jc w:val="left"/>
              <w:rPr>
                <w:rFonts w:hint="eastAsia"/>
                <w:sz w:val="21"/>
                <w:szCs w:val="16"/>
                <w:lang w:val="en-US"/>
              </w:rPr>
            </w:pPr>
            <w:r>
              <w:rPr>
                <w:rFonts w:hint="eastAsia"/>
                <w:sz w:val="21"/>
                <w:szCs w:val="16"/>
                <w:lang w:val="en-US"/>
              </w:rPr>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napToGrid/>
              <w:spacing w:before="180" w:after="0" w:afterAutospacing="0"/>
              <w:ind w:left="420" w:hanging="420"/>
              <w:jc w:val="left"/>
              <w:rPr>
                <w:rFonts w:hint="eastAsia"/>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napToGrid/>
              <w:spacing w:before="180" w:after="0" w:afterAutospacing="0"/>
              <w:ind w:left="420" w:hanging="420"/>
              <w:jc w:val="left"/>
              <w:rPr>
                <w:rFonts w:hint="eastAsia"/>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napToGrid/>
              <w:spacing w:before="180" w:after="0" w:afterAutospacing="0"/>
              <w:ind w:left="420" w:hanging="420"/>
              <w:jc w:val="left"/>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napToGrid/>
              <w:spacing w:before="180" w:after="0" w:afterAutospacing="0"/>
              <w:ind w:left="420" w:hanging="420"/>
              <w:jc w:val="left"/>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LTM-config or CellGroupConfig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napToGrid/>
              <w:spacing w:before="180" w:after="0" w:afterAutospacing="0"/>
              <w:ind w:left="22" w:hanging="22"/>
              <w:jc w:val="left"/>
              <w:rPr>
                <w:rFonts w:hint="eastAsia"/>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No</w:t>
            </w:r>
          </w:p>
        </w:tc>
      </w:tr>
    </w:tbl>
    <w:p w14:paraId="49190B7E" w14:textId="77777777" w:rsidR="00B40399" w:rsidRDefault="00B40399" w:rsidP="00B40399">
      <w:pPr>
        <w:rPr>
          <w:b/>
          <w:bCs/>
          <w:lang w:val="en-US"/>
        </w:rPr>
      </w:pPr>
    </w:p>
    <w:p w14:paraId="38212FAC" w14:textId="09B6E919" w:rsidR="00B40399" w:rsidRDefault="00B40399" w:rsidP="00B40399">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6C2E9F64" w14:textId="5D881F43" w:rsidR="00B40399" w:rsidRDefault="00B40399" w:rsidP="00B40399">
      <w:pPr>
        <w:pStyle w:val="a0"/>
        <w:numPr>
          <w:ilvl w:val="0"/>
          <w:numId w:val="26"/>
        </w:numPr>
        <w:ind w:left="480" w:hanging="480"/>
      </w:pPr>
      <w:r>
        <w:rPr>
          <w:rFonts w:hint="eastAsia"/>
        </w:rPr>
        <w:t>Alt 1 or 2 (measurement before CSC)</w:t>
      </w:r>
      <w:r w:rsidR="007C196F">
        <w:rPr>
          <w:rFonts w:hint="eastAsia"/>
        </w:rPr>
        <w:t xml:space="preserve"> </w:t>
      </w:r>
      <w:r w:rsidR="007C196F">
        <w:t>–</w:t>
      </w:r>
      <w:r w:rsidR="007C196F">
        <w:rPr>
          <w:rFonts w:hint="eastAsia"/>
        </w:rPr>
        <w:t xml:space="preserve"> </w:t>
      </w:r>
      <w:r w:rsidR="007C196F" w:rsidRPr="007C196F">
        <w:rPr>
          <w:rFonts w:hint="eastAsia"/>
          <w:highlight w:val="yellow"/>
        </w:rPr>
        <w:t>supported by xxx</w:t>
      </w:r>
    </w:p>
    <w:p w14:paraId="2A0D2460" w14:textId="13F29E33" w:rsidR="006C2BA2" w:rsidRDefault="006C2BA2" w:rsidP="006C2BA2">
      <w:pPr>
        <w:pStyle w:val="a0"/>
        <w:numPr>
          <w:ilvl w:val="1"/>
          <w:numId w:val="26"/>
        </w:numPr>
      </w:pPr>
      <w:r>
        <w:t>M</w:t>
      </w:r>
      <w:r>
        <w:rPr>
          <w:rFonts w:hint="eastAsia"/>
        </w:rPr>
        <w:t xml:space="preserve">ajor drawbacks are UE complexity to handle </w:t>
      </w:r>
      <w:r>
        <w:rPr>
          <w:rFonts w:hint="eastAsia"/>
        </w:rPr>
        <w:t>number of candidate cells to be measured</w:t>
      </w:r>
      <w:r>
        <w:rPr>
          <w:rFonts w:hint="eastAsia"/>
        </w:rPr>
        <w:t xml:space="preserve"> and </w:t>
      </w:r>
      <w:r w:rsidR="0097043B">
        <w:rPr>
          <w:rFonts w:hint="eastAsia"/>
        </w:rPr>
        <w:t>potential outdated CSI</w:t>
      </w:r>
    </w:p>
    <w:p w14:paraId="22822892" w14:textId="3AD7B168" w:rsidR="0097043B" w:rsidRDefault="0097043B" w:rsidP="0097043B">
      <w:pPr>
        <w:pStyle w:val="a0"/>
        <w:numPr>
          <w:ilvl w:val="2"/>
          <w:numId w:val="26"/>
        </w:numPr>
      </w:pPr>
      <w:r>
        <w:t>I</w:t>
      </w:r>
      <w:r>
        <w:rPr>
          <w:rFonts w:hint="eastAsia"/>
        </w:rPr>
        <w:t xml:space="preserve">t is noted that proponent companies have already provided </w:t>
      </w:r>
      <w:r w:rsidR="00FA5C1B">
        <w:rPr>
          <w:rFonts w:hint="eastAsia"/>
        </w:rPr>
        <w:t>potential solutions</w:t>
      </w:r>
    </w:p>
    <w:p w14:paraId="53A5AB39" w14:textId="11D94522" w:rsidR="00B40399" w:rsidRDefault="00B40399" w:rsidP="00B40399">
      <w:pPr>
        <w:pStyle w:val="a0"/>
        <w:numPr>
          <w:ilvl w:val="0"/>
          <w:numId w:val="26"/>
        </w:numPr>
        <w:ind w:left="480" w:hanging="480"/>
      </w:pPr>
      <w:r>
        <w:rPr>
          <w:rFonts w:hint="eastAsia"/>
        </w:rPr>
        <w:t>Alt 3 (measurement after CSC)</w:t>
      </w:r>
      <w:r w:rsidR="007C196F">
        <w:rPr>
          <w:rFonts w:hint="eastAsia"/>
        </w:rPr>
        <w:t xml:space="preserve"> </w:t>
      </w:r>
      <w:r w:rsidR="007C196F">
        <w:t>–</w:t>
      </w:r>
      <w:r w:rsidR="007C196F">
        <w:rPr>
          <w:rFonts w:hint="eastAsia"/>
        </w:rPr>
        <w:t xml:space="preserve"> </w:t>
      </w:r>
      <w:r w:rsidR="007C196F" w:rsidRPr="007C196F">
        <w:rPr>
          <w:rFonts w:hint="eastAsia"/>
          <w:highlight w:val="yellow"/>
        </w:rPr>
        <w:t>supported by xxx</w:t>
      </w:r>
    </w:p>
    <w:p w14:paraId="2C253B01" w14:textId="0986E324" w:rsidR="00FA5C1B" w:rsidRDefault="00FA5C1B" w:rsidP="00FA5C1B">
      <w:pPr>
        <w:pStyle w:val="a0"/>
        <w:numPr>
          <w:ilvl w:val="1"/>
          <w:numId w:val="26"/>
        </w:numPr>
      </w:pPr>
      <w:r>
        <w:rPr>
          <w:rFonts w:hint="eastAsia"/>
        </w:rPr>
        <w:t xml:space="preserve">Major drawback is the </w:t>
      </w:r>
      <w:r w:rsidR="00AC3E9C">
        <w:rPr>
          <w:rFonts w:hint="eastAsia"/>
        </w:rPr>
        <w:t xml:space="preserve">additional cell switch delay caused by </w:t>
      </w:r>
      <w:r w:rsidR="00D707B2">
        <w:rPr>
          <w:rFonts w:hint="eastAsia"/>
        </w:rPr>
        <w:t>CSI measurement for a target cell</w:t>
      </w:r>
    </w:p>
    <w:p w14:paraId="455506C1" w14:textId="26EF8A2A" w:rsidR="00B40399" w:rsidRDefault="00B40399" w:rsidP="00B40399">
      <w:pPr>
        <w:pStyle w:val="a0"/>
        <w:numPr>
          <w:ilvl w:val="0"/>
          <w:numId w:val="26"/>
        </w:numPr>
        <w:ind w:left="480" w:hanging="480"/>
      </w:pPr>
      <w:r>
        <w:rPr>
          <w:rFonts w:hint="eastAsia"/>
        </w:rPr>
        <w:t xml:space="preserve">Offline consensus is that </w:t>
      </w:r>
      <w:r w:rsidR="00752313">
        <w:rPr>
          <w:rFonts w:hint="eastAsia"/>
        </w:rPr>
        <w:t>both approaches work even though theirs pros/cons are different</w:t>
      </w:r>
    </w:p>
    <w:p w14:paraId="2AA5FDA3" w14:textId="77777777" w:rsidR="00AE0EB3" w:rsidRPr="00752313" w:rsidRDefault="00AE0EB3">
      <w:pPr>
        <w:snapToGrid/>
        <w:spacing w:before="180" w:after="0" w:afterAutospacing="0"/>
        <w:jc w:val="left"/>
        <w:rPr>
          <w:rFonts w:hint="eastAsia"/>
          <w:lang w:val="en-US"/>
        </w:rPr>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For Alt-1, periodic, semi-persistent and aperiodic CSI report should be supported</w:t>
      </w:r>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Timeline between signaling triggering AP CSI reporting and AP CSI transmission</w:t>
      </w:r>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asqusition for candidate cells only based on periodic and semi-persistent CSI-RS. </w:t>
      </w:r>
    </w:p>
    <w:p w14:paraId="334A4FA9" w14:textId="77777777" w:rsidR="002214F4" w:rsidRDefault="00400394">
      <w:pPr>
        <w:pStyle w:val="a0"/>
        <w:numPr>
          <w:ilvl w:val="1"/>
          <w:numId w:val="15"/>
        </w:numPr>
      </w:pPr>
      <w:r>
        <w:t xml:space="preserve">Support of CSI acqusition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r>
        <w:rPr>
          <w:rFonts w:hint="eastAsia"/>
        </w:rPr>
        <w:t>Spreadtrum</w:t>
      </w:r>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not exceeds 32, </w:t>
      </w:r>
    </w:p>
    <w:p w14:paraId="334A4FCD" w14:textId="77777777" w:rsidR="002214F4" w:rsidRDefault="00400394">
      <w:pPr>
        <w:pStyle w:val="a0"/>
        <w:numPr>
          <w:ilvl w:val="2"/>
          <w:numId w:val="19"/>
        </w:numPr>
      </w:pPr>
      <w:r>
        <w:t>the number of candidate cells for CSI measurement not exceeds N (e.g. 1 or 2).</w:t>
      </w:r>
    </w:p>
    <w:p w14:paraId="334A4FCE" w14:textId="77777777" w:rsidR="002214F4" w:rsidRDefault="00400394">
      <w:pPr>
        <w:pStyle w:val="a0"/>
        <w:numPr>
          <w:ilvl w:val="2"/>
          <w:numId w:val="19"/>
        </w:numPr>
      </w:pPr>
      <w:r>
        <w:t>RRC parameter reportQuantity in LTM-CSI-ReportConfig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lastRenderedPageBreak/>
        <w:t>Apple</w:t>
      </w:r>
    </w:p>
    <w:p w14:paraId="334A4FD4" w14:textId="77777777" w:rsidR="002214F4" w:rsidRDefault="00400394">
      <w:pPr>
        <w:pStyle w:val="a0"/>
        <w:numPr>
          <w:ilvl w:val="1"/>
          <w:numId w:val="19"/>
        </w:numPr>
      </w:pPr>
      <w:r>
        <w:t>Support the report quantity configuration of ‘CRI-RI-PMI-CQI’ for Type-1 codebook for CSI report of candidate cell</w:t>
      </w:r>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LTM-CSI-ReportConfig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Support Type I codebook with up to 128 ports for CSI acquisition on candidate cells</w:t>
      </w:r>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Support wideband PMI, CQI and RI reporting</w:t>
      </w:r>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On CSI acquisition for LTM cell switch, do not support Type II codebook and subband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r>
        <w:rPr>
          <w:rFonts w:hint="eastAsia"/>
        </w:rPr>
        <w:t>Spreadtrum</w:t>
      </w:r>
    </w:p>
    <w:p w14:paraId="334A4FED" w14:textId="77777777" w:rsidR="002214F4" w:rsidRDefault="00400394">
      <w:pPr>
        <w:pStyle w:val="a0"/>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CSI-RS resource(s) for candidate cell(s) for L1 measurement can be 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r>
        <w:t>Spreadtrum</w:t>
      </w:r>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5029" w14:textId="77777777" w:rsidR="00400394" w:rsidRDefault="00400394">
      <w:pPr>
        <w:spacing w:after="0"/>
      </w:pPr>
      <w:r>
        <w:separator/>
      </w:r>
    </w:p>
  </w:endnote>
  <w:endnote w:type="continuationSeparator" w:id="0">
    <w:p w14:paraId="334A502B" w14:textId="77777777" w:rsidR="00400394" w:rsidRDefault="00400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5023" w14:textId="77777777" w:rsidR="002214F4" w:rsidRDefault="00400394">
      <w:pPr>
        <w:spacing w:after="0"/>
      </w:pPr>
      <w:r>
        <w:separator/>
      </w:r>
    </w:p>
  </w:footnote>
  <w:footnote w:type="continuationSeparator" w:id="0">
    <w:p w14:paraId="334A5024" w14:textId="77777777" w:rsidR="002214F4" w:rsidRDefault="00400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25"/>
  </w:num>
  <w:num w:numId="2" w16cid:durableId="1655183660">
    <w:abstractNumId w:val="1"/>
  </w:num>
  <w:num w:numId="3" w16cid:durableId="898440991">
    <w:abstractNumId w:val="26"/>
  </w:num>
  <w:num w:numId="4" w16cid:durableId="2111119064">
    <w:abstractNumId w:val="4"/>
  </w:num>
  <w:num w:numId="5" w16cid:durableId="411901072">
    <w:abstractNumId w:val="3"/>
  </w:num>
  <w:num w:numId="6" w16cid:durableId="2139831314">
    <w:abstractNumId w:val="15"/>
  </w:num>
  <w:num w:numId="7" w16cid:durableId="298073394">
    <w:abstractNumId w:val="0"/>
  </w:num>
  <w:num w:numId="8" w16cid:durableId="303899338">
    <w:abstractNumId w:val="10"/>
  </w:num>
  <w:num w:numId="9" w16cid:durableId="1984963757">
    <w:abstractNumId w:val="23"/>
  </w:num>
  <w:num w:numId="10" w16cid:durableId="1960334886">
    <w:abstractNumId w:val="20"/>
  </w:num>
  <w:num w:numId="11" w16cid:durableId="330790668">
    <w:abstractNumId w:val="19"/>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4"/>
  </w:num>
  <w:num w:numId="15" w16cid:durableId="398401695">
    <w:abstractNumId w:val="18"/>
  </w:num>
  <w:num w:numId="16" w16cid:durableId="780955737">
    <w:abstractNumId w:val="22"/>
  </w:num>
  <w:num w:numId="17" w16cid:durableId="949048053">
    <w:abstractNumId w:val="7"/>
  </w:num>
  <w:num w:numId="18" w16cid:durableId="534661823">
    <w:abstractNumId w:val="24"/>
  </w:num>
  <w:num w:numId="19" w16cid:durableId="1354767863">
    <w:abstractNumId w:val="12"/>
  </w:num>
  <w:num w:numId="20" w16cid:durableId="478500863">
    <w:abstractNumId w:val="8"/>
  </w:num>
  <w:num w:numId="21" w16cid:durableId="1686401438">
    <w:abstractNumId w:val="5"/>
  </w:num>
  <w:num w:numId="22" w16cid:durableId="483665090">
    <w:abstractNumId w:val="17"/>
  </w:num>
  <w:num w:numId="23" w16cid:durableId="1715080029">
    <w:abstractNumId w:val="13"/>
  </w:num>
  <w:num w:numId="24" w16cid:durableId="232545169">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6"/>
  </w:num>
  <w:num w:numId="26" w16cid:durableId="519977487">
    <w:abstractNumId w:val="21"/>
  </w:num>
  <w:num w:numId="27" w16cid:durableId="1609459268">
    <w:abstractNumId w:val="6"/>
  </w:num>
  <w:num w:numId="28" w16cid:durableId="872957706">
    <w:abstractNumId w:val="11"/>
  </w:num>
  <w:num w:numId="29" w16cid:durableId="23011684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665"/>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40399"/>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1">
    <w:name w:val="List Bullet"/>
    <w:basedOn w:val="a2"/>
    <w:semiHidden/>
    <w:unhideWhenUsed/>
    <w:qFormat/>
    <w:pPr>
      <w:widowControl w:val="0"/>
      <w:numPr>
        <w:numId w:val="3"/>
      </w:numPr>
      <w:snapToGrid/>
      <w:spacing w:after="0" w:afterAutospacing="0"/>
      <w:ind w:hangingChars="200" w:hanging="200"/>
    </w:pPr>
    <w:rPr>
      <w:kern w:val="2"/>
      <w:sz w:val="20"/>
      <w:lang w:val="en-US"/>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2"/>
    <w:link w:val="23"/>
    <w:uiPriority w:val="34"/>
    <w:qFormat/>
    <w:pPr>
      <w:numPr>
        <w:numId w:val="6"/>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7"/>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eastAsia="ja-JP"/>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eastAsia="ja-JP"/>
    </w:rPr>
  </w:style>
  <w:style w:type="paragraph" w:customStyle="1" w:styleId="TAL">
    <w:name w:val="TAL"/>
    <w:basedOn w:val="a2"/>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datastoreItem>
</file>

<file path=customXml/itemProps2.xml><?xml version="1.0" encoding="utf-8"?>
<ds:datastoreItem xmlns:ds="http://schemas.openxmlformats.org/officeDocument/2006/customXml" ds:itemID="{F034CE4D-2B95-4810-9377-55DC89F527C1}">
  <ds:schemaRefs/>
</ds:datastoreItem>
</file>

<file path=customXml/itemProps3.xml><?xml version="1.0" encoding="utf-8"?>
<ds:datastoreItem xmlns:ds="http://schemas.openxmlformats.org/officeDocument/2006/customXml" ds:itemID="{D424B4F1-9B05-4B44-BA59-5467FC77BDD5}">
  <ds:schemaRefs/>
</ds:datastoreItem>
</file>

<file path=customXml/itemProps4.xml><?xml version="1.0" encoding="utf-8"?>
<ds:datastoreItem xmlns:ds="http://schemas.openxmlformats.org/officeDocument/2006/customXml" ds:itemID="{36BE99F0-EC14-4F3D-8339-989335F83AE9}">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74</Pages>
  <Words>18156</Words>
  <Characters>103491</Characters>
  <Application>Microsoft Office Word</Application>
  <DocSecurity>0</DocSecurity>
  <Lines>862</Lines>
  <Paragraphs>242</Paragraphs>
  <ScaleCrop>false</ScaleCrop>
  <Company>Huawei Technologies Co., Ltd.</Company>
  <LinksUpToDate>false</LinksUpToDate>
  <CharactersWithSpaces>121405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136</cp:revision>
  <dcterms:created xsi:type="dcterms:W3CDTF">2024-11-18T16:44:00Z</dcterms:created>
  <dcterms:modified xsi:type="dcterms:W3CDTF">2024-11-19T21:44:00Z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