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4082" w14:textId="4CFF306F" w:rsidR="009577FF" w:rsidRDefault="00863C37">
      <w:pPr>
        <w:pStyle w:val="3GPPHeader"/>
        <w:spacing w:after="60"/>
        <w:rPr>
          <w:sz w:val="32"/>
          <w:szCs w:val="32"/>
          <w:lang w:val="en-US"/>
        </w:rPr>
      </w:pPr>
      <w:r>
        <w:rPr>
          <w:lang w:val="en-US"/>
        </w:rPr>
        <w:t>3GPP TSG-RAN WG1#118</w:t>
      </w:r>
      <w:r w:rsidR="00025397">
        <w:rPr>
          <w:lang w:val="en-US"/>
        </w:rPr>
        <w:t>bis</w:t>
      </w:r>
      <w:r>
        <w:rPr>
          <w:lang w:val="en-US"/>
        </w:rPr>
        <w:tab/>
      </w:r>
      <w:r>
        <w:rPr>
          <w:sz w:val="32"/>
          <w:szCs w:val="32"/>
          <w:lang w:val="en-US"/>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1"/>
      </w:pPr>
      <w:r>
        <w:t>Introduction</w:t>
      </w:r>
    </w:p>
    <w:p w14:paraId="69C5408A" w14:textId="77777777" w:rsidR="009577FF" w:rsidRDefault="00863C37">
      <w:pPr>
        <w:pStyle w:val="a5"/>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1"/>
      </w:pPr>
      <w:r>
        <w:t>Adaptation of SSB in time domain</w:t>
      </w:r>
    </w:p>
    <w:p w14:paraId="69C5408C" w14:textId="77777777" w:rsidR="009577FF" w:rsidRDefault="00863C37">
      <w:pPr>
        <w:pStyle w:val="a5"/>
      </w:pPr>
      <w:r>
        <w:t>Topic 2.1.1</w:t>
      </w:r>
    </w:p>
    <w:p w14:paraId="69C5408D" w14:textId="77777777" w:rsidR="009577FF" w:rsidRDefault="00863C37">
      <w:pPr>
        <w:pStyle w:val="a5"/>
      </w:pPr>
      <w:r>
        <w:t xml:space="preserve">For the adaptation mechanisms of SSB in time-domain, several companies discussed which of the scenarios to support: </w:t>
      </w:r>
    </w:p>
    <w:tbl>
      <w:tblPr>
        <w:tblStyle w:val="af3"/>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a5"/>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a5"/>
              <w:rPr>
                <w:rFonts w:ascii="Times New Roman" w:eastAsia="Batang" w:hAnsi="Times New Roman"/>
                <w:sz w:val="18"/>
                <w:szCs w:val="22"/>
              </w:rPr>
            </w:pPr>
          </w:p>
        </w:tc>
        <w:tc>
          <w:tcPr>
            <w:tcW w:w="3219" w:type="dxa"/>
          </w:tcPr>
          <w:p w14:paraId="69C54090"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a5"/>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9A" w14:textId="77777777" w:rsidR="0018204D" w:rsidRDefault="0018204D" w:rsidP="0018204D">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Default="0018204D" w:rsidP="0018204D">
            <w:pPr>
              <w:pStyle w:val="a5"/>
              <w:tabs>
                <w:tab w:val="left" w:pos="2211"/>
              </w:tabs>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058B221D" w14:textId="04D828FF"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a5"/>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A0"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a5"/>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1909" w:type="dxa"/>
          </w:tcPr>
          <w:p w14:paraId="69C540A6"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w:t>
            </w:r>
            <w:r w:rsidR="009A292D">
              <w:rPr>
                <w:rFonts w:ascii="Times New Roman" w:eastAsia="Batang" w:hAnsi="Times New Roman"/>
                <w:sz w:val="18"/>
                <w:szCs w:val="22"/>
              </w:rPr>
              <w:t xml:space="preserve">vivo, </w:t>
            </w:r>
            <w:proofErr w:type="spellStart"/>
            <w:r w:rsidR="009A292D">
              <w:rPr>
                <w:rFonts w:ascii="Times New Roman" w:eastAsia="Batang" w:hAnsi="Times New Roman"/>
                <w:sz w:val="18"/>
                <w:szCs w:val="22"/>
              </w:rPr>
              <w:t>Mediatek</w:t>
            </w:r>
            <w:proofErr w:type="spellEnd"/>
          </w:p>
          <w:p w14:paraId="69C540A9" w14:textId="7BE34E1E" w:rsidR="0018204D" w:rsidRDefault="0018204D" w:rsidP="0018204D">
            <w:pPr>
              <w:pStyle w:val="a5"/>
              <w:rPr>
                <w:rFonts w:ascii="Times New Roman" w:eastAsia="Batang" w:hAnsi="Times New Roman"/>
                <w:sz w:val="18"/>
                <w:szCs w:val="22"/>
              </w:rPr>
            </w:pPr>
            <w:r>
              <w:rPr>
                <w:rFonts w:ascii="Times New Roman" w:eastAsia="Batang" w:hAnsi="Times New Roman"/>
                <w:sz w:val="18"/>
                <w:szCs w:val="22"/>
              </w:rPr>
              <w:t xml:space="preserve">Apple/Interdigital(for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a5"/>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 in idle/inactive mode</w:t>
            </w:r>
          </w:p>
        </w:tc>
        <w:tc>
          <w:tcPr>
            <w:tcW w:w="1909" w:type="dxa"/>
          </w:tcPr>
          <w:p w14:paraId="69C540B8" w14:textId="77777777" w:rsidR="0018204D" w:rsidRPr="005077F2" w:rsidRDefault="0018204D" w:rsidP="0018204D">
            <w:pPr>
              <w:pStyle w:val="a5"/>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a5"/>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a5"/>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a5"/>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a5"/>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w:t>
      </w:r>
      <w:proofErr w:type="spellStart"/>
      <w:r w:rsidR="00C106A8">
        <w:rPr>
          <w:rFonts w:ascii="Times New Roman" w:eastAsia="Batang" w:hAnsi="Times New Roman"/>
          <w:szCs w:val="24"/>
        </w:rPr>
        <w:t>SCell</w:t>
      </w:r>
      <w:proofErr w:type="spellEnd"/>
    </w:p>
    <w:p w14:paraId="69C540BE" w14:textId="3B944813" w:rsidR="009577FF" w:rsidRDefault="00863C37">
      <w:pPr>
        <w:pStyle w:val="a5"/>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a5"/>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a5"/>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a5"/>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a5"/>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a5"/>
        <w:numPr>
          <w:ilvl w:val="0"/>
          <w:numId w:val="3"/>
        </w:numPr>
        <w:rPr>
          <w:rFonts w:ascii="Times New Roman" w:eastAsia="Batang" w:hAnsi="Times New Roman"/>
          <w:szCs w:val="24"/>
        </w:rPr>
      </w:pPr>
      <w:r>
        <w:rPr>
          <w:rFonts w:ascii="Times New Roman" w:eastAsia="Batang" w:hAnsi="Times New Roman"/>
          <w:szCs w:val="24"/>
        </w:rPr>
        <w:t xml:space="preserve">[Nokia] </w:t>
      </w:r>
      <w:r w:rsidR="00BE30FA" w:rsidRPr="00BE30FA">
        <w:rPr>
          <w:rFonts w:ascii="Times New Roman" w:eastAsia="Batang" w:hAnsi="Times New Roman"/>
          <w:szCs w:val="24"/>
        </w:rPr>
        <w:t xml:space="preserve">From a connected UE perspective, it does not matter if the adapted SSB is CD-SSB or NCD-SSB because the UE does not need to decode the SIB1 in </w:t>
      </w:r>
      <w:proofErr w:type="spellStart"/>
      <w:r w:rsidR="00BE30FA" w:rsidRPr="00BE30FA">
        <w:rPr>
          <w:rFonts w:ascii="Times New Roman" w:eastAsia="Batang" w:hAnsi="Times New Roman"/>
          <w:szCs w:val="24"/>
        </w:rPr>
        <w:t>SCell</w:t>
      </w:r>
      <w:proofErr w:type="spellEnd"/>
      <w:r w:rsidR="00BE30FA" w:rsidRPr="00BE30FA">
        <w:rPr>
          <w:rFonts w:ascii="Times New Roman" w:eastAsia="Batang" w:hAnsi="Times New Roman"/>
          <w:szCs w:val="24"/>
        </w:rPr>
        <w:t>.</w:t>
      </w:r>
    </w:p>
    <w:p w14:paraId="34ABF0DC" w14:textId="54FB0949" w:rsidR="00380E75" w:rsidRPr="00E16208" w:rsidRDefault="008F4B1D" w:rsidP="00CF0A77">
      <w:pPr>
        <w:pStyle w:val="2"/>
        <w:numPr>
          <w:ilvl w:val="0"/>
          <w:numId w:val="0"/>
        </w:numPr>
        <w:rPr>
          <w:sz w:val="20"/>
          <w:szCs w:val="20"/>
        </w:rPr>
      </w:pPr>
      <w:r w:rsidRPr="00E16208">
        <w:rPr>
          <w:sz w:val="20"/>
          <w:szCs w:val="20"/>
        </w:rPr>
        <w:t>Discussion point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af5"/>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af5"/>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af5"/>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af5"/>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af5"/>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3"/>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a5"/>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a5"/>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a5"/>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a5"/>
              <w:spacing w:after="0"/>
              <w:rPr>
                <w:rFonts w:ascii="Times New Roman" w:eastAsiaTheme="minorEastAsia" w:hAnsi="Times New Roman" w:hint="eastAsia"/>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w:t>
            </w:r>
            <w:proofErr w:type="spellStart"/>
            <w:r w:rsidR="001D411D" w:rsidRPr="00B3360C">
              <w:rPr>
                <w:rFonts w:ascii="Times New Roman" w:eastAsiaTheme="minorEastAsia" w:hAnsi="Times New Roman"/>
              </w:rPr>
              <w:t>PCell</w:t>
            </w:r>
            <w:proofErr w:type="spellEnd"/>
            <w:r w:rsidR="001D411D" w:rsidRPr="00B3360C">
              <w:rPr>
                <w:rFonts w:ascii="Times New Roman" w:eastAsiaTheme="minorEastAsia" w:hAnsi="Times New Roman"/>
              </w:rPr>
              <w:t xml:space="preserve">, </w:t>
            </w:r>
            <w:proofErr w:type="spellStart"/>
            <w:r w:rsidR="001D411D" w:rsidRPr="00B3360C">
              <w:rPr>
                <w:rFonts w:ascii="Times New Roman" w:eastAsiaTheme="minorEastAsia" w:hAnsi="Times New Roman"/>
              </w:rPr>
              <w:t>SCell</w:t>
            </w:r>
            <w:proofErr w:type="spellEnd"/>
            <w:r w:rsidR="001D411D" w:rsidRPr="00B3360C">
              <w:rPr>
                <w:rFonts w:ascii="Times New Roman" w:eastAsiaTheme="minorEastAsia" w:hAnsi="Times New Roman"/>
              </w:rPr>
              <w:t xml:space="preserve">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w:t>
            </w:r>
            <w:proofErr w:type="spellStart"/>
            <w:r w:rsidR="001D411D">
              <w:rPr>
                <w:rFonts w:ascii="Times New Roman" w:eastAsiaTheme="minorEastAsia" w:hAnsi="Times New Roman"/>
              </w:rPr>
              <w:t>PCell</w:t>
            </w:r>
            <w:proofErr w:type="spellEnd"/>
            <w:r w:rsidR="001D411D">
              <w:rPr>
                <w:rFonts w:ascii="Times New Roman" w:eastAsiaTheme="minorEastAsia" w:hAnsi="Times New Roman"/>
              </w:rPr>
              <w:t xml:space="preserve"> is not supported, CD-SSB </w:t>
            </w:r>
            <w:r w:rsidR="00E97853">
              <w:rPr>
                <w:rFonts w:ascii="Times New Roman" w:eastAsiaTheme="minorEastAsia" w:hAnsi="Times New Roman"/>
              </w:rPr>
              <w:t xml:space="preserve">sparsely transmitted </w:t>
            </w:r>
            <w:bookmarkStart w:id="0" w:name="_GoBack"/>
            <w:bookmarkEnd w:id="0"/>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2"/>
        <w:numPr>
          <w:ilvl w:val="0"/>
          <w:numId w:val="0"/>
        </w:numPr>
        <w:ind w:left="576" w:hanging="576"/>
        <w:rPr>
          <w:sz w:val="20"/>
          <w:szCs w:val="20"/>
        </w:rPr>
      </w:pPr>
      <w:r w:rsidRPr="00E16208">
        <w:rPr>
          <w:sz w:val="20"/>
          <w:szCs w:val="20"/>
        </w:rPr>
        <w:t>Discussion point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proofErr w:type="spellStart"/>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w:t>
      </w:r>
      <w:proofErr w:type="spellEnd"/>
      <w:r w:rsidR="008F4B1D" w:rsidRPr="008F4B1D">
        <w:rPr>
          <w:rFonts w:ascii="Times New Roman" w:eastAsia="Batang" w:hAnsi="Times New Roman"/>
          <w:szCs w:val="24"/>
          <w:lang w:eastAsia="en-US"/>
        </w:rPr>
        <w:t xml:space="preserve">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3"/>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a5"/>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a5"/>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a5"/>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a5"/>
              <w:numPr>
                <w:ilvl w:val="0"/>
                <w:numId w:val="3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2FDE0530" w14:textId="41426046" w:rsidR="00802699" w:rsidRDefault="00802699" w:rsidP="00802699">
            <w:pPr>
              <w:pStyle w:val="a5"/>
              <w:numPr>
                <w:ilvl w:val="0"/>
                <w:numId w:val="36"/>
              </w:numPr>
              <w:spacing w:after="0"/>
              <w:rPr>
                <w:rFonts w:ascii="Times New Roman" w:eastAsiaTheme="minorEastAsia" w:hAnsi="Times New Roman" w:hint="eastAsia"/>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33E4BDC0" w14:textId="1860E809" w:rsidR="00802699" w:rsidRDefault="00802699" w:rsidP="00802699">
            <w:pPr>
              <w:pStyle w:val="a5"/>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a5"/>
              <w:spacing w:after="0"/>
              <w:rPr>
                <w:rFonts w:ascii="Times New Roman" w:eastAsiaTheme="minorEastAsia" w:hAnsi="Times New Roman" w:hint="eastAsia"/>
              </w:rPr>
            </w:pPr>
            <w:r>
              <w:rPr>
                <w:rFonts w:ascii="Times New Roman" w:eastAsiaTheme="minorEastAsia" w:hAnsi="Times New Roman"/>
              </w:rPr>
              <w:t>Thus, the motivation to support</w:t>
            </w:r>
            <w:r w:rsidR="00735A25">
              <w:rPr>
                <w:rFonts w:ascii="Times New Roman" w:eastAsiaTheme="minorEastAsia" w:hAnsi="Times New Roman"/>
              </w:rPr>
              <w:t xml:space="preserve"> </w:t>
            </w:r>
            <w:r w:rsidR="00735A25">
              <w:rPr>
                <w:rFonts w:ascii="Times New Roman" w:eastAsiaTheme="minorEastAsia" w:hAnsi="Times New Roman"/>
              </w:rPr>
              <w:t>SSB not on sync raster/not CD-SSB adaptation</w:t>
            </w:r>
            <w:r w:rsidR="00735A25">
              <w:rPr>
                <w:rFonts w:ascii="Times New Roman" w:eastAsiaTheme="minorEastAsia" w:hAnsi="Times New Roman"/>
              </w:rPr>
              <w:t xml:space="preserve"> on </w:t>
            </w:r>
            <w:proofErr w:type="spellStart"/>
            <w:r w:rsidR="00735A25">
              <w:rPr>
                <w:rFonts w:ascii="Times New Roman" w:eastAsiaTheme="minorEastAsia" w:hAnsi="Times New Roman"/>
              </w:rPr>
              <w:t>PCell</w:t>
            </w:r>
            <w:proofErr w:type="spellEnd"/>
            <w:r w:rsidR="00735A25">
              <w:rPr>
                <w:rFonts w:ascii="Times New Roman" w:eastAsiaTheme="minorEastAsia" w:hAnsi="Times New Roman"/>
              </w:rPr>
              <w:t xml:space="preserve"> is unclear</w:t>
            </w:r>
            <w:r w:rsidR="00A46CAA">
              <w:rPr>
                <w:rFonts w:ascii="Times New Roman" w:eastAsiaTheme="minorEastAsia" w:hAnsi="Times New Roman"/>
              </w:rPr>
              <w:t>.</w:t>
            </w:r>
          </w:p>
        </w:tc>
      </w:tr>
    </w:tbl>
    <w:p w14:paraId="2655A1A4" w14:textId="77777777" w:rsidR="008F4B1D" w:rsidRPr="00A46CAA"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2"/>
        <w:numPr>
          <w:ilvl w:val="0"/>
          <w:numId w:val="0"/>
        </w:numPr>
        <w:ind w:left="576" w:hanging="576"/>
        <w:rPr>
          <w:sz w:val="20"/>
          <w:szCs w:val="20"/>
        </w:rPr>
      </w:pPr>
      <w:r w:rsidRPr="00E16208">
        <w:rPr>
          <w:sz w:val="20"/>
          <w:szCs w:val="20"/>
        </w:rPr>
        <w:t>Discussion point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 xml:space="preserve">’s </w:t>
      </w:r>
      <w:proofErr w:type="spellStart"/>
      <w:r w:rsidR="008F4B1D">
        <w:rPr>
          <w:rFonts w:ascii="Times New Roman" w:eastAsia="Batang" w:hAnsi="Times New Roman"/>
          <w:szCs w:val="24"/>
          <w:lang w:eastAsia="en-US"/>
        </w:rPr>
        <w:t>SCell</w:t>
      </w:r>
      <w:proofErr w:type="spellEnd"/>
      <w:r w:rsidR="008F4B1D">
        <w:rPr>
          <w:rFonts w:ascii="Times New Roman" w:eastAsia="Batang" w:hAnsi="Times New Roman"/>
          <w:szCs w:val="24"/>
          <w:lang w:eastAsia="en-US"/>
        </w:rPr>
        <w:t xml:space="preserve"> for the following case:</w:t>
      </w:r>
    </w:p>
    <w:p w14:paraId="62F03254" w14:textId="7CF0DDD7" w:rsidR="008F4B1D" w:rsidRPr="008F4B1D" w:rsidRDefault="008F4B1D" w:rsidP="008F4B1D">
      <w:pPr>
        <w:pStyle w:val="af5"/>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3"/>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a5"/>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a5"/>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a5"/>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a5"/>
              <w:spacing w:after="0"/>
              <w:rPr>
                <w:rFonts w:ascii="Times New Roman" w:eastAsiaTheme="minorEastAsia" w:hAnsi="Times New Roman" w:hint="eastAsia"/>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proofErr w:type="spellStart"/>
            <w:r w:rsidR="00B3360C">
              <w:rPr>
                <w:rFonts w:ascii="Times New Roman" w:eastAsiaTheme="minorEastAsia" w:hAnsi="Times New Roman"/>
              </w:rPr>
              <w:t>SC</w:t>
            </w:r>
            <w:r w:rsidR="00B3360C" w:rsidRPr="00B3360C">
              <w:rPr>
                <w:rFonts w:ascii="Times New Roman" w:eastAsiaTheme="minorEastAsia" w:hAnsi="Times New Roman"/>
              </w:rPr>
              <w:t>ell</w:t>
            </w:r>
            <w:proofErr w:type="spellEnd"/>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w:t>
            </w:r>
            <w:proofErr w:type="spellStart"/>
            <w:r w:rsidR="00B3360C" w:rsidRPr="00B3360C">
              <w:rPr>
                <w:rFonts w:ascii="Times New Roman" w:eastAsiaTheme="minorEastAsia" w:hAnsi="Times New Roman"/>
              </w:rPr>
              <w:t>PCell</w:t>
            </w:r>
            <w:proofErr w:type="spellEnd"/>
            <w:r w:rsidR="00B3360C" w:rsidRPr="00B3360C">
              <w:rPr>
                <w:rFonts w:ascii="Times New Roman" w:eastAsiaTheme="minorEastAsia" w:hAnsi="Times New Roman"/>
              </w:rPr>
              <w:t xml:space="preserve">, </w:t>
            </w:r>
            <w:proofErr w:type="spellStart"/>
            <w:r w:rsidR="00B3360C" w:rsidRPr="00B3360C">
              <w:rPr>
                <w:rFonts w:ascii="Times New Roman" w:eastAsiaTheme="minorEastAsia" w:hAnsi="Times New Roman"/>
              </w:rPr>
              <w:t>SCell</w:t>
            </w:r>
            <w:proofErr w:type="spellEnd"/>
            <w:r w:rsidR="00B3360C" w:rsidRPr="00B3360C">
              <w:rPr>
                <w:rFonts w:ascii="Times New Roman" w:eastAsiaTheme="minorEastAsia" w:hAnsi="Times New Roman"/>
              </w:rPr>
              <w:t xml:space="preserve">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 xml:space="preserve">ms) on </w:t>
            </w:r>
            <w:proofErr w:type="spellStart"/>
            <w:r w:rsidR="00A26C32">
              <w:rPr>
                <w:rFonts w:ascii="Times New Roman" w:eastAsiaTheme="minorEastAsia" w:hAnsi="Times New Roman"/>
              </w:rPr>
              <w:t>PCell</w:t>
            </w:r>
            <w:proofErr w:type="spellEnd"/>
            <w:r w:rsidR="00A26C32">
              <w:rPr>
                <w:rFonts w:ascii="Times New Roman" w:eastAsiaTheme="minorEastAsia" w:hAnsi="Times New Roman"/>
              </w:rPr>
              <w:t xml:space="preserve"> is not supported, adaptation for CD-SSB on </w:t>
            </w:r>
            <w:proofErr w:type="spellStart"/>
            <w:r w:rsidR="00A26C32">
              <w:rPr>
                <w:rFonts w:ascii="Times New Roman" w:eastAsiaTheme="minorEastAsia" w:hAnsi="Times New Roman"/>
              </w:rPr>
              <w:t>SCell</w:t>
            </w:r>
            <w:proofErr w:type="spellEnd"/>
            <w:r w:rsidR="00A26C32">
              <w:rPr>
                <w:rFonts w:ascii="Times New Roman" w:eastAsiaTheme="minorEastAsia" w:hAnsi="Times New Roman"/>
              </w:rPr>
              <w:t xml:space="preserve"> may also not that applicable.</w:t>
            </w:r>
          </w:p>
        </w:tc>
      </w:tr>
    </w:tbl>
    <w:p w14:paraId="189A4F17"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a5"/>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af5"/>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af5"/>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af5"/>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af5"/>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af5"/>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af5"/>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xml:space="preserve">, </w:t>
      </w:r>
      <w:proofErr w:type="spellStart"/>
      <w:r w:rsidRPr="0047265C">
        <w:rPr>
          <w:rFonts w:ascii="Times New Roman" w:hAnsi="Times New Roman"/>
        </w:rPr>
        <w:t>Honor</w:t>
      </w:r>
      <w:proofErr w:type="spellEnd"/>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af3"/>
        <w:tblW w:w="0" w:type="auto"/>
        <w:tblLook w:val="04A0" w:firstRow="1" w:lastRow="0" w:firstColumn="1" w:lastColumn="0" w:noHBand="0" w:noVBand="1"/>
      </w:tblPr>
      <w:tblGrid>
        <w:gridCol w:w="1075"/>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a5"/>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a5"/>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a5"/>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a5"/>
              <w:spacing w:after="0"/>
              <w:rPr>
                <w:rFonts w:ascii="Times New Roman" w:eastAsiaTheme="minorEastAsia" w:hAnsi="Times New Roman" w:hint="eastAsia"/>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a5"/>
              <w:spacing w:after="0"/>
              <w:rPr>
                <w:rFonts w:ascii="Times New Roman" w:eastAsiaTheme="minorEastAsia" w:hAnsi="Times New Roman" w:hint="eastAsia"/>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1"/>
      </w:pPr>
      <w:r>
        <w:t xml:space="preserve">Adaptation of PRACH </w:t>
      </w:r>
    </w:p>
    <w:p w14:paraId="69C541D8" w14:textId="77777777" w:rsidR="009577FF" w:rsidRDefault="00863C37">
      <w:pPr>
        <w:pStyle w:val="a5"/>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a5"/>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af5"/>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a5"/>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af5"/>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a5"/>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af5"/>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af5"/>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a5"/>
        <w:spacing w:after="0"/>
        <w:jc w:val="left"/>
        <w:rPr>
          <w:rFonts w:ascii="Times New Roman" w:hAnsi="Times New Roman"/>
        </w:rPr>
      </w:pPr>
    </w:p>
    <w:p w14:paraId="02500761" w14:textId="77777777" w:rsidR="0042789F" w:rsidRDefault="0042789F">
      <w:pPr>
        <w:pStyle w:val="a5"/>
        <w:spacing w:after="0"/>
        <w:jc w:val="left"/>
        <w:rPr>
          <w:rFonts w:ascii="Times New Roman" w:hAnsi="Times New Roman"/>
          <w:u w:val="single"/>
        </w:rPr>
      </w:pPr>
    </w:p>
    <w:tbl>
      <w:tblPr>
        <w:tblStyle w:val="af3"/>
        <w:tblW w:w="0" w:type="auto"/>
        <w:tblLook w:val="04A0" w:firstRow="1" w:lastRow="0" w:firstColumn="1" w:lastColumn="0" w:noHBand="0" w:noVBand="1"/>
      </w:tblPr>
      <w:tblGrid>
        <w:gridCol w:w="1150"/>
        <w:gridCol w:w="1440"/>
        <w:gridCol w:w="6930"/>
      </w:tblGrid>
      <w:tr w:rsidR="00522D92" w14:paraId="7B8C0EAF" w14:textId="77777777" w:rsidTr="00821F41">
        <w:trPr>
          <w:trHeight w:val="235"/>
        </w:trPr>
        <w:tc>
          <w:tcPr>
            <w:tcW w:w="1075" w:type="dxa"/>
          </w:tcPr>
          <w:p w14:paraId="6B9759CE" w14:textId="77777777" w:rsidR="00522D92" w:rsidRDefault="00522D92" w:rsidP="009F6741">
            <w:pPr>
              <w:pStyle w:val="a5"/>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a5"/>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a5"/>
              <w:spacing w:after="0"/>
              <w:rPr>
                <w:rFonts w:ascii="Times New Roman" w:hAnsi="Times New Roman"/>
              </w:rPr>
            </w:pPr>
            <w:r>
              <w:rPr>
                <w:rFonts w:ascii="Times New Roman" w:hAnsi="Times New Roman"/>
              </w:rPr>
              <w:t>Comment</w:t>
            </w:r>
          </w:p>
        </w:tc>
      </w:tr>
      <w:tr w:rsidR="00522D92" w14:paraId="7B145E96" w14:textId="77777777" w:rsidTr="00821F41">
        <w:trPr>
          <w:trHeight w:val="235"/>
        </w:trPr>
        <w:tc>
          <w:tcPr>
            <w:tcW w:w="1075" w:type="dxa"/>
          </w:tcPr>
          <w:p w14:paraId="471C4AAE" w14:textId="74CCCB85" w:rsidR="00522D92" w:rsidRDefault="002865D9" w:rsidP="009F6741">
            <w:pPr>
              <w:pStyle w:val="a5"/>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a5"/>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a5"/>
              <w:spacing w:after="0"/>
              <w:rPr>
                <w:rFonts w:ascii="Times New Roman" w:hAnsi="Times New Roman"/>
              </w:rPr>
            </w:pPr>
            <w:r>
              <w:rPr>
                <w:rFonts w:ascii="Times New Roman" w:hAnsi="Times New Roman"/>
              </w:rPr>
              <w:t>None</w:t>
            </w:r>
          </w:p>
        </w:tc>
      </w:tr>
      <w:tr w:rsidR="008777CF" w14:paraId="4B3544E2" w14:textId="77777777" w:rsidTr="00821F41">
        <w:trPr>
          <w:trHeight w:val="235"/>
        </w:trPr>
        <w:tc>
          <w:tcPr>
            <w:tcW w:w="1075" w:type="dxa"/>
          </w:tcPr>
          <w:p w14:paraId="116267DE" w14:textId="1B122932" w:rsidR="008777CF" w:rsidRPr="008777CF" w:rsidRDefault="008777CF" w:rsidP="009F674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a5"/>
              <w:spacing w:after="0"/>
              <w:jc w:val="center"/>
              <w:rPr>
                <w:rFonts w:ascii="Times New Roman" w:eastAsiaTheme="minorEastAsia" w:hAnsi="Times New Roman" w:hint="eastAsia"/>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a5"/>
              <w:spacing w:after="0"/>
              <w:rPr>
                <w:rFonts w:ascii="Times New Roman" w:eastAsiaTheme="minorEastAsia" w:hAnsi="Times New Roman" w:hint="eastAsia"/>
              </w:rPr>
            </w:pPr>
            <w:r>
              <w:rPr>
                <w:rFonts w:ascii="Times New Roman" w:eastAsiaTheme="minorEastAsia" w:hAnsi="Times New Roman"/>
              </w:rPr>
              <w:t>Fine with the proposal</w:t>
            </w:r>
          </w:p>
        </w:tc>
      </w:tr>
    </w:tbl>
    <w:p w14:paraId="54B98104" w14:textId="77777777" w:rsidR="00522D92" w:rsidRDefault="00522D92">
      <w:pPr>
        <w:pStyle w:val="a5"/>
        <w:spacing w:after="0"/>
        <w:jc w:val="left"/>
        <w:rPr>
          <w:rFonts w:ascii="Times New Roman" w:hAnsi="Times New Roman"/>
          <w:u w:val="single"/>
        </w:rPr>
      </w:pPr>
    </w:p>
    <w:p w14:paraId="548D4EB1" w14:textId="77777777" w:rsidR="0042789F" w:rsidRDefault="0042789F" w:rsidP="0042789F">
      <w:pPr>
        <w:pStyle w:val="a5"/>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a5"/>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a5"/>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af5"/>
        <w:numPr>
          <w:ilvl w:val="1"/>
          <w:numId w:val="9"/>
        </w:numPr>
        <w:rPr>
          <w:rFonts w:ascii="Times New Roman" w:hAnsi="Times New Roman"/>
        </w:rPr>
      </w:pPr>
      <w:r w:rsidRPr="0042789F">
        <w:rPr>
          <w:rFonts w:ascii="Times New Roman" w:hAnsi="Times New Roman"/>
        </w:rPr>
        <w:t>Vivo, LGE, Fujitsu, Nokia, CATT, Huawei/</w:t>
      </w:r>
      <w:proofErr w:type="spellStart"/>
      <w:r w:rsidRPr="0042789F">
        <w:rPr>
          <w:rFonts w:ascii="Times New Roman" w:hAnsi="Times New Roman"/>
        </w:rPr>
        <w:t>HiSi</w:t>
      </w:r>
      <w:proofErr w:type="spellEnd"/>
    </w:p>
    <w:p w14:paraId="5FE5BCF5" w14:textId="7F33756D" w:rsidR="0042789F" w:rsidRPr="0042789F" w:rsidRDefault="0042789F" w:rsidP="0043301E">
      <w:pPr>
        <w:pStyle w:val="a5"/>
        <w:numPr>
          <w:ilvl w:val="0"/>
          <w:numId w:val="21"/>
        </w:numPr>
        <w:rPr>
          <w:rFonts w:ascii="Times New Roman" w:hAnsi="Times New Roman"/>
        </w:rPr>
      </w:pPr>
      <w:r w:rsidRPr="0042789F">
        <w:rPr>
          <w:rFonts w:ascii="Times New Roman" w:hAnsi="Times New Roman"/>
        </w:rPr>
        <w:lastRenderedPageBreak/>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af5"/>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a5"/>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af3"/>
        <w:tblW w:w="0" w:type="auto"/>
        <w:tblLook w:val="04A0" w:firstRow="1" w:lastRow="0" w:firstColumn="1" w:lastColumn="0" w:noHBand="0" w:noVBand="1"/>
      </w:tblPr>
      <w:tblGrid>
        <w:gridCol w:w="1150"/>
        <w:gridCol w:w="1440"/>
        <w:gridCol w:w="7020"/>
      </w:tblGrid>
      <w:tr w:rsidR="00522D92" w14:paraId="5A386F8B" w14:textId="77777777" w:rsidTr="00821F41">
        <w:trPr>
          <w:trHeight w:val="235"/>
        </w:trPr>
        <w:tc>
          <w:tcPr>
            <w:tcW w:w="1075" w:type="dxa"/>
          </w:tcPr>
          <w:p w14:paraId="31BA7B40" w14:textId="77777777" w:rsidR="00522D92" w:rsidRDefault="00522D92" w:rsidP="009F6741">
            <w:pPr>
              <w:pStyle w:val="a5"/>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a5"/>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a5"/>
              <w:spacing w:after="0"/>
              <w:rPr>
                <w:rFonts w:ascii="Times New Roman" w:hAnsi="Times New Roman"/>
              </w:rPr>
            </w:pPr>
            <w:r>
              <w:rPr>
                <w:rFonts w:ascii="Times New Roman" w:hAnsi="Times New Roman"/>
              </w:rPr>
              <w:t>Comment</w:t>
            </w:r>
          </w:p>
        </w:tc>
      </w:tr>
      <w:tr w:rsidR="00522D92" w14:paraId="5E38A55B" w14:textId="77777777" w:rsidTr="00821F41">
        <w:trPr>
          <w:trHeight w:val="235"/>
        </w:trPr>
        <w:tc>
          <w:tcPr>
            <w:tcW w:w="1075" w:type="dxa"/>
          </w:tcPr>
          <w:p w14:paraId="421C0E4C" w14:textId="4959484F" w:rsidR="00522D92" w:rsidRDefault="002865D9" w:rsidP="009F6741">
            <w:pPr>
              <w:pStyle w:val="a5"/>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a5"/>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a5"/>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w:t>
            </w:r>
            <w:proofErr w:type="spellStart"/>
            <w:r>
              <w:rPr>
                <w:rFonts w:ascii="Times New Roman" w:hAnsi="Times New Roman"/>
              </w:rPr>
              <w:t>gNB</w:t>
            </w:r>
            <w:proofErr w:type="spellEnd"/>
            <w:r>
              <w:rPr>
                <w:rFonts w:ascii="Times New Roman" w:hAnsi="Times New Roman"/>
              </w:rPr>
              <w:t xml:space="preserve">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821F41">
        <w:trPr>
          <w:trHeight w:val="235"/>
        </w:trPr>
        <w:tc>
          <w:tcPr>
            <w:tcW w:w="1075" w:type="dxa"/>
          </w:tcPr>
          <w:p w14:paraId="2B88A8C7" w14:textId="4288D90C" w:rsidR="008777CF" w:rsidRPr="008777CF" w:rsidRDefault="008777CF" w:rsidP="009F674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a5"/>
              <w:spacing w:after="0"/>
              <w:jc w:val="center"/>
              <w:rPr>
                <w:rFonts w:ascii="Times New Roman" w:eastAsiaTheme="minorEastAsia" w:hAnsi="Times New Roman" w:hint="eastAsia"/>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a5"/>
              <w:spacing w:after="0"/>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a5"/>
        <w:spacing w:after="0"/>
        <w:jc w:val="left"/>
        <w:rPr>
          <w:rFonts w:ascii="Times New Roman" w:hAnsi="Times New Roman"/>
          <w:u w:val="single"/>
        </w:rPr>
      </w:pPr>
    </w:p>
    <w:p w14:paraId="52999DA5" w14:textId="5337B2EC" w:rsidR="009804DF" w:rsidRDefault="00C81FD2">
      <w:pPr>
        <w:pStyle w:val="a5"/>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a5"/>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af5"/>
        <w:numPr>
          <w:ilvl w:val="1"/>
          <w:numId w:val="9"/>
        </w:numPr>
        <w:rPr>
          <w:rFonts w:ascii="Times New Roman" w:hAnsi="Times New Roman"/>
        </w:rPr>
      </w:pPr>
      <w:bookmarkStart w:id="1"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1"/>
      <w:proofErr w:type="spellEnd"/>
    </w:p>
    <w:p w14:paraId="753C12E4" w14:textId="72F8707D" w:rsidR="009804DF" w:rsidRPr="00A07F7B" w:rsidRDefault="009804DF" w:rsidP="00A00A55">
      <w:pPr>
        <w:pStyle w:val="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a5"/>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a5"/>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af3"/>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a5"/>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a5"/>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a5"/>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a5"/>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a5"/>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a5"/>
              <w:spacing w:after="0"/>
              <w:rPr>
                <w:rFonts w:ascii="Times New Roman" w:hAnsi="Times New Roman"/>
              </w:rPr>
            </w:pPr>
            <w:r>
              <w:rPr>
                <w:rFonts w:ascii="Times New Roman" w:hAnsi="Times New Roman"/>
              </w:rPr>
              <w:t>None</w:t>
            </w:r>
          </w:p>
        </w:tc>
      </w:tr>
      <w:tr w:rsidR="00C60963" w14:paraId="6907E1D6" w14:textId="77777777" w:rsidTr="00821F41">
        <w:trPr>
          <w:trHeight w:val="235"/>
        </w:trPr>
        <w:tc>
          <w:tcPr>
            <w:tcW w:w="1075" w:type="dxa"/>
          </w:tcPr>
          <w:p w14:paraId="2BFF0404" w14:textId="3E84E583" w:rsidR="00C60963" w:rsidRPr="00C60963" w:rsidRDefault="00C60963" w:rsidP="009F674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a5"/>
              <w:spacing w:after="0"/>
              <w:jc w:val="center"/>
              <w:rPr>
                <w:rFonts w:ascii="Times New Roman" w:eastAsiaTheme="minorEastAsia" w:hAnsi="Times New Roman" w:hint="eastAsia"/>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a5"/>
              <w:spacing w:after="0"/>
              <w:rPr>
                <w:rFonts w:ascii="Times New Roman" w:eastAsiaTheme="minorEastAsia" w:hAnsi="Times New Roman" w:hint="eastAsia"/>
              </w:rPr>
            </w:pPr>
            <w:r>
              <w:rPr>
                <w:rFonts w:ascii="Times New Roman" w:eastAsiaTheme="minorEastAsia" w:hAnsi="Times New Roman" w:hint="eastAsia"/>
              </w:rPr>
              <w:t>F</w:t>
            </w:r>
            <w:r>
              <w:rPr>
                <w:rFonts w:ascii="Times New Roman" w:eastAsiaTheme="minorEastAsia" w:hAnsi="Times New Roman"/>
              </w:rPr>
              <w:t>ine with the proposal.</w:t>
            </w: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a5"/>
        <w:spacing w:after="0"/>
        <w:jc w:val="left"/>
        <w:rPr>
          <w:rFonts w:ascii="Times New Roman" w:hAnsi="Times New Roman"/>
        </w:rPr>
      </w:pPr>
    </w:p>
    <w:p w14:paraId="04BBDEAC" w14:textId="77777777" w:rsidR="00104FE5" w:rsidRPr="00D77037" w:rsidRDefault="00104FE5" w:rsidP="00104FE5">
      <w:pPr>
        <w:pStyle w:val="a5"/>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af5"/>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af5"/>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af5"/>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Fujitsu, Interdigital, ZTE, Tejas, ETRI, Sony</w:t>
      </w:r>
    </w:p>
    <w:p w14:paraId="18045896" w14:textId="77777777" w:rsidR="00104FE5" w:rsidRPr="008F18D2" w:rsidRDefault="00104FE5" w:rsidP="001333C7">
      <w:pPr>
        <w:pStyle w:val="af5"/>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af5"/>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lastRenderedPageBreak/>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af5"/>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af3"/>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a5"/>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a5"/>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a5"/>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a5"/>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a5"/>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a5"/>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a5"/>
              <w:spacing w:after="0"/>
              <w:jc w:val="center"/>
              <w:rPr>
                <w:rFonts w:ascii="Times New Roman" w:eastAsiaTheme="minorEastAsia" w:hAnsi="Times New Roman" w:hint="eastAsia"/>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a5"/>
              <w:spacing w:after="0"/>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upport the proposal</w:t>
            </w:r>
          </w:p>
        </w:tc>
      </w:tr>
    </w:tbl>
    <w:p w14:paraId="3E66B1B2" w14:textId="77777777" w:rsidR="00104FE5" w:rsidRDefault="00104FE5">
      <w:pPr>
        <w:pStyle w:val="a5"/>
        <w:spacing w:after="0"/>
        <w:jc w:val="left"/>
        <w:rPr>
          <w:rFonts w:ascii="Times New Roman" w:hAnsi="Times New Roman"/>
        </w:rPr>
      </w:pPr>
    </w:p>
    <w:p w14:paraId="2DD11E43" w14:textId="77777777" w:rsidR="00847283" w:rsidRDefault="00847283">
      <w:pPr>
        <w:pStyle w:val="a5"/>
        <w:spacing w:after="0"/>
        <w:jc w:val="left"/>
        <w:rPr>
          <w:rFonts w:ascii="Times New Roman" w:hAnsi="Times New Roman"/>
        </w:rPr>
      </w:pPr>
    </w:p>
    <w:p w14:paraId="16CC95CD" w14:textId="0A47ED9A" w:rsidR="00847283" w:rsidRDefault="00847283">
      <w:pPr>
        <w:pStyle w:val="a5"/>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a5"/>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a5"/>
        <w:spacing w:after="0"/>
        <w:jc w:val="left"/>
        <w:rPr>
          <w:rFonts w:ascii="Times New Roman" w:hAnsi="Times New Roman"/>
        </w:rPr>
      </w:pPr>
    </w:p>
    <w:p w14:paraId="69C54211" w14:textId="77777777" w:rsidR="009577FF" w:rsidRPr="00D77037" w:rsidRDefault="00863C37" w:rsidP="00D77037">
      <w:pPr>
        <w:pStyle w:val="a5"/>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a5"/>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a5"/>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a5"/>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a5"/>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proofErr w:type="spellStart"/>
      <w:r w:rsidR="001B65AE" w:rsidRPr="00A00A55">
        <w:rPr>
          <w:rFonts w:ascii="Times New Roman" w:eastAsia="Batang" w:hAnsi="Times New Roman"/>
          <w:szCs w:val="24"/>
          <w:lang w:eastAsia="en-US"/>
        </w:rPr>
        <w:t>Oppo</w:t>
      </w:r>
      <w:proofErr w:type="spellEnd"/>
      <w:r w:rsidR="001B65AE" w:rsidRPr="00A00A55">
        <w:rPr>
          <w:rFonts w:ascii="Times New Roman" w:eastAsia="Batang" w:hAnsi="Times New Roman"/>
          <w:szCs w:val="24"/>
          <w:lang w:eastAsia="en-US"/>
        </w:rPr>
        <w:t xml:space="preserve">,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a5"/>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a5"/>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a5"/>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a5"/>
        <w:spacing w:after="0"/>
        <w:jc w:val="left"/>
      </w:pPr>
    </w:p>
    <w:p w14:paraId="69C54218" w14:textId="23C32960" w:rsidR="009577FF" w:rsidRDefault="00AB1DFD">
      <w:pPr>
        <w:pStyle w:val="2"/>
        <w:numPr>
          <w:ilvl w:val="0"/>
          <w:numId w:val="0"/>
        </w:numPr>
        <w:ind w:left="576" w:hanging="576"/>
        <w:rPr>
          <w:sz w:val="20"/>
          <w:szCs w:val="20"/>
        </w:rPr>
      </w:pPr>
      <w:r w:rsidRPr="00132D9E">
        <w:rPr>
          <w:sz w:val="20"/>
          <w:szCs w:val="20"/>
        </w:rPr>
        <w:t>Discussion point</w:t>
      </w:r>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af3"/>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a5"/>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a5"/>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a5"/>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a5"/>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a5"/>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a5"/>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a5"/>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a5"/>
              <w:spacing w:after="0"/>
              <w:rPr>
                <w:rFonts w:ascii="Times New Roman" w:eastAsiaTheme="minorEastAsia" w:hAnsi="Times New Roman" w:hint="eastAsia"/>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a5"/>
              <w:spacing w:after="0"/>
              <w:rPr>
                <w:rFonts w:ascii="Times New Roman" w:eastAsiaTheme="minorEastAsia" w:hAnsi="Times New Roman" w:hint="eastAsia"/>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1"/>
      </w:pPr>
      <w:r>
        <w:rPr>
          <w:rFonts w:ascii="Times New Roman" w:eastAsia="Batang" w:hAnsi="Times New Roman"/>
          <w:szCs w:val="24"/>
        </w:rPr>
        <w:tab/>
      </w:r>
      <w:r>
        <w:t>Adaptation of Paging</w:t>
      </w:r>
    </w:p>
    <w:p w14:paraId="69C542F6" w14:textId="77777777" w:rsidR="009577FF" w:rsidRDefault="00863C37">
      <w:pPr>
        <w:pStyle w:val="a5"/>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a5"/>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1"/>
      </w:pPr>
      <w:r>
        <w:t>Conclusion</w:t>
      </w:r>
    </w:p>
    <w:p w14:paraId="69C542FC" w14:textId="77777777" w:rsidR="009577FF" w:rsidRDefault="00863C37" w:rsidP="004E7111">
      <w:pPr>
        <w:pStyle w:val="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C306E2" w:rsidP="00741861">
            <w:pPr>
              <w:overflowPunct/>
              <w:autoSpaceDE/>
              <w:autoSpaceDN/>
              <w:adjustRightInd/>
              <w:spacing w:after="0"/>
              <w:jc w:val="left"/>
              <w:textAlignment w:val="auto"/>
              <w:rPr>
                <w:sz w:val="16"/>
                <w:szCs w:val="16"/>
              </w:rPr>
            </w:pPr>
            <w:hyperlink r:id="rId8" w:history="1">
              <w:r w:rsidR="00741861">
                <w:rPr>
                  <w:rStyle w:val="af1"/>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C306E2" w:rsidP="00741861">
            <w:pPr>
              <w:overflowPunct/>
              <w:autoSpaceDE/>
              <w:autoSpaceDN/>
              <w:adjustRightInd/>
              <w:spacing w:after="0"/>
              <w:jc w:val="left"/>
              <w:textAlignment w:val="auto"/>
              <w:rPr>
                <w:sz w:val="16"/>
                <w:szCs w:val="16"/>
              </w:rPr>
            </w:pPr>
            <w:hyperlink r:id="rId9" w:history="1">
              <w:r w:rsidR="00741861">
                <w:rPr>
                  <w:rStyle w:val="af1"/>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C306E2" w:rsidP="00741861">
            <w:pPr>
              <w:overflowPunct/>
              <w:autoSpaceDE/>
              <w:autoSpaceDN/>
              <w:adjustRightInd/>
              <w:spacing w:after="0"/>
              <w:jc w:val="left"/>
              <w:textAlignment w:val="auto"/>
              <w:rPr>
                <w:sz w:val="16"/>
                <w:szCs w:val="16"/>
              </w:rPr>
            </w:pPr>
            <w:hyperlink r:id="rId10" w:history="1">
              <w:r w:rsidR="00741861">
                <w:rPr>
                  <w:rStyle w:val="af1"/>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C306E2" w:rsidP="00741861">
            <w:pPr>
              <w:overflowPunct/>
              <w:autoSpaceDE/>
              <w:autoSpaceDN/>
              <w:adjustRightInd/>
              <w:spacing w:after="0"/>
              <w:jc w:val="left"/>
              <w:textAlignment w:val="auto"/>
              <w:rPr>
                <w:sz w:val="16"/>
                <w:szCs w:val="16"/>
              </w:rPr>
            </w:pPr>
            <w:hyperlink r:id="rId11" w:history="1">
              <w:r w:rsidR="00741861">
                <w:rPr>
                  <w:rStyle w:val="af1"/>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C306E2" w:rsidP="00741861">
            <w:pPr>
              <w:overflowPunct/>
              <w:autoSpaceDE/>
              <w:autoSpaceDN/>
              <w:adjustRightInd/>
              <w:spacing w:after="0"/>
              <w:jc w:val="left"/>
              <w:textAlignment w:val="auto"/>
              <w:rPr>
                <w:sz w:val="16"/>
                <w:szCs w:val="16"/>
              </w:rPr>
            </w:pPr>
            <w:hyperlink r:id="rId12" w:history="1">
              <w:r w:rsidR="00741861">
                <w:rPr>
                  <w:rStyle w:val="af1"/>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C306E2" w:rsidP="00741861">
            <w:pPr>
              <w:overflowPunct/>
              <w:autoSpaceDE/>
              <w:autoSpaceDN/>
              <w:adjustRightInd/>
              <w:spacing w:after="0"/>
              <w:jc w:val="left"/>
              <w:textAlignment w:val="auto"/>
              <w:rPr>
                <w:sz w:val="16"/>
                <w:szCs w:val="16"/>
              </w:rPr>
            </w:pPr>
            <w:hyperlink r:id="rId13" w:history="1">
              <w:r w:rsidR="00741861">
                <w:rPr>
                  <w:rStyle w:val="af1"/>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C306E2" w:rsidP="00741861">
            <w:pPr>
              <w:overflowPunct/>
              <w:autoSpaceDE/>
              <w:autoSpaceDN/>
              <w:adjustRightInd/>
              <w:spacing w:after="0"/>
              <w:jc w:val="left"/>
              <w:textAlignment w:val="auto"/>
              <w:rPr>
                <w:sz w:val="16"/>
                <w:szCs w:val="16"/>
              </w:rPr>
            </w:pPr>
            <w:hyperlink r:id="rId14" w:history="1">
              <w:r w:rsidR="00741861">
                <w:rPr>
                  <w:rStyle w:val="af1"/>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C306E2" w:rsidP="00741861">
            <w:pPr>
              <w:overflowPunct/>
              <w:autoSpaceDE/>
              <w:autoSpaceDN/>
              <w:adjustRightInd/>
              <w:spacing w:after="0"/>
              <w:jc w:val="left"/>
              <w:textAlignment w:val="auto"/>
              <w:rPr>
                <w:sz w:val="16"/>
                <w:szCs w:val="16"/>
              </w:rPr>
            </w:pPr>
            <w:hyperlink r:id="rId15" w:history="1">
              <w:r w:rsidR="00741861">
                <w:rPr>
                  <w:rStyle w:val="af1"/>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C306E2" w:rsidP="00741861">
            <w:pPr>
              <w:overflowPunct/>
              <w:autoSpaceDE/>
              <w:autoSpaceDN/>
              <w:adjustRightInd/>
              <w:spacing w:after="0"/>
              <w:jc w:val="left"/>
              <w:textAlignment w:val="auto"/>
              <w:rPr>
                <w:sz w:val="16"/>
                <w:szCs w:val="16"/>
              </w:rPr>
            </w:pPr>
            <w:hyperlink r:id="rId16" w:history="1">
              <w:r w:rsidR="00741861">
                <w:rPr>
                  <w:rStyle w:val="af1"/>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C306E2" w:rsidP="00741861">
            <w:pPr>
              <w:overflowPunct/>
              <w:autoSpaceDE/>
              <w:autoSpaceDN/>
              <w:adjustRightInd/>
              <w:spacing w:after="0"/>
              <w:jc w:val="left"/>
              <w:textAlignment w:val="auto"/>
              <w:rPr>
                <w:sz w:val="16"/>
                <w:szCs w:val="16"/>
              </w:rPr>
            </w:pPr>
            <w:hyperlink r:id="rId17" w:history="1">
              <w:r w:rsidR="00741861">
                <w:rPr>
                  <w:rStyle w:val="af1"/>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C306E2" w:rsidP="00741861">
            <w:pPr>
              <w:overflowPunct/>
              <w:autoSpaceDE/>
              <w:autoSpaceDN/>
              <w:adjustRightInd/>
              <w:spacing w:after="0"/>
              <w:jc w:val="left"/>
              <w:textAlignment w:val="auto"/>
              <w:rPr>
                <w:sz w:val="16"/>
                <w:szCs w:val="16"/>
              </w:rPr>
            </w:pPr>
            <w:hyperlink r:id="rId18" w:history="1">
              <w:r w:rsidR="00741861">
                <w:rPr>
                  <w:rStyle w:val="af1"/>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C306E2" w:rsidP="00741861">
            <w:pPr>
              <w:overflowPunct/>
              <w:autoSpaceDE/>
              <w:autoSpaceDN/>
              <w:adjustRightInd/>
              <w:spacing w:after="0"/>
              <w:jc w:val="left"/>
              <w:textAlignment w:val="auto"/>
              <w:rPr>
                <w:sz w:val="16"/>
                <w:szCs w:val="16"/>
              </w:rPr>
            </w:pPr>
            <w:hyperlink r:id="rId19" w:history="1">
              <w:r w:rsidR="00741861">
                <w:rPr>
                  <w:rStyle w:val="af1"/>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C306E2" w:rsidP="00741861">
            <w:pPr>
              <w:overflowPunct/>
              <w:autoSpaceDE/>
              <w:autoSpaceDN/>
              <w:adjustRightInd/>
              <w:spacing w:after="0"/>
              <w:jc w:val="left"/>
              <w:textAlignment w:val="auto"/>
              <w:rPr>
                <w:sz w:val="16"/>
                <w:szCs w:val="16"/>
              </w:rPr>
            </w:pPr>
            <w:hyperlink r:id="rId20" w:history="1">
              <w:r w:rsidR="00741861">
                <w:rPr>
                  <w:rStyle w:val="af1"/>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C306E2" w:rsidP="00741861">
            <w:pPr>
              <w:overflowPunct/>
              <w:autoSpaceDE/>
              <w:autoSpaceDN/>
              <w:adjustRightInd/>
              <w:spacing w:after="0"/>
              <w:jc w:val="left"/>
              <w:textAlignment w:val="auto"/>
              <w:rPr>
                <w:sz w:val="16"/>
                <w:szCs w:val="16"/>
              </w:rPr>
            </w:pPr>
            <w:hyperlink r:id="rId21" w:history="1">
              <w:r w:rsidR="00741861">
                <w:rPr>
                  <w:rStyle w:val="af1"/>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C306E2" w:rsidP="00741861">
            <w:pPr>
              <w:overflowPunct/>
              <w:autoSpaceDE/>
              <w:autoSpaceDN/>
              <w:adjustRightInd/>
              <w:spacing w:after="0"/>
              <w:jc w:val="left"/>
              <w:textAlignment w:val="auto"/>
              <w:rPr>
                <w:sz w:val="16"/>
                <w:szCs w:val="16"/>
              </w:rPr>
            </w:pPr>
            <w:hyperlink r:id="rId22" w:history="1">
              <w:r w:rsidR="00741861">
                <w:rPr>
                  <w:rStyle w:val="af1"/>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C306E2" w:rsidP="00741861">
            <w:pPr>
              <w:overflowPunct/>
              <w:autoSpaceDE/>
              <w:autoSpaceDN/>
              <w:adjustRightInd/>
              <w:spacing w:after="0"/>
              <w:jc w:val="left"/>
              <w:textAlignment w:val="auto"/>
              <w:rPr>
                <w:sz w:val="16"/>
                <w:szCs w:val="16"/>
              </w:rPr>
            </w:pPr>
            <w:hyperlink r:id="rId23" w:history="1">
              <w:r w:rsidR="00741861">
                <w:rPr>
                  <w:rStyle w:val="af1"/>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C306E2" w:rsidP="00741861">
            <w:pPr>
              <w:overflowPunct/>
              <w:autoSpaceDE/>
              <w:autoSpaceDN/>
              <w:adjustRightInd/>
              <w:spacing w:after="0"/>
              <w:jc w:val="left"/>
              <w:textAlignment w:val="auto"/>
              <w:rPr>
                <w:sz w:val="16"/>
                <w:szCs w:val="16"/>
              </w:rPr>
            </w:pPr>
            <w:hyperlink r:id="rId24" w:history="1">
              <w:r w:rsidR="00741861">
                <w:rPr>
                  <w:rStyle w:val="af1"/>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C306E2" w:rsidP="00741861">
            <w:pPr>
              <w:overflowPunct/>
              <w:autoSpaceDE/>
              <w:autoSpaceDN/>
              <w:adjustRightInd/>
              <w:spacing w:after="0"/>
              <w:jc w:val="left"/>
              <w:textAlignment w:val="auto"/>
              <w:rPr>
                <w:sz w:val="16"/>
                <w:szCs w:val="16"/>
              </w:rPr>
            </w:pPr>
            <w:hyperlink r:id="rId25" w:history="1">
              <w:r w:rsidR="00741861">
                <w:rPr>
                  <w:rStyle w:val="af1"/>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C306E2" w:rsidP="00741861">
            <w:pPr>
              <w:overflowPunct/>
              <w:autoSpaceDE/>
              <w:autoSpaceDN/>
              <w:adjustRightInd/>
              <w:spacing w:after="0"/>
              <w:jc w:val="left"/>
              <w:textAlignment w:val="auto"/>
              <w:rPr>
                <w:sz w:val="16"/>
                <w:szCs w:val="16"/>
              </w:rPr>
            </w:pPr>
            <w:hyperlink r:id="rId26" w:history="1">
              <w:r w:rsidR="00741861">
                <w:rPr>
                  <w:rStyle w:val="af1"/>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C306E2" w:rsidP="00741861">
            <w:pPr>
              <w:overflowPunct/>
              <w:autoSpaceDE/>
              <w:autoSpaceDN/>
              <w:adjustRightInd/>
              <w:spacing w:after="0"/>
              <w:jc w:val="left"/>
              <w:textAlignment w:val="auto"/>
              <w:rPr>
                <w:sz w:val="16"/>
                <w:szCs w:val="16"/>
              </w:rPr>
            </w:pPr>
            <w:hyperlink r:id="rId27" w:history="1">
              <w:r w:rsidR="00741861">
                <w:rPr>
                  <w:rStyle w:val="af1"/>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C306E2" w:rsidP="00741861">
            <w:pPr>
              <w:overflowPunct/>
              <w:autoSpaceDE/>
              <w:autoSpaceDN/>
              <w:adjustRightInd/>
              <w:spacing w:after="0"/>
              <w:jc w:val="left"/>
              <w:textAlignment w:val="auto"/>
              <w:rPr>
                <w:sz w:val="16"/>
                <w:szCs w:val="16"/>
              </w:rPr>
            </w:pPr>
            <w:hyperlink r:id="rId28" w:history="1">
              <w:r w:rsidR="00741861">
                <w:rPr>
                  <w:rStyle w:val="af1"/>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C306E2" w:rsidP="00741861">
            <w:pPr>
              <w:overflowPunct/>
              <w:autoSpaceDE/>
              <w:autoSpaceDN/>
              <w:adjustRightInd/>
              <w:spacing w:after="0"/>
              <w:jc w:val="left"/>
              <w:textAlignment w:val="auto"/>
              <w:rPr>
                <w:sz w:val="16"/>
                <w:szCs w:val="16"/>
              </w:rPr>
            </w:pPr>
            <w:hyperlink r:id="rId29" w:history="1">
              <w:r w:rsidR="00741861">
                <w:rPr>
                  <w:rStyle w:val="af1"/>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C306E2" w:rsidP="00741861">
            <w:pPr>
              <w:overflowPunct/>
              <w:autoSpaceDE/>
              <w:autoSpaceDN/>
              <w:adjustRightInd/>
              <w:spacing w:after="0"/>
              <w:jc w:val="left"/>
              <w:textAlignment w:val="auto"/>
              <w:rPr>
                <w:sz w:val="16"/>
                <w:szCs w:val="16"/>
              </w:rPr>
            </w:pPr>
            <w:hyperlink r:id="rId30" w:history="1">
              <w:r w:rsidR="00741861">
                <w:rPr>
                  <w:rStyle w:val="af1"/>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C306E2" w:rsidP="00741861">
            <w:pPr>
              <w:overflowPunct/>
              <w:autoSpaceDE/>
              <w:autoSpaceDN/>
              <w:adjustRightInd/>
              <w:spacing w:after="0"/>
              <w:jc w:val="left"/>
              <w:textAlignment w:val="auto"/>
              <w:rPr>
                <w:sz w:val="16"/>
                <w:szCs w:val="16"/>
              </w:rPr>
            </w:pPr>
            <w:hyperlink r:id="rId31" w:history="1">
              <w:r w:rsidR="00741861">
                <w:rPr>
                  <w:rStyle w:val="af1"/>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C306E2" w:rsidP="00741861">
            <w:pPr>
              <w:overflowPunct/>
              <w:autoSpaceDE/>
              <w:autoSpaceDN/>
              <w:adjustRightInd/>
              <w:spacing w:after="0"/>
              <w:jc w:val="left"/>
              <w:textAlignment w:val="auto"/>
              <w:rPr>
                <w:sz w:val="16"/>
                <w:szCs w:val="16"/>
              </w:rPr>
            </w:pPr>
            <w:hyperlink r:id="rId32" w:history="1">
              <w:r w:rsidR="00741861">
                <w:rPr>
                  <w:rStyle w:val="af1"/>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C306E2" w:rsidP="00741861">
            <w:pPr>
              <w:overflowPunct/>
              <w:autoSpaceDE/>
              <w:autoSpaceDN/>
              <w:adjustRightInd/>
              <w:spacing w:after="0"/>
              <w:jc w:val="left"/>
              <w:textAlignment w:val="auto"/>
              <w:rPr>
                <w:sz w:val="16"/>
                <w:szCs w:val="16"/>
              </w:rPr>
            </w:pPr>
            <w:hyperlink r:id="rId33" w:history="1">
              <w:r w:rsidR="00741861">
                <w:rPr>
                  <w:rStyle w:val="af1"/>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C306E2" w:rsidP="00741861">
            <w:pPr>
              <w:overflowPunct/>
              <w:autoSpaceDE/>
              <w:autoSpaceDN/>
              <w:adjustRightInd/>
              <w:spacing w:after="0"/>
              <w:jc w:val="left"/>
              <w:textAlignment w:val="auto"/>
              <w:rPr>
                <w:sz w:val="16"/>
                <w:szCs w:val="16"/>
              </w:rPr>
            </w:pPr>
            <w:hyperlink r:id="rId34" w:history="1">
              <w:r w:rsidR="00741861">
                <w:rPr>
                  <w:rStyle w:val="af1"/>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C306E2" w:rsidP="00741861">
            <w:pPr>
              <w:overflowPunct/>
              <w:autoSpaceDE/>
              <w:autoSpaceDN/>
              <w:adjustRightInd/>
              <w:spacing w:after="0"/>
              <w:jc w:val="left"/>
              <w:textAlignment w:val="auto"/>
              <w:rPr>
                <w:sz w:val="16"/>
                <w:szCs w:val="16"/>
              </w:rPr>
            </w:pPr>
            <w:hyperlink r:id="rId35" w:history="1">
              <w:r w:rsidR="00741861">
                <w:rPr>
                  <w:rStyle w:val="af1"/>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C306E2" w:rsidP="00741861">
            <w:pPr>
              <w:overflowPunct/>
              <w:autoSpaceDE/>
              <w:autoSpaceDN/>
              <w:adjustRightInd/>
              <w:spacing w:after="0"/>
              <w:jc w:val="left"/>
              <w:textAlignment w:val="auto"/>
              <w:rPr>
                <w:sz w:val="16"/>
                <w:szCs w:val="16"/>
              </w:rPr>
            </w:pPr>
            <w:hyperlink r:id="rId36" w:history="1">
              <w:r w:rsidR="00741861">
                <w:rPr>
                  <w:rStyle w:val="af1"/>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C306E2" w:rsidP="00741861">
            <w:pPr>
              <w:overflowPunct/>
              <w:autoSpaceDE/>
              <w:autoSpaceDN/>
              <w:adjustRightInd/>
              <w:spacing w:after="0"/>
              <w:jc w:val="left"/>
              <w:textAlignment w:val="auto"/>
              <w:rPr>
                <w:sz w:val="16"/>
                <w:szCs w:val="16"/>
              </w:rPr>
            </w:pPr>
            <w:hyperlink r:id="rId37" w:history="1">
              <w:r w:rsidR="00741861">
                <w:rPr>
                  <w:rStyle w:val="af1"/>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C306E2" w:rsidP="00741861">
            <w:pPr>
              <w:overflowPunct/>
              <w:autoSpaceDE/>
              <w:autoSpaceDN/>
              <w:adjustRightInd/>
              <w:spacing w:after="0"/>
              <w:jc w:val="left"/>
              <w:textAlignment w:val="auto"/>
              <w:rPr>
                <w:sz w:val="16"/>
                <w:szCs w:val="16"/>
              </w:rPr>
            </w:pPr>
            <w:hyperlink r:id="rId38" w:history="1">
              <w:r w:rsidR="00741861">
                <w:rPr>
                  <w:rStyle w:val="af1"/>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C306E2" w:rsidP="00741861">
            <w:pPr>
              <w:overflowPunct/>
              <w:autoSpaceDE/>
              <w:autoSpaceDN/>
              <w:adjustRightInd/>
              <w:spacing w:after="0"/>
              <w:jc w:val="left"/>
              <w:textAlignment w:val="auto"/>
              <w:rPr>
                <w:sz w:val="16"/>
                <w:szCs w:val="16"/>
              </w:rPr>
            </w:pPr>
            <w:hyperlink r:id="rId39" w:history="1">
              <w:r w:rsidR="00741861">
                <w:rPr>
                  <w:rStyle w:val="af1"/>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1"/>
      </w:pPr>
      <w:r>
        <w:lastRenderedPageBreak/>
        <w:t xml:space="preserve">Appendix B (WI objectives from WID in </w:t>
      </w:r>
      <w:bookmarkStart w:id="2" w:name="_Ref68618355"/>
      <w:bookmarkStart w:id="3"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af1"/>
          <w:rFonts w:ascii="Times New Roman" w:hAnsi="Times New Roman" w:cs="Times New Roman"/>
        </w:rPr>
        <w:t>RP-24</w:t>
      </w:r>
      <w:bookmarkEnd w:id="2"/>
      <w:bookmarkEnd w:id="3"/>
      <w:r w:rsidR="00025397">
        <w:rPr>
          <w:rStyle w:val="af1"/>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1"/>
      </w:pPr>
      <w:r>
        <w:lastRenderedPageBreak/>
        <w:t xml:space="preserve">List of RAN1 agreements </w:t>
      </w:r>
    </w:p>
    <w:p w14:paraId="69C543B7" w14:textId="77777777" w:rsidR="009577FF" w:rsidRDefault="00863C37">
      <w:pPr>
        <w:pStyle w:val="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2"/>
      </w:pPr>
      <w:bookmarkStart w:id="4" w:name="_Toc164440680"/>
      <w:r>
        <w:t>RAN1#116bis</w:t>
      </w:r>
      <w:bookmarkEnd w:id="4"/>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5" w:name="_Hlk167400793"/>
      <w:r w:rsidRPr="005077F2">
        <w:rPr>
          <w:rFonts w:ascii="Times New Roman" w:eastAsia="Batang" w:hAnsi="Times New Roman"/>
          <w:szCs w:val="24"/>
          <w:lang w:val="fr-FR"/>
        </w:rPr>
        <w:t>Rel-19 NES-capable UE in idle/inactive mode</w:t>
      </w:r>
    </w:p>
    <w:bookmarkEnd w:id="5"/>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w:t>
      </w:r>
      <w:proofErr w:type="spellStart"/>
      <w:r>
        <w:rPr>
          <w:rFonts w:ascii="Times" w:eastAsia="PMingLiU" w:hAnsi="Times"/>
          <w:szCs w:val="24"/>
          <w:lang w:eastAsia="zh-TW"/>
        </w:rPr>
        <w:t>etc</w:t>
      </w:r>
      <w:proofErr w:type="spellEnd"/>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6"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6"/>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Opt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FwIAACwEAAAOAAAAZHJzL2Uyb0RvYy54bWysU9uO0zAQfUfiHyy/06SlLbtR09XSpQhp&#10;uUgLH+A4TmPheMzYbbJ8PWOn7VYLvCD8YI094zMzZ45XN0Nn2EGh12BLPp3knCkrodZ2V/JvX7ev&#10;rjjzQdhaGLCq5I/K85v1yxer3hVqBi2YWiEjEOuL3pW8DcEVWeZlqzrhJ+CUJWcD2IlAR9xlNYqe&#10;0DuTzfJ8mfWAtUOQynu6vRudfJ3wm0bJ8LlpvArMlJxqC2nHtFdxz9YrUexQuFbLYxniH6rohLaU&#10;9Ax1J4Jge9S/QXVaInhowkRCl0HTaKlSD9TNNH/WzUMrnEq9EDnenWny/w9Wfjo8uC/IwvAWBhpg&#10;asK7e5DfPbOwaYXdqVtE6Fslako8jZRlvfPF8Wmk2hc+glT9R6hpyGIfIAENDXaRFeqTEToN4PFM&#10;uhoCk3S5nL5e5vmCM0m+6TyfL2dpLJkoTs8d+vBeQceiUXKkqSZ4cbj3IZYjilNIzObB6HqrjUkH&#10;3FUbg+wgSAHbtFIHz8KMZX3JrxezxcjAXyHytP4E0elAUja6K/nVOUgUkbd3tk5CC0Kb0aaSjT0S&#10;GbkbWQxDNVBgJLSC+pEoRRglS1+MjBbwJ2c9ybXk/sdeoOLMfLA0luvpfB71nQ7zxRvikOGlp7r0&#10;CCsJquSBs9HchPFP7B3qXUuZTkK4pVFudSL5qapj3STJxP3x+0TNX55T1NMnX/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BcuzD8XAgAALAQAAA4AAAAAAAAAAAAAAAAALgIAAGRycy9lMm9Eb2MueG1sUEsBAi0AFAAGAAgA&#10;AAAhABqGl43cAAAABQEAAA8AAAAAAAAAAAAAAAAAcQQAAGRycy9kb3ducmV2LnhtbFBLBQYAAAAA&#10;BAAEAPMAAAB6BQ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w:t>
      </w:r>
      <w:proofErr w:type="spellStart"/>
      <w:r w:rsidRPr="007927E9">
        <w:rPr>
          <w:rFonts w:ascii="Times New Roman" w:eastAsia="Batang" w:hAnsi="Times New Roman"/>
          <w:szCs w:val="24"/>
          <w:lang w:eastAsia="en-US"/>
        </w:rPr>
        <w:t>PCell</w:t>
      </w:r>
      <w:proofErr w:type="spellEnd"/>
      <w:r w:rsidRPr="007927E9">
        <w:rPr>
          <w:rFonts w:ascii="Times New Roman" w:eastAsia="Batang" w:hAnsi="Times New Roman"/>
          <w:szCs w:val="24"/>
          <w:lang w:eastAsia="en-US"/>
        </w:rPr>
        <w:t xml:space="preserve">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Rel-19 NES-capable UE’s </w:t>
      </w:r>
      <w:proofErr w:type="spellStart"/>
      <w:r w:rsidRPr="007927E9">
        <w:rPr>
          <w:rFonts w:ascii="Times New Roman" w:eastAsia="Batang" w:hAnsi="Times New Roman"/>
          <w:szCs w:val="24"/>
          <w:lang w:eastAsia="x-none"/>
        </w:rPr>
        <w:t>SCell</w:t>
      </w:r>
      <w:proofErr w:type="spellEnd"/>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Adaptation of SSB configured for the </w:t>
      </w:r>
      <w:proofErr w:type="spellStart"/>
      <w:r w:rsidRPr="007927E9">
        <w:rPr>
          <w:rFonts w:ascii="Times New Roman" w:eastAsia="Batang" w:hAnsi="Times New Roman"/>
          <w:szCs w:val="24"/>
          <w:lang w:eastAsia="en-US"/>
        </w:rPr>
        <w:t>SCell</w:t>
      </w:r>
      <w:proofErr w:type="spellEnd"/>
      <w:r w:rsidRPr="007927E9">
        <w:rPr>
          <w:rFonts w:ascii="Times New Roman" w:eastAsia="Batang" w:hAnsi="Times New Roman"/>
          <w:szCs w:val="24"/>
          <w:lang w:eastAsia="en-US"/>
        </w:rPr>
        <w:t xml:space="preserve">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sidRPr="007927E9">
        <w:rPr>
          <w:rFonts w:ascii="Times New Roman" w:eastAsia="Batang" w:hAnsi="Times New Roman"/>
          <w:szCs w:val="24"/>
          <w:lang w:eastAsia="en-US"/>
        </w:rPr>
        <w:t>SCell</w:t>
      </w:r>
      <w:proofErr w:type="spellEnd"/>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39E3" w14:textId="77777777" w:rsidR="00C306E2" w:rsidRDefault="00C306E2">
      <w:pPr>
        <w:spacing w:after="0"/>
      </w:pPr>
      <w:r>
        <w:separator/>
      </w:r>
    </w:p>
  </w:endnote>
  <w:endnote w:type="continuationSeparator" w:id="0">
    <w:p w14:paraId="35C3EA1A" w14:textId="77777777" w:rsidR="00C306E2" w:rsidRDefault="00C30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69C544B3" w14:textId="1C5A1CC9" w:rsidR="00644DB0" w:rsidRDefault="00644DB0">
        <w:pPr>
          <w:pStyle w:val="ad"/>
        </w:pPr>
        <w:r>
          <w:fldChar w:fldCharType="begin"/>
        </w:r>
        <w:r>
          <w:instrText xml:space="preserve"> PAGE   \* MERGEFORMAT </w:instrText>
        </w:r>
        <w:r>
          <w:fldChar w:fldCharType="separate"/>
        </w:r>
        <w:r w:rsidR="00E97853">
          <w:rPr>
            <w:noProof/>
          </w:rPr>
          <w:t>16</w:t>
        </w:r>
        <w:r>
          <w:fldChar w:fldCharType="end"/>
        </w:r>
      </w:p>
    </w:sdtContent>
  </w:sdt>
  <w:p w14:paraId="69C544B4" w14:textId="77777777" w:rsidR="00644DB0" w:rsidRDefault="00644DB0">
    <w:pPr>
      <w:pStyle w:val="ad"/>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83EC" w14:textId="77777777" w:rsidR="00C306E2" w:rsidRDefault="00C306E2">
      <w:pPr>
        <w:spacing w:after="0"/>
      </w:pPr>
      <w:r>
        <w:separator/>
      </w:r>
    </w:p>
  </w:footnote>
  <w:footnote w:type="continuationSeparator" w:id="0">
    <w:p w14:paraId="1D1D53CE" w14:textId="77777777" w:rsidR="00C306E2" w:rsidRDefault="00C306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9"/>
  </w:num>
  <w:num w:numId="4">
    <w:abstractNumId w:val="7"/>
  </w:num>
  <w:num w:numId="5">
    <w:abstractNumId w:val="6"/>
  </w:num>
  <w:num w:numId="6">
    <w:abstractNumId w:val="24"/>
  </w:num>
  <w:num w:numId="7">
    <w:abstractNumId w:val="20"/>
  </w:num>
  <w:num w:numId="8">
    <w:abstractNumId w:val="17"/>
  </w:num>
  <w:num w:numId="9">
    <w:abstractNumId w:val="30"/>
  </w:num>
  <w:num w:numId="10">
    <w:abstractNumId w:val="11"/>
  </w:num>
  <w:num w:numId="11">
    <w:abstractNumId w:val="3"/>
  </w:num>
  <w:num w:numId="12">
    <w:abstractNumId w:val="18"/>
  </w:num>
  <w:num w:numId="13">
    <w:abstractNumId w:val="27"/>
  </w:num>
  <w:num w:numId="14">
    <w:abstractNumId w:val="13"/>
  </w:num>
  <w:num w:numId="15">
    <w:abstractNumId w:val="14"/>
  </w:num>
  <w:num w:numId="16">
    <w:abstractNumId w:val="21"/>
  </w:num>
  <w:num w:numId="17">
    <w:abstractNumId w:val="26"/>
  </w:num>
  <w:num w:numId="18">
    <w:abstractNumId w:val="1"/>
  </w:num>
  <w:num w:numId="19">
    <w:abstractNumId w:val="1"/>
  </w:num>
  <w:num w:numId="20">
    <w:abstractNumId w:val="9"/>
  </w:num>
  <w:num w:numId="21">
    <w:abstractNumId w:val="5"/>
  </w:num>
  <w:num w:numId="22">
    <w:abstractNumId w:val="12"/>
  </w:num>
  <w:num w:numId="23">
    <w:abstractNumId w:val="10"/>
  </w:num>
  <w:num w:numId="24">
    <w:abstractNumId w:val="15"/>
  </w:num>
  <w:num w:numId="25">
    <w:abstractNumId w:val="1"/>
  </w:num>
  <w:num w:numId="26">
    <w:abstractNumId w:val="1"/>
  </w:num>
  <w:num w:numId="27">
    <w:abstractNumId w:val="31"/>
  </w:num>
  <w:num w:numId="28">
    <w:abstractNumId w:val="22"/>
  </w:num>
  <w:num w:numId="29">
    <w:abstractNumId w:val="19"/>
  </w:num>
  <w:num w:numId="30">
    <w:abstractNumId w:val="16"/>
  </w:num>
  <w:num w:numId="31">
    <w:abstractNumId w:val="23"/>
  </w:num>
  <w:num w:numId="32">
    <w:abstractNumId w:val="28"/>
  </w:num>
  <w:num w:numId="33">
    <w:abstractNumId w:val="4"/>
  </w:num>
  <w:num w:numId="34">
    <w:abstractNumId w:val="25"/>
  </w:num>
  <w:num w:numId="35">
    <w:abstractNumId w:val="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3FEF"/>
    <w:rsid w:val="00724B4D"/>
    <w:rsid w:val="00725E19"/>
    <w:rsid w:val="00727129"/>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39F4"/>
    <w:rsid w:val="007C456E"/>
    <w:rsid w:val="007D555A"/>
    <w:rsid w:val="007D5729"/>
    <w:rsid w:val="007D58DB"/>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2F8D"/>
    <w:rsid w:val="008432CD"/>
    <w:rsid w:val="00843328"/>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502C"/>
    <w:rsid w:val="00AF5529"/>
    <w:rsid w:val="00AF7F3A"/>
    <w:rsid w:val="00B003E6"/>
    <w:rsid w:val="00B0190B"/>
    <w:rsid w:val="00B01F83"/>
    <w:rsid w:val="00B0326E"/>
    <w:rsid w:val="00B04204"/>
    <w:rsid w:val="00B04AEB"/>
    <w:rsid w:val="00B21626"/>
    <w:rsid w:val="00B218B3"/>
    <w:rsid w:val="00B22272"/>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1A0F"/>
    <w:rsid w:val="00B81C00"/>
    <w:rsid w:val="00B84DCF"/>
    <w:rsid w:val="00B86B05"/>
    <w:rsid w:val="00B900F7"/>
    <w:rsid w:val="00B928E2"/>
    <w:rsid w:val="00B92F3F"/>
    <w:rsid w:val="00B930C9"/>
    <w:rsid w:val="00B9462E"/>
    <w:rsid w:val="00BA3CC7"/>
    <w:rsid w:val="00BA418B"/>
    <w:rsid w:val="00BA4521"/>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E0BA6"/>
    <w:rsid w:val="00CE275D"/>
    <w:rsid w:val="00CE7281"/>
    <w:rsid w:val="00CE7D19"/>
    <w:rsid w:val="00CF03CB"/>
    <w:rsid w:val="00CF0A77"/>
    <w:rsid w:val="00CF10DA"/>
    <w:rsid w:val="00CF2539"/>
    <w:rsid w:val="00CF3A0E"/>
    <w:rsid w:val="00CF3A27"/>
    <w:rsid w:val="00CF4CA4"/>
    <w:rsid w:val="00CF5660"/>
    <w:rsid w:val="00CF5D62"/>
    <w:rsid w:val="00D01FFF"/>
    <w:rsid w:val="00D02882"/>
    <w:rsid w:val="00D10983"/>
    <w:rsid w:val="00D1196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pPr>
    <w:rPr>
      <w:rFonts w:ascii="宋体" w:eastAsia="宋体"/>
      <w:sz w:val="18"/>
      <w:szCs w:val="18"/>
    </w:rPr>
  </w:style>
  <w:style w:type="paragraph" w:styleId="a5">
    <w:name w:val="Body Text"/>
    <w:basedOn w:val="a"/>
    <w:link w:val="a6"/>
    <w:qFormat/>
  </w:style>
  <w:style w:type="character" w:styleId="a7">
    <w:name w:val="annotation reference"/>
    <w:basedOn w:val="a0"/>
    <w:uiPriority w:val="99"/>
    <w:unhideWhenUsed/>
    <w:qFormat/>
    <w:rPr>
      <w:sz w:val="16"/>
      <w:szCs w:val="16"/>
    </w:rPr>
  </w:style>
  <w:style w:type="paragraph" w:styleId="a8">
    <w:name w:val="annotation text"/>
    <w:basedOn w:val="a"/>
    <w:link w:val="a9"/>
    <w:uiPriority w:val="99"/>
    <w:unhideWhenUsed/>
    <w:qFormat/>
  </w:style>
  <w:style w:type="paragraph" w:styleId="aa">
    <w:name w:val="annotation subject"/>
    <w:basedOn w:val="a8"/>
    <w:next w:val="a8"/>
    <w:link w:val="ab"/>
    <w:uiPriority w:val="99"/>
    <w:unhideWhenUsed/>
    <w:qFormat/>
    <w:rPr>
      <w:b/>
      <w:bCs/>
    </w:r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e"/>
    <w:link w:val="af"/>
    <w:uiPriority w:val="99"/>
    <w:qFormat/>
    <w:pPr>
      <w:widowControl w:val="0"/>
      <w:jc w:val="center"/>
    </w:pPr>
    <w:rPr>
      <w:rFonts w:cs="Arial"/>
      <w:b/>
      <w:bCs/>
      <w:i/>
      <w:iCs/>
      <w:sz w:val="18"/>
      <w:szCs w:val="18"/>
      <w:lang w:val="en-US"/>
    </w:rPr>
  </w:style>
  <w:style w:type="paragraph" w:styleId="ae">
    <w:name w:val="header"/>
    <w:basedOn w:val="a"/>
    <w:link w:val="af0"/>
    <w:uiPriority w:val="99"/>
    <w:unhideWhenUsed/>
    <w:qFormat/>
    <w:pPr>
      <w:tabs>
        <w:tab w:val="center" w:pos="4680"/>
        <w:tab w:val="right" w:pos="9360"/>
      </w:tabs>
      <w:spacing w:after="0"/>
    </w:pPr>
  </w:style>
  <w:style w:type="character" w:styleId="af1">
    <w:name w:val="Hyperlink"/>
    <w:uiPriority w:val="99"/>
    <w:qFormat/>
    <w:rPr>
      <w:color w:val="0000FF"/>
      <w:u w:val="single"/>
      <w:lang w:val="en-GB"/>
    </w:rPr>
  </w:style>
  <w:style w:type="paragraph" w:styleId="af2">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af3">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f">
    <w:name w:val="页脚 字符"/>
    <w:basedOn w:val="a0"/>
    <w:link w:val="ad"/>
    <w:uiPriority w:val="99"/>
    <w:qFormat/>
    <w:rPr>
      <w:rFonts w:ascii="Arial" w:eastAsia="Times New Roman" w:hAnsi="Arial" w:cs="Arial"/>
      <w:b/>
      <w:bCs/>
      <w:i/>
      <w:iCs/>
      <w:sz w:val="18"/>
      <w:szCs w:val="18"/>
      <w:lang w:eastAsia="zh-CN"/>
    </w:rPr>
  </w:style>
  <w:style w:type="character" w:customStyle="1" w:styleId="a6">
    <w:name w:val="正文文本 字符"/>
    <w:basedOn w:val="a0"/>
    <w:link w:val="a5"/>
    <w:qFormat/>
    <w:rPr>
      <w:rFonts w:ascii="Arial" w:eastAsia="Times New Roman" w:hAnsi="Arial" w:cs="Times New Roman"/>
      <w:sz w:val="20"/>
      <w:szCs w:val="20"/>
      <w:lang w:val="en-GB" w:eastAsia="zh-CN"/>
    </w:rPr>
  </w:style>
  <w:style w:type="paragraph" w:customStyle="1" w:styleId="11">
    <w:name w:val="목록 단락1"/>
    <w:basedOn w:val="a"/>
    <w:link w:val="af4"/>
    <w:uiPriority w:val="34"/>
    <w:qFormat/>
    <w:pPr>
      <w:ind w:left="720"/>
      <w:contextualSpacing/>
    </w:pPr>
  </w:style>
  <w:style w:type="character" w:customStyle="1" w:styleId="af4">
    <w:name w:val="清單段落 字元"/>
    <w:link w:val="11"/>
    <w:uiPriority w:val="34"/>
    <w:qFormat/>
    <w:locked/>
    <w:rPr>
      <w:rFonts w:ascii="Arial" w:eastAsia="Times New Roman" w:hAnsi="Arial" w:cs="Times New Roman"/>
      <w:sz w:val="20"/>
      <w:szCs w:val="20"/>
      <w:lang w:val="en-GB" w:eastAsia="zh-CN"/>
    </w:rPr>
  </w:style>
  <w:style w:type="character" w:customStyle="1" w:styleId="af0">
    <w:name w:val="页眉 字符"/>
    <w:basedOn w:val="a0"/>
    <w:link w:val="ae"/>
    <w:uiPriority w:val="99"/>
    <w:qFormat/>
    <w:rPr>
      <w:rFonts w:ascii="Arial" w:eastAsia="Times New Roman" w:hAnsi="Arial" w:cs="Times New Roman"/>
      <w:sz w:val="20"/>
      <w:szCs w:val="20"/>
      <w:lang w:val="en-GB" w:eastAsia="zh-CN"/>
    </w:rPr>
  </w:style>
  <w:style w:type="paragraph" w:customStyle="1" w:styleId="12">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a9">
    <w:name w:val="批注文字 字符"/>
    <w:basedOn w:val="a0"/>
    <w:link w:val="a8"/>
    <w:uiPriority w:val="99"/>
    <w:qFormat/>
    <w:rPr>
      <w:rFonts w:ascii="Arial" w:eastAsia="Times New Roman" w:hAnsi="Arial" w:cs="Times New Roman"/>
      <w:sz w:val="20"/>
      <w:szCs w:val="20"/>
      <w:lang w:val="en-GB" w:eastAsia="zh-CN"/>
    </w:rPr>
  </w:style>
  <w:style w:type="character" w:customStyle="1" w:styleId="ab">
    <w:name w:val="批注主题 字符"/>
    <w:basedOn w:val="a9"/>
    <w:link w:val="aa"/>
    <w:uiPriority w:val="99"/>
    <w:semiHidden/>
    <w:qFormat/>
    <w:rPr>
      <w:rFonts w:ascii="Arial" w:eastAsia="Times New Roman" w:hAnsi="Arial" w:cs="Times New Roman"/>
      <w:b/>
      <w:bCs/>
      <w:sz w:val="20"/>
      <w:szCs w:val="20"/>
      <w:lang w:val="en-GB" w:eastAsia="zh-CN"/>
    </w:rPr>
  </w:style>
  <w:style w:type="character" w:customStyle="1" w:styleId="a4">
    <w:name w:val="批注框文本 字符"/>
    <w:basedOn w:val="a0"/>
    <w:link w:val="a3"/>
    <w:uiPriority w:val="99"/>
    <w:semiHidden/>
    <w:qFormat/>
    <w:rPr>
      <w:rFonts w:ascii="宋体" w:eastAsia="宋体" w:hAnsi="Arial" w:cs="Times New Roman"/>
      <w:sz w:val="18"/>
      <w:szCs w:val="18"/>
      <w:lang w:val="en-GB" w:eastAsia="zh-CN"/>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f6"/>
    <w:uiPriority w:val="34"/>
    <w:qFormat/>
    <w:pPr>
      <w:ind w:left="720"/>
      <w:contextualSpacing/>
    </w:pPr>
  </w:style>
  <w:style w:type="character" w:customStyle="1" w:styleId="af6">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Arial" w:eastAsia="Times New Roman" w:hAnsi="Arial" w:cs="Times New Roman"/>
      <w:lang w:val="en-GB" w:eastAsia="zh-CN"/>
    </w:rPr>
  </w:style>
  <w:style w:type="paragraph" w:customStyle="1" w:styleId="13">
    <w:name w:val="修订1"/>
    <w:hidden/>
    <w:uiPriority w:val="99"/>
    <w:unhideWhenUsed/>
    <w:qFormat/>
    <w:rPr>
      <w:rFonts w:ascii="Arial" w:eastAsia="Times New Roman" w:hAnsi="Arial" w:cs="Times New Roman"/>
      <w:lang w:val="en-GB"/>
    </w:rPr>
  </w:style>
  <w:style w:type="paragraph" w:customStyle="1" w:styleId="21">
    <w:name w:val="修订2"/>
    <w:hidden/>
    <w:uiPriority w:val="99"/>
    <w:semiHidden/>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28</TotalTime>
  <Pages>16</Pages>
  <Words>6062</Words>
  <Characters>34558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Minghan Jiao (CMCC)</cp:lastModifiedBy>
  <cp:revision>32</cp:revision>
  <dcterms:created xsi:type="dcterms:W3CDTF">2024-10-14T13:29:00Z</dcterms:created>
  <dcterms:modified xsi:type="dcterms:W3CDTF">2024-10-14T15:35:00Z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