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Hefei, China, October 14</w:t>
      </w:r>
      <w:r>
        <w:rPr>
          <w:rFonts w:ascii="Arial" w:eastAsia="ＭＳ 明朝" w:hAnsi="Arial" w:cs="Arial" w:hint="eastAsia"/>
          <w:b/>
          <w:bCs/>
          <w:sz w:val="28"/>
          <w:vertAlign w:val="superscript"/>
          <w:lang w:eastAsia="ja-JP"/>
        </w:rPr>
        <w:t>th</w:t>
      </w:r>
      <w:r>
        <w:rPr>
          <w:rFonts w:ascii="Arial" w:eastAsia="ＭＳ 明朝" w:hAnsi="Arial" w:cs="Arial"/>
          <w:b/>
          <w:bCs/>
          <w:sz w:val="28"/>
          <w:lang w:eastAsia="ja-JP"/>
        </w:rPr>
        <w:t xml:space="preserve"> – 18</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f1"/>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f1"/>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1"/>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f1"/>
              <w:numPr>
                <w:ilvl w:val="0"/>
                <w:numId w:val="30"/>
              </w:numPr>
              <w:ind w:leftChars="0"/>
              <w:jc w:val="both"/>
              <w:rPr>
                <w:lang w:eastAsia="ko-KR"/>
              </w:rPr>
            </w:pPr>
            <w:r>
              <w:rPr>
                <w:lang w:eastAsia="ko-KR"/>
              </w:rPr>
              <w:t>Scenario #3A and Case #1</w:t>
            </w:r>
          </w:p>
          <w:p w14:paraId="6D45B806" w14:textId="77777777" w:rsidR="00CF5F16" w:rsidRDefault="00493DFD">
            <w:pPr>
              <w:pStyle w:val="afff1"/>
              <w:numPr>
                <w:ilvl w:val="0"/>
                <w:numId w:val="30"/>
              </w:numPr>
              <w:ind w:leftChars="0"/>
              <w:jc w:val="both"/>
              <w:rPr>
                <w:lang w:eastAsia="ko-KR"/>
              </w:rPr>
            </w:pPr>
            <w:r>
              <w:rPr>
                <w:lang w:val="en-US" w:eastAsia="ko-KR"/>
              </w:rPr>
              <w:t>Scenario #3A and Case #2</w:t>
            </w:r>
          </w:p>
          <w:p w14:paraId="26B1A728" w14:textId="77777777" w:rsidR="00CF5F16" w:rsidRDefault="00493DFD">
            <w:pPr>
              <w:pStyle w:val="afff1"/>
              <w:numPr>
                <w:ilvl w:val="0"/>
                <w:numId w:val="30"/>
              </w:numPr>
              <w:ind w:leftChars="0"/>
              <w:jc w:val="both"/>
              <w:rPr>
                <w:lang w:eastAsia="ko-KR"/>
              </w:rPr>
            </w:pPr>
            <w:r>
              <w:rPr>
                <w:lang w:val="en-US" w:eastAsia="ko-KR"/>
              </w:rPr>
              <w:t>Scenario #3B and Case #1</w:t>
            </w:r>
          </w:p>
          <w:p w14:paraId="08666F71" w14:textId="77777777" w:rsidR="00CF5F16" w:rsidRDefault="00493DFD">
            <w:pPr>
              <w:pStyle w:val="afff1"/>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f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f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f1"/>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1"/>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f1"/>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f1"/>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1"/>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1"/>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f1"/>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f1"/>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f1"/>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1"/>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1"/>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1"/>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f1"/>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f1"/>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f1"/>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1"/>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f1"/>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f1"/>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1"/>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1"/>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1"/>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1"/>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1"/>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1"/>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1"/>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1"/>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lastRenderedPageBreak/>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f1"/>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f1"/>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1"/>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1"/>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f1"/>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f1"/>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1"/>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1"/>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1"/>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f1"/>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f1"/>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f1"/>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lastRenderedPageBreak/>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1"/>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f1"/>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1"/>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f1"/>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lastRenderedPageBreak/>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f1"/>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f1"/>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ＭＳ 明朝" w:hint="eastAsia"/>
                <w:lang w:eastAsia="ja-JP"/>
              </w:rPr>
            </w:pPr>
            <w:r>
              <w:rPr>
                <w:rFonts w:eastAsia="ＭＳ 明朝"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ＭＳ 明朝" w:hint="eastAsia"/>
                <w:iCs/>
                <w:lang w:val="en-US" w:eastAsia="ja-JP"/>
              </w:rPr>
            </w:pPr>
            <w:r>
              <w:rPr>
                <w:rFonts w:eastAsia="ＭＳ 明朝" w:hint="eastAsia"/>
                <w:iCs/>
                <w:lang w:val="en-US" w:eastAsia="ja-JP"/>
              </w:rPr>
              <w:t>Support</w:t>
            </w:r>
          </w:p>
        </w:tc>
      </w:tr>
    </w:tbl>
    <w:p w14:paraId="2CFBE2CE" w14:textId="77777777" w:rsidR="00CF5F16" w:rsidRDefault="00CF5F16">
      <w:pPr>
        <w:ind w:firstLineChars="100" w:firstLine="200"/>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ＭＳ 明朝" w:hint="eastAsia"/>
                <w:lang w:eastAsia="ja-JP"/>
              </w:rPr>
            </w:pPr>
            <w:r>
              <w:rPr>
                <w:rFonts w:eastAsia="ＭＳ 明朝"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ＭＳ 明朝" w:hint="eastAsia"/>
                <w:iCs/>
                <w:lang w:val="en-US" w:eastAsia="ja-JP"/>
              </w:rPr>
            </w:pPr>
            <w:r>
              <w:rPr>
                <w:rFonts w:eastAsia="ＭＳ 明朝" w:hint="eastAsia"/>
                <w:iCs/>
                <w:lang w:val="en-US" w:eastAsia="ja-JP"/>
              </w:rPr>
              <w:t>Support</w:t>
            </w:r>
          </w:p>
        </w:tc>
      </w:tr>
    </w:tbl>
    <w:p w14:paraId="544195C8" w14:textId="77777777" w:rsidR="00CF5F16" w:rsidRDefault="00CF5F16">
      <w:pPr>
        <w:ind w:firstLineChars="100" w:firstLine="200"/>
        <w:jc w:val="both"/>
        <w:rPr>
          <w:b/>
          <w:lang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1"/>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f1"/>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f1"/>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f1"/>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1"/>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1"/>
              <w:numPr>
                <w:ilvl w:val="0"/>
                <w:numId w:val="30"/>
              </w:numPr>
              <w:ind w:leftChars="0"/>
              <w:jc w:val="both"/>
              <w:rPr>
                <w:lang w:eastAsia="ko-KR"/>
              </w:rPr>
            </w:pPr>
            <w:r>
              <w:rPr>
                <w:lang w:eastAsia="ko-KR"/>
              </w:rPr>
              <w:t>Index on-demand SSB config</w:t>
            </w:r>
          </w:p>
          <w:p w14:paraId="732D4CA9" w14:textId="77777777" w:rsidR="00CF5F16" w:rsidRDefault="00493DFD">
            <w:pPr>
              <w:pStyle w:val="afff1"/>
              <w:numPr>
                <w:ilvl w:val="0"/>
                <w:numId w:val="30"/>
              </w:numPr>
              <w:ind w:leftChars="0"/>
              <w:jc w:val="both"/>
              <w:rPr>
                <w:lang w:eastAsia="ko-KR"/>
              </w:rPr>
            </w:pPr>
            <w:r>
              <w:rPr>
                <w:lang w:eastAsia="ko-KR"/>
              </w:rPr>
              <w:t>Frequency of the on-demand SSB</w:t>
            </w:r>
          </w:p>
          <w:p w14:paraId="2BE2EDF3" w14:textId="77777777" w:rsidR="00CF5F16" w:rsidRDefault="00493DFD">
            <w:pPr>
              <w:pStyle w:val="afff1"/>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f1"/>
              <w:numPr>
                <w:ilvl w:val="0"/>
                <w:numId w:val="30"/>
              </w:numPr>
              <w:ind w:leftChars="0"/>
              <w:jc w:val="both"/>
              <w:rPr>
                <w:lang w:eastAsia="ko-KR"/>
              </w:rPr>
            </w:pPr>
            <w:r>
              <w:rPr>
                <w:lang w:eastAsia="ko-KR"/>
              </w:rPr>
              <w:t>Periodicity of the on-demand SSB</w:t>
            </w:r>
          </w:p>
          <w:p w14:paraId="1C036748" w14:textId="77777777" w:rsidR="00CF5F16" w:rsidRDefault="00493DFD">
            <w:pPr>
              <w:pStyle w:val="afff1"/>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1"/>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1"/>
              <w:numPr>
                <w:ilvl w:val="0"/>
                <w:numId w:val="30"/>
              </w:numPr>
              <w:ind w:leftChars="0"/>
              <w:jc w:val="both"/>
              <w:rPr>
                <w:lang w:eastAsia="ko-KR"/>
              </w:rPr>
            </w:pPr>
            <w:r>
              <w:rPr>
                <w:lang w:eastAsia="ko-KR"/>
              </w:rPr>
              <w:t>Location of on-demand SSB burst</w:t>
            </w:r>
          </w:p>
          <w:p w14:paraId="273D3914" w14:textId="77777777" w:rsidR="00CF5F16" w:rsidRDefault="00493DFD">
            <w:pPr>
              <w:pStyle w:val="afff1"/>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lastRenderedPageBreak/>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1"/>
              <w:numPr>
                <w:ilvl w:val="0"/>
                <w:numId w:val="30"/>
              </w:numPr>
              <w:ind w:leftChars="0"/>
              <w:jc w:val="both"/>
              <w:rPr>
                <w:lang w:eastAsia="ko-KR"/>
              </w:rPr>
            </w:pPr>
            <w:r>
              <w:rPr>
                <w:lang w:eastAsia="ko-KR"/>
              </w:rPr>
              <w:t>SSB position in burst</w:t>
            </w:r>
          </w:p>
          <w:p w14:paraId="7B239E0D" w14:textId="77777777" w:rsidR="00CF5F16" w:rsidRDefault="00493DFD">
            <w:pPr>
              <w:pStyle w:val="afff1"/>
              <w:numPr>
                <w:ilvl w:val="0"/>
                <w:numId w:val="30"/>
              </w:numPr>
              <w:ind w:leftChars="0"/>
              <w:jc w:val="both"/>
              <w:rPr>
                <w:lang w:eastAsia="ko-KR"/>
              </w:rPr>
            </w:pPr>
            <w:r>
              <w:rPr>
                <w:lang w:eastAsia="ko-KR"/>
              </w:rPr>
              <w:t>Sub carrier spacing of the SSB</w:t>
            </w:r>
          </w:p>
          <w:p w14:paraId="2073497E" w14:textId="77777777" w:rsidR="00CF5F16" w:rsidRDefault="00493DFD">
            <w:pPr>
              <w:pStyle w:val="afff1"/>
              <w:numPr>
                <w:ilvl w:val="0"/>
                <w:numId w:val="30"/>
              </w:numPr>
              <w:ind w:leftChars="0"/>
              <w:jc w:val="both"/>
              <w:rPr>
                <w:lang w:eastAsia="ko-KR"/>
              </w:rPr>
            </w:pPr>
            <w:r>
              <w:rPr>
                <w:lang w:eastAsia="ko-KR"/>
              </w:rPr>
              <w:t>Physical CELL ID</w:t>
            </w:r>
          </w:p>
          <w:p w14:paraId="01D7287D" w14:textId="77777777" w:rsidR="00CF5F16" w:rsidRDefault="00493DFD">
            <w:pPr>
              <w:pStyle w:val="afff1"/>
              <w:numPr>
                <w:ilvl w:val="0"/>
                <w:numId w:val="30"/>
              </w:numPr>
              <w:ind w:leftChars="0"/>
              <w:jc w:val="both"/>
              <w:rPr>
                <w:lang w:eastAsia="ko-KR"/>
              </w:rPr>
            </w:pPr>
            <w:r>
              <w:rPr>
                <w:lang w:eastAsia="ko-KR"/>
              </w:rPr>
              <w:t>DL SSB transmit power</w:t>
            </w:r>
          </w:p>
          <w:p w14:paraId="3639025A" w14:textId="77777777" w:rsidR="00CF5F16" w:rsidRDefault="00493DFD">
            <w:pPr>
              <w:pStyle w:val="afff1"/>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f1"/>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f1"/>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1"/>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1"/>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1"/>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1"/>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1"/>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f1"/>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1"/>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f1"/>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f1"/>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f1"/>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1"/>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f1"/>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1"/>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1"/>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1"/>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1"/>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1"/>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1"/>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1"/>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1"/>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1"/>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1"/>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1"/>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1"/>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1"/>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1"/>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1"/>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1"/>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1"/>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1"/>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1"/>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1"/>
              <w:numPr>
                <w:ilvl w:val="0"/>
                <w:numId w:val="30"/>
              </w:numPr>
              <w:tabs>
                <w:tab w:val="left" w:pos="1272"/>
              </w:tabs>
              <w:ind w:leftChars="0"/>
              <w:jc w:val="both"/>
              <w:rPr>
                <w:lang w:val="en-US" w:eastAsia="ko-KR"/>
              </w:rPr>
            </w:pPr>
            <w:r>
              <w:rPr>
                <w:lang w:val="en-US" w:eastAsia="ko-KR"/>
              </w:rPr>
              <w:lastRenderedPageBreak/>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f1"/>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f1"/>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1"/>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lastRenderedPageBreak/>
              <w:t xml:space="preserve">Proposal 27: </w:t>
            </w:r>
            <w:r>
              <w:rPr>
                <w:lang w:eastAsia="ko-KR"/>
              </w:rPr>
              <w:t>For a cell supporting on-demand SSB SCell operation, gNB indicates the following to the UE:</w:t>
            </w:r>
          </w:p>
          <w:p w14:paraId="465E39A3" w14:textId="77777777" w:rsidR="00CF5F16" w:rsidRDefault="00493DFD">
            <w:pPr>
              <w:pStyle w:val="afff1"/>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1"/>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1"/>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1"/>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1"/>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1"/>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f1"/>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f1"/>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f1"/>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f1"/>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f1"/>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f1"/>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1"/>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f1"/>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1"/>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1"/>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1"/>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c"/>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1"/>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1"/>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1"/>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1"/>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f1"/>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1"/>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1"/>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1"/>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1"/>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1"/>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1"/>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f1"/>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1"/>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1"/>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1"/>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lastRenderedPageBreak/>
        <w:t>FFS if this can be absent</w:t>
      </w:r>
    </w:p>
    <w:p w14:paraId="7FC3D61D"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f1"/>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delay.</w:t>
            </w:r>
            <w:r>
              <w:rPr>
                <w:rFonts w:eastAsia="SimSun" w:hint="eastAsia"/>
                <w:iCs/>
                <w:lang w:val="en-US" w:eastAsia="zh-CN"/>
              </w:rPr>
              <w:t>.</w:t>
            </w:r>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ＭＳ 明朝" w:hint="eastAsia"/>
                <w:lang w:eastAsia="ja-JP"/>
              </w:rPr>
            </w:pPr>
            <w:r>
              <w:rPr>
                <w:rFonts w:eastAsia="ＭＳ 明朝"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hint="eastAsia"/>
                <w:iCs/>
                <w:lang w:val="en-US" w:eastAsia="zh-TW"/>
              </w:rPr>
            </w:pPr>
            <w:r>
              <w:rPr>
                <w:rFonts w:eastAsia="ＭＳ 明朝" w:hint="eastAsia"/>
                <w:iCs/>
                <w:lang w:val="en-US" w:eastAsia="ja-JP"/>
              </w:rPr>
              <w:t xml:space="preserve">The duration of on-demand SSB transmission window can also be included. Similar to proposal #4-2, both number N of on-demand SSB bursts to </w:t>
            </w:r>
            <w:r>
              <w:rPr>
                <w:rFonts w:eastAsia="ＭＳ 明朝"/>
                <w:iCs/>
                <w:lang w:val="en-US" w:eastAsia="ja-JP"/>
              </w:rPr>
              <w:t>be</w:t>
            </w:r>
            <w:r>
              <w:rPr>
                <w:rFonts w:eastAsia="ＭＳ 明朝" w:hint="eastAsia"/>
                <w:iCs/>
                <w:lang w:val="en-US" w:eastAsia="ja-JP"/>
              </w:rPr>
              <w:t xml:space="preserve"> transmitted and duration of on-demand transmission window can be put in square bracket.</w:t>
            </w:r>
          </w:p>
        </w:tc>
      </w:tr>
    </w:tbl>
    <w:p w14:paraId="02CFD15D" w14:textId="77777777" w:rsidR="00CF5F16" w:rsidRDefault="00CF5F16">
      <w:pPr>
        <w:ind w:firstLineChars="100" w:firstLine="200"/>
        <w:jc w:val="both"/>
        <w:rPr>
          <w:b/>
          <w:lang w:eastAsia="ko-KR"/>
        </w:rPr>
      </w:pPr>
    </w:p>
    <w:p w14:paraId="799F85EB"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lastRenderedPageBreak/>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ＭＳ 明朝" w:hint="eastAsia"/>
                <w:lang w:eastAsia="ja-JP"/>
              </w:rPr>
            </w:pPr>
            <w:r>
              <w:rPr>
                <w:rFonts w:eastAsia="ＭＳ 明朝"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ＭＳ 明朝" w:hint="eastAsia"/>
                <w:iCs/>
                <w:lang w:val="en-US" w:eastAsia="ja-JP"/>
              </w:rPr>
            </w:pPr>
            <w:r>
              <w:rPr>
                <w:rFonts w:eastAsia="ＭＳ 明朝" w:hint="eastAsia"/>
                <w:iCs/>
                <w:lang w:val="en-US" w:eastAsia="ja-JP"/>
              </w:rPr>
              <w:t>Support</w:t>
            </w:r>
          </w:p>
        </w:tc>
      </w:tr>
    </w:tbl>
    <w:p w14:paraId="24AF1A7A" w14:textId="77777777" w:rsidR="00CF5F16" w:rsidRDefault="00CF5F16">
      <w:pPr>
        <w:ind w:firstLineChars="100" w:firstLine="200"/>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1"/>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lastRenderedPageBreak/>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f1"/>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f1"/>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1"/>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1"/>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f1"/>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1"/>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1"/>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f1"/>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1"/>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1"/>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f1"/>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1"/>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f1"/>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f1"/>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1"/>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1"/>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f1"/>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1"/>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f1"/>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1"/>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1"/>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f1"/>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1"/>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1"/>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f1"/>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1"/>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f1"/>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1"/>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f1"/>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1"/>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f1"/>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1"/>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f1"/>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1"/>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f1"/>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f1"/>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f1"/>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f1"/>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f1"/>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lastRenderedPageBreak/>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1"/>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f1"/>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1"/>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f1"/>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f1"/>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f1"/>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f1"/>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lastRenderedPageBreak/>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1"/>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f1"/>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f1"/>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1"/>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f1"/>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hint="eastAsia"/>
                <w:lang w:eastAsia="zh-TW"/>
              </w:rPr>
            </w:pPr>
            <w:r>
              <w:rPr>
                <w:rFonts w:eastAsia="ＭＳ 明朝"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hint="eastAsia"/>
                <w:iCs/>
                <w:lang w:val="en-US" w:eastAsia="zh-TW"/>
              </w:rPr>
            </w:pPr>
            <w:r>
              <w:rPr>
                <w:rFonts w:eastAsia="ＭＳ 明朝" w:hint="eastAsia"/>
                <w:iCs/>
                <w:lang w:val="en-US" w:eastAsia="ja-JP"/>
              </w:rPr>
              <w:t xml:space="preserve">We are fine with the proposal except for the candidate SSB index part. </w:t>
            </w:r>
            <w:r>
              <w:rPr>
                <w:rFonts w:eastAsia="ＭＳ 明朝" w:hint="eastAsia"/>
                <w:iCs/>
                <w:lang w:val="en-US" w:eastAsia="ja-JP"/>
              </w:rPr>
              <w:t>We prefer that</w:t>
            </w:r>
            <w:r>
              <w:rPr>
                <w:rFonts w:eastAsia="ＭＳ 明朝" w:hint="eastAsia"/>
                <w:iCs/>
                <w:lang w:val="en-US" w:eastAsia="ja-JP"/>
              </w:rPr>
              <w:t xml:space="preserve"> time instance A is based on the actually transmitted SSB index</w:t>
            </w:r>
            <w:r>
              <w:rPr>
                <w:rFonts w:eastAsia="ＭＳ 明朝" w:hint="eastAsia"/>
                <w:iCs/>
                <w:lang w:val="en-US" w:eastAsia="ja-JP"/>
              </w:rPr>
              <w:t xml:space="preserve">. In </w:t>
            </w:r>
            <w:r w:rsidR="00526272">
              <w:rPr>
                <w:rFonts w:eastAsia="ＭＳ 明朝" w:hint="eastAsia"/>
                <w:iCs/>
                <w:lang w:val="en-US" w:eastAsia="ja-JP"/>
              </w:rPr>
              <w:t>this way,</w:t>
            </w:r>
            <w:r>
              <w:rPr>
                <w:rFonts w:eastAsia="ＭＳ 明朝" w:hint="eastAsia"/>
                <w:iCs/>
                <w:lang w:val="en-US" w:eastAsia="ja-JP"/>
              </w:rPr>
              <w:t xml:space="preserve"> the UE can receive on-demand SSB at an earlier time. </w:t>
            </w:r>
          </w:p>
        </w:tc>
      </w:tr>
    </w:tbl>
    <w:p w14:paraId="23041D37" w14:textId="77777777" w:rsidR="00CF5F16" w:rsidRDefault="00CF5F16">
      <w:pPr>
        <w:ind w:firstLineChars="100" w:firstLine="200"/>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ＭＳ 明朝" w:hint="eastAsia"/>
                <w:lang w:eastAsia="ja-JP"/>
              </w:rPr>
            </w:pPr>
            <w:r>
              <w:rPr>
                <w:rFonts w:eastAsia="ＭＳ 明朝"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hint="eastAsia"/>
                <w:iCs/>
                <w:lang w:val="en-US" w:eastAsia="zh-TW"/>
              </w:rPr>
            </w:pPr>
            <w:r>
              <w:rPr>
                <w:rFonts w:eastAsia="ＭＳ 明朝" w:hint="eastAsia"/>
                <w:iCs/>
                <w:lang w:val="en-US" w:eastAsia="ja-JP"/>
              </w:rPr>
              <w:t>Similar comment as that for Proposal #5-1, the candidate SSB index part needs further discussion.</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1"/>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f1"/>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1"/>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f1"/>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1"/>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1"/>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1"/>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1"/>
              <w:numPr>
                <w:ilvl w:val="0"/>
                <w:numId w:val="30"/>
              </w:numPr>
              <w:ind w:leftChars="0"/>
              <w:jc w:val="both"/>
              <w:rPr>
                <w:lang w:val="en-US" w:eastAsia="ko-KR"/>
              </w:rPr>
            </w:pPr>
            <w:r>
              <w:rPr>
                <w:lang w:val="en-US" w:eastAsia="ko-KR"/>
              </w:rPr>
              <w:lastRenderedPageBreak/>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f1"/>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f1"/>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1"/>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1"/>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1"/>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lastRenderedPageBreak/>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1"/>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1"/>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1"/>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1"/>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f1"/>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1"/>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lastRenderedPageBreak/>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1"/>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c"/>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1"/>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1"/>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ＭＳ 明朝" w:hint="eastAsia"/>
                <w:lang w:eastAsia="ja-JP"/>
              </w:rPr>
            </w:pPr>
            <w:r>
              <w:rPr>
                <w:rFonts w:eastAsia="ＭＳ 明朝"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hint="eastAsia"/>
                <w:iCs/>
                <w:lang w:val="en-US" w:eastAsia="zh-TW"/>
              </w:rPr>
            </w:pPr>
            <w:r>
              <w:rPr>
                <w:rFonts w:eastAsia="ＭＳ 明朝" w:hint="eastAsia"/>
                <w:iCs/>
                <w:lang w:val="en-US" w:eastAsia="ja-JP"/>
              </w:rPr>
              <w:t xml:space="preserve">We </w:t>
            </w:r>
            <w:r>
              <w:rPr>
                <w:rFonts w:eastAsia="ＭＳ 明朝"/>
                <w:iCs/>
                <w:lang w:val="en-US" w:eastAsia="ja-JP"/>
              </w:rPr>
              <w:t>prefer</w:t>
            </w:r>
            <w:r>
              <w:rPr>
                <w:rFonts w:eastAsia="ＭＳ 明朝" w:hint="eastAsia"/>
                <w:iCs/>
                <w:lang w:val="en-US" w:eastAsia="ja-JP"/>
              </w:rPr>
              <w:t xml:space="preserve"> option 2 but we are open for discussion.</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1"/>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1"/>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1"/>
              <w:numPr>
                <w:ilvl w:val="0"/>
                <w:numId w:val="30"/>
              </w:numPr>
              <w:ind w:leftChars="0"/>
              <w:jc w:val="both"/>
              <w:rPr>
                <w:lang w:eastAsia="ko-KR"/>
              </w:rPr>
            </w:pPr>
            <w:r>
              <w:rPr>
                <w:lang w:eastAsia="ko-KR"/>
              </w:rPr>
              <w:lastRenderedPageBreak/>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1"/>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1"/>
              <w:numPr>
                <w:ilvl w:val="0"/>
                <w:numId w:val="30"/>
              </w:numPr>
              <w:ind w:leftChars="0"/>
              <w:jc w:val="both"/>
              <w:rPr>
                <w:lang w:eastAsia="ko-KR"/>
              </w:rPr>
            </w:pPr>
            <w:r>
              <w:rPr>
                <w:lang w:eastAsia="ko-KR"/>
              </w:rPr>
              <w:t>Option 1: WUS is carried by PRACH</w:t>
            </w:r>
          </w:p>
          <w:p w14:paraId="3DDEC1E7" w14:textId="77777777" w:rsidR="00CF5F16" w:rsidRDefault="00493DFD">
            <w:pPr>
              <w:pStyle w:val="afff1"/>
              <w:numPr>
                <w:ilvl w:val="0"/>
                <w:numId w:val="30"/>
              </w:numPr>
              <w:ind w:leftChars="0"/>
              <w:jc w:val="both"/>
              <w:rPr>
                <w:lang w:eastAsia="ko-KR"/>
              </w:rPr>
            </w:pPr>
            <w:r>
              <w:rPr>
                <w:lang w:eastAsia="ko-KR"/>
              </w:rPr>
              <w:t>Option 2: WUS is carried by PUCCH</w:t>
            </w:r>
          </w:p>
          <w:p w14:paraId="25C193A3" w14:textId="77777777" w:rsidR="00CF5F16" w:rsidRDefault="00493DFD">
            <w:pPr>
              <w:pStyle w:val="afff1"/>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f1"/>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f1"/>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f1"/>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f1"/>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1"/>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f1"/>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f1"/>
              <w:numPr>
                <w:ilvl w:val="0"/>
                <w:numId w:val="30"/>
              </w:numPr>
              <w:ind w:leftChars="0"/>
              <w:jc w:val="both"/>
              <w:rPr>
                <w:lang w:eastAsia="ko-KR"/>
              </w:rPr>
            </w:pPr>
            <w:r>
              <w:rPr>
                <w:lang w:eastAsia="ko-KR"/>
              </w:rPr>
              <w:t>PRACH on PCell/SCell</w:t>
            </w:r>
          </w:p>
          <w:p w14:paraId="298AB6AE" w14:textId="77777777" w:rsidR="00CF5F16" w:rsidRDefault="00493DFD">
            <w:pPr>
              <w:pStyle w:val="afff1"/>
              <w:numPr>
                <w:ilvl w:val="0"/>
                <w:numId w:val="30"/>
              </w:numPr>
              <w:ind w:leftChars="0"/>
              <w:jc w:val="both"/>
              <w:rPr>
                <w:lang w:eastAsia="ko-KR"/>
              </w:rPr>
            </w:pPr>
            <w:r>
              <w:rPr>
                <w:lang w:eastAsia="ko-KR"/>
              </w:rPr>
              <w:t>PUCCH on PCell</w:t>
            </w:r>
          </w:p>
          <w:p w14:paraId="498F00A2" w14:textId="77777777" w:rsidR="00CF5F16" w:rsidRDefault="00493DFD">
            <w:pPr>
              <w:pStyle w:val="afff1"/>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1"/>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f1"/>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1"/>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1"/>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f1"/>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f1"/>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f1"/>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f1"/>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f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f1"/>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1"/>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1"/>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1"/>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1"/>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f1"/>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1"/>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1"/>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1"/>
              <w:numPr>
                <w:ilvl w:val="0"/>
                <w:numId w:val="30"/>
              </w:numPr>
              <w:ind w:leftChars="0"/>
              <w:jc w:val="both"/>
              <w:rPr>
                <w:lang w:eastAsia="ko-KR"/>
              </w:rPr>
            </w:pPr>
            <w:r>
              <w:rPr>
                <w:lang w:eastAsia="ko-KR"/>
              </w:rPr>
              <w:lastRenderedPageBreak/>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f1"/>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1"/>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1"/>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1"/>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1"/>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lastRenderedPageBreak/>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1"/>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f1"/>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1"/>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1"/>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1"/>
        <w:numPr>
          <w:ilvl w:val="0"/>
          <w:numId w:val="10"/>
        </w:numPr>
        <w:ind w:leftChars="0"/>
      </w:pPr>
      <w:r>
        <w:t>R1-2407619</w:t>
      </w:r>
      <w:r>
        <w:tab/>
        <w:t>Discussion of on-demand SSB Scell operation</w:t>
      </w:r>
      <w:r>
        <w:tab/>
        <w:t>FUTUREWEI</w:t>
      </w:r>
    </w:p>
    <w:p w14:paraId="43035DB7" w14:textId="77777777" w:rsidR="00CF5F16" w:rsidRDefault="00493DFD">
      <w:pPr>
        <w:pStyle w:val="afff1"/>
        <w:numPr>
          <w:ilvl w:val="0"/>
          <w:numId w:val="10"/>
        </w:numPr>
        <w:ind w:leftChars="0"/>
      </w:pPr>
      <w:r>
        <w:t>R1-2407685</w:t>
      </w:r>
      <w:r>
        <w:tab/>
        <w:t>On-demand SSB SCell operation for eNES</w:t>
      </w:r>
      <w:r>
        <w:tab/>
        <w:t>Huawei, HiSilicon</w:t>
      </w:r>
    </w:p>
    <w:p w14:paraId="732F1337" w14:textId="77777777" w:rsidR="00CF5F16" w:rsidRDefault="00493DFD">
      <w:pPr>
        <w:pStyle w:val="afff1"/>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f1"/>
        <w:numPr>
          <w:ilvl w:val="0"/>
          <w:numId w:val="10"/>
        </w:numPr>
        <w:ind w:leftChars="0"/>
      </w:pPr>
      <w:r>
        <w:t>R1-2407738</w:t>
      </w:r>
      <w:r>
        <w:tab/>
        <w:t>Discussion on on-demand SSB operation for SCell</w:t>
      </w:r>
      <w:r>
        <w:tab/>
        <w:t>China Telecom</w:t>
      </w:r>
    </w:p>
    <w:p w14:paraId="7292A0B8" w14:textId="77777777" w:rsidR="00CF5F16" w:rsidRDefault="00493DFD">
      <w:pPr>
        <w:pStyle w:val="afff1"/>
        <w:numPr>
          <w:ilvl w:val="0"/>
          <w:numId w:val="10"/>
        </w:numPr>
        <w:ind w:leftChars="0"/>
      </w:pPr>
      <w:r>
        <w:t>R1-2407757</w:t>
      </w:r>
      <w:r>
        <w:tab/>
        <w:t>On demand SSB</w:t>
      </w:r>
      <w:r>
        <w:tab/>
        <w:t>Tejas Network Limited</w:t>
      </w:r>
    </w:p>
    <w:p w14:paraId="7E2CA28F" w14:textId="77777777" w:rsidR="00CF5F16" w:rsidRDefault="00493DFD">
      <w:pPr>
        <w:pStyle w:val="afff1"/>
        <w:numPr>
          <w:ilvl w:val="0"/>
          <w:numId w:val="10"/>
        </w:numPr>
        <w:ind w:leftChars="0"/>
      </w:pPr>
      <w:r>
        <w:t>R1-2407792</w:t>
      </w:r>
      <w:r>
        <w:tab/>
        <w:t>On-demand SSB SCell Operation</w:t>
      </w:r>
      <w:r>
        <w:tab/>
        <w:t>Nokia, Nokia Shanghai Bell</w:t>
      </w:r>
    </w:p>
    <w:p w14:paraId="11654190" w14:textId="77777777" w:rsidR="00CF5F16" w:rsidRDefault="00493DFD">
      <w:pPr>
        <w:pStyle w:val="afff1"/>
        <w:numPr>
          <w:ilvl w:val="0"/>
          <w:numId w:val="10"/>
        </w:numPr>
        <w:ind w:leftChars="0"/>
      </w:pPr>
      <w:r>
        <w:t>R1-2407866</w:t>
      </w:r>
      <w:r>
        <w:tab/>
        <w:t>Discussions on on-demand SSB Scell operation</w:t>
      </w:r>
      <w:r>
        <w:tab/>
        <w:t>vivo</w:t>
      </w:r>
    </w:p>
    <w:p w14:paraId="7490DD4B" w14:textId="77777777" w:rsidR="00CF5F16" w:rsidRDefault="00493DFD">
      <w:pPr>
        <w:pStyle w:val="afff1"/>
        <w:numPr>
          <w:ilvl w:val="0"/>
          <w:numId w:val="10"/>
        </w:numPr>
        <w:ind w:leftChars="0"/>
      </w:pPr>
      <w:r>
        <w:t>R1-2407910</w:t>
      </w:r>
      <w:r>
        <w:tab/>
        <w:t>Discussion on on-demand SSB SCell operation</w:t>
      </w:r>
      <w:r>
        <w:tab/>
        <w:t>CMCC</w:t>
      </w:r>
    </w:p>
    <w:p w14:paraId="748677FC" w14:textId="77777777" w:rsidR="00CF5F16" w:rsidRDefault="00493DFD">
      <w:pPr>
        <w:pStyle w:val="afff1"/>
        <w:numPr>
          <w:ilvl w:val="0"/>
          <w:numId w:val="10"/>
        </w:numPr>
        <w:ind w:leftChars="0"/>
      </w:pPr>
      <w:r>
        <w:t>R1-2407974</w:t>
      </w:r>
      <w:r>
        <w:tab/>
        <w:t>Discussion on on-demand SSB SCell operation</w:t>
      </w:r>
      <w:r>
        <w:tab/>
        <w:t>Xiaomi</w:t>
      </w:r>
    </w:p>
    <w:p w14:paraId="65B5F48F" w14:textId="77777777" w:rsidR="00CF5F16" w:rsidRDefault="00493DFD">
      <w:pPr>
        <w:pStyle w:val="afff1"/>
        <w:numPr>
          <w:ilvl w:val="0"/>
          <w:numId w:val="10"/>
        </w:numPr>
        <w:ind w:leftChars="0"/>
      </w:pPr>
      <w:r>
        <w:t>R1-2407995</w:t>
      </w:r>
      <w:r>
        <w:tab/>
        <w:t>On-demand SSB SCell Operation</w:t>
      </w:r>
      <w:r>
        <w:tab/>
        <w:t>Google</w:t>
      </w:r>
    </w:p>
    <w:p w14:paraId="1073EF17" w14:textId="77777777" w:rsidR="00CF5F16" w:rsidRDefault="00493DFD">
      <w:pPr>
        <w:pStyle w:val="afff1"/>
        <w:numPr>
          <w:ilvl w:val="0"/>
          <w:numId w:val="10"/>
        </w:numPr>
        <w:ind w:leftChars="0"/>
      </w:pPr>
      <w:r>
        <w:t>R1-2408052</w:t>
      </w:r>
      <w:r>
        <w:tab/>
        <w:t>Discussion on on-demand SSB SCell operation</w:t>
      </w:r>
      <w:r>
        <w:tab/>
        <w:t>CATT</w:t>
      </w:r>
    </w:p>
    <w:p w14:paraId="4AA7F05D" w14:textId="77777777" w:rsidR="00CF5F16" w:rsidRDefault="00493DFD">
      <w:pPr>
        <w:pStyle w:val="afff1"/>
        <w:numPr>
          <w:ilvl w:val="0"/>
          <w:numId w:val="10"/>
        </w:numPr>
        <w:ind w:leftChars="0"/>
      </w:pPr>
      <w:r>
        <w:t>R1-2408071</w:t>
      </w:r>
      <w:r>
        <w:tab/>
        <w:t>Discussion on on-demond SSB for NES</w:t>
      </w:r>
      <w:r>
        <w:tab/>
        <w:t>ZTE Corporation, Sanechips</w:t>
      </w:r>
    </w:p>
    <w:p w14:paraId="27BD03AB" w14:textId="77777777" w:rsidR="00CF5F16" w:rsidRDefault="00493DFD">
      <w:pPr>
        <w:pStyle w:val="afff1"/>
        <w:numPr>
          <w:ilvl w:val="0"/>
          <w:numId w:val="10"/>
        </w:numPr>
        <w:ind w:leftChars="0"/>
      </w:pPr>
      <w:r>
        <w:t>R1-2408121</w:t>
      </w:r>
      <w:r>
        <w:tab/>
        <w:t>Discussion on On-Demand SSB SCell operation</w:t>
      </w:r>
      <w:r>
        <w:tab/>
        <w:t>Transsion Holdings</w:t>
      </w:r>
    </w:p>
    <w:p w14:paraId="19426F78" w14:textId="77777777" w:rsidR="00CF5F16" w:rsidRDefault="00493DFD">
      <w:pPr>
        <w:pStyle w:val="afff1"/>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f1"/>
        <w:numPr>
          <w:ilvl w:val="0"/>
          <w:numId w:val="10"/>
        </w:numPr>
        <w:ind w:leftChars="0"/>
      </w:pPr>
      <w:r>
        <w:t>R1-2408248</w:t>
      </w:r>
      <w:r>
        <w:tab/>
        <w:t>Discussion of On-demand SSB SCell operation</w:t>
      </w:r>
      <w:r>
        <w:tab/>
        <w:t>Mavenir</w:t>
      </w:r>
    </w:p>
    <w:p w14:paraId="38B516E6" w14:textId="77777777" w:rsidR="00CF5F16" w:rsidRDefault="00493DFD">
      <w:pPr>
        <w:pStyle w:val="afff1"/>
        <w:numPr>
          <w:ilvl w:val="0"/>
          <w:numId w:val="10"/>
        </w:numPr>
        <w:ind w:leftChars="0"/>
      </w:pPr>
      <w:r>
        <w:t>R1-2408311</w:t>
      </w:r>
      <w:r>
        <w:tab/>
        <w:t>Discussion on on-demand SSB SCell operation</w:t>
      </w:r>
      <w:r>
        <w:tab/>
        <w:t>InterDigital, Inc.</w:t>
      </w:r>
    </w:p>
    <w:p w14:paraId="163C35C5" w14:textId="77777777" w:rsidR="00CF5F16" w:rsidRDefault="00493DFD">
      <w:pPr>
        <w:pStyle w:val="afff1"/>
        <w:numPr>
          <w:ilvl w:val="0"/>
          <w:numId w:val="10"/>
        </w:numPr>
        <w:ind w:leftChars="0"/>
      </w:pPr>
      <w:r>
        <w:t>R1-2408326</w:t>
      </w:r>
      <w:r>
        <w:tab/>
        <w:t>On-demand SSB SCell operation</w:t>
      </w:r>
      <w:r>
        <w:tab/>
        <w:t>Lenovo</w:t>
      </w:r>
    </w:p>
    <w:p w14:paraId="1EE79398" w14:textId="77777777" w:rsidR="00CF5F16" w:rsidRDefault="00493DFD">
      <w:pPr>
        <w:pStyle w:val="afff1"/>
        <w:numPr>
          <w:ilvl w:val="0"/>
          <w:numId w:val="10"/>
        </w:numPr>
        <w:ind w:leftChars="0"/>
      </w:pPr>
      <w:r>
        <w:t>R1-2408342</w:t>
      </w:r>
      <w:r>
        <w:tab/>
        <w:t>Discussion on on-demand SSB SCell operation</w:t>
      </w:r>
      <w:r>
        <w:tab/>
        <w:t>Panasonic</w:t>
      </w:r>
    </w:p>
    <w:p w14:paraId="3515FD92" w14:textId="77777777" w:rsidR="00CF5F16" w:rsidRDefault="00493DFD">
      <w:pPr>
        <w:pStyle w:val="afff1"/>
        <w:numPr>
          <w:ilvl w:val="0"/>
          <w:numId w:val="10"/>
        </w:numPr>
        <w:ind w:leftChars="0"/>
      </w:pPr>
      <w:r>
        <w:t>R1-240376</w:t>
      </w:r>
      <w:r>
        <w:tab/>
        <w:t>Discussion on on-demand SSB for SCell operation</w:t>
      </w:r>
      <w:r>
        <w:tab/>
        <w:t>NEC</w:t>
      </w:r>
    </w:p>
    <w:p w14:paraId="27AD8B3A" w14:textId="77777777" w:rsidR="00CF5F16" w:rsidRDefault="00493DFD">
      <w:pPr>
        <w:pStyle w:val="afff1"/>
        <w:numPr>
          <w:ilvl w:val="0"/>
          <w:numId w:val="10"/>
        </w:numPr>
        <w:ind w:leftChars="0"/>
      </w:pPr>
      <w:r>
        <w:t>R1-2408413</w:t>
      </w:r>
      <w:r>
        <w:tab/>
        <w:t>On-demand SSB SCell operation</w:t>
      </w:r>
      <w:r>
        <w:tab/>
        <w:t>Sony</w:t>
      </w:r>
    </w:p>
    <w:p w14:paraId="47C30AF5" w14:textId="77777777" w:rsidR="00CF5F16" w:rsidRDefault="00493DFD">
      <w:pPr>
        <w:pStyle w:val="afff1"/>
        <w:numPr>
          <w:ilvl w:val="0"/>
          <w:numId w:val="10"/>
        </w:numPr>
        <w:ind w:leftChars="0"/>
      </w:pPr>
      <w:r>
        <w:t>R1-2408473</w:t>
      </w:r>
      <w:r>
        <w:tab/>
        <w:t>On-demand SSB SCell Operation</w:t>
      </w:r>
      <w:r>
        <w:tab/>
        <w:t>Apple</w:t>
      </w:r>
    </w:p>
    <w:p w14:paraId="20883F82" w14:textId="77777777" w:rsidR="00CF5F16" w:rsidRDefault="00493DFD">
      <w:pPr>
        <w:pStyle w:val="afff1"/>
        <w:numPr>
          <w:ilvl w:val="0"/>
          <w:numId w:val="10"/>
        </w:numPr>
        <w:ind w:leftChars="0"/>
      </w:pPr>
      <w:r>
        <w:t>R1-2408503</w:t>
      </w:r>
      <w:r>
        <w:tab/>
        <w:t>Discussion on on-demand SSB SCell operation</w:t>
      </w:r>
      <w:r>
        <w:tab/>
        <w:t>Fujitsu</w:t>
      </w:r>
    </w:p>
    <w:p w14:paraId="25F92449" w14:textId="77777777" w:rsidR="00CF5F16" w:rsidRDefault="00493DFD">
      <w:pPr>
        <w:pStyle w:val="afff1"/>
        <w:numPr>
          <w:ilvl w:val="0"/>
          <w:numId w:val="10"/>
        </w:numPr>
        <w:ind w:leftChars="0"/>
      </w:pPr>
      <w:r>
        <w:t>R1-2408572</w:t>
      </w:r>
      <w:r>
        <w:tab/>
        <w:t>Discussion on On-demand SSB SCell operation</w:t>
      </w:r>
      <w:r>
        <w:tab/>
        <w:t>ETRI</w:t>
      </w:r>
    </w:p>
    <w:p w14:paraId="61F1D7FD" w14:textId="77777777" w:rsidR="00CF5F16" w:rsidRDefault="00493DFD">
      <w:pPr>
        <w:pStyle w:val="afff1"/>
        <w:numPr>
          <w:ilvl w:val="0"/>
          <w:numId w:val="10"/>
        </w:numPr>
        <w:ind w:leftChars="0"/>
      </w:pPr>
      <w:r>
        <w:t>R1-2408651</w:t>
      </w:r>
      <w:r>
        <w:tab/>
        <w:t>On-demand SSB SCell operation</w:t>
      </w:r>
      <w:r>
        <w:tab/>
        <w:t>Samsung</w:t>
      </w:r>
    </w:p>
    <w:p w14:paraId="15F7EC17" w14:textId="77777777" w:rsidR="00CF5F16" w:rsidRDefault="00493DFD">
      <w:pPr>
        <w:pStyle w:val="afff1"/>
        <w:numPr>
          <w:ilvl w:val="0"/>
          <w:numId w:val="10"/>
        </w:numPr>
        <w:ind w:leftChars="0"/>
      </w:pPr>
      <w:r>
        <w:t>R1-2408676</w:t>
      </w:r>
      <w:r>
        <w:tab/>
        <w:t>On-demand SSB SCell operation</w:t>
      </w:r>
      <w:r>
        <w:tab/>
        <w:t>LG Electronics</w:t>
      </w:r>
    </w:p>
    <w:p w14:paraId="6328E666" w14:textId="77777777" w:rsidR="00CF5F16" w:rsidRDefault="00493DFD">
      <w:pPr>
        <w:pStyle w:val="afff1"/>
        <w:numPr>
          <w:ilvl w:val="0"/>
          <w:numId w:val="10"/>
        </w:numPr>
        <w:ind w:leftChars="0"/>
      </w:pPr>
      <w:r>
        <w:t>R1-2408706</w:t>
      </w:r>
      <w:r>
        <w:tab/>
        <w:t>On-demand SSB SCell operation</w:t>
      </w:r>
      <w:r>
        <w:tab/>
        <w:t>MediaTek Inc.</w:t>
      </w:r>
    </w:p>
    <w:p w14:paraId="331BD22A" w14:textId="77777777" w:rsidR="00CF5F16" w:rsidRDefault="00493DFD">
      <w:pPr>
        <w:pStyle w:val="afff1"/>
        <w:numPr>
          <w:ilvl w:val="0"/>
          <w:numId w:val="10"/>
        </w:numPr>
        <w:ind w:leftChars="0"/>
      </w:pPr>
      <w:r>
        <w:t>R1-2408791</w:t>
      </w:r>
      <w:r>
        <w:tab/>
        <w:t>Discussion on on-demand SSB SCell operation</w:t>
      </w:r>
      <w:r>
        <w:tab/>
        <w:t>NTT DOCOMO, INC.</w:t>
      </w:r>
    </w:p>
    <w:p w14:paraId="4D5A5971" w14:textId="77777777" w:rsidR="00CF5F16" w:rsidRDefault="00493DFD">
      <w:pPr>
        <w:pStyle w:val="afff1"/>
        <w:numPr>
          <w:ilvl w:val="0"/>
          <w:numId w:val="10"/>
        </w:numPr>
        <w:ind w:leftChars="0"/>
      </w:pPr>
      <w:r>
        <w:t>R1-2408817</w:t>
      </w:r>
      <w:r>
        <w:tab/>
        <w:t>On-demand SSB SCell operation</w:t>
      </w:r>
      <w:r>
        <w:tab/>
        <w:t>Ericsson</w:t>
      </w:r>
    </w:p>
    <w:p w14:paraId="1E262922" w14:textId="77777777" w:rsidR="00CF5F16" w:rsidRDefault="00493DFD">
      <w:pPr>
        <w:pStyle w:val="afff1"/>
        <w:numPr>
          <w:ilvl w:val="0"/>
          <w:numId w:val="10"/>
        </w:numPr>
        <w:ind w:leftChars="0"/>
      </w:pPr>
      <w:r>
        <w:t>R1-2408830</w:t>
      </w:r>
      <w:r>
        <w:tab/>
        <w:t>Discussion on on-demand SSB SCell operation</w:t>
      </w:r>
      <w:r>
        <w:tab/>
        <w:t>ITRI</w:t>
      </w:r>
    </w:p>
    <w:p w14:paraId="3904B21A" w14:textId="77777777" w:rsidR="00CF5F16" w:rsidRDefault="00493DFD">
      <w:pPr>
        <w:pStyle w:val="afff1"/>
        <w:numPr>
          <w:ilvl w:val="0"/>
          <w:numId w:val="10"/>
        </w:numPr>
        <w:ind w:leftChars="0"/>
      </w:pPr>
      <w:r>
        <w:t>R1-2408855</w:t>
      </w:r>
      <w:r>
        <w:tab/>
        <w:t>On-demand SSB operation for Scell</w:t>
      </w:r>
      <w:r>
        <w:tab/>
        <w:t>Qualcomm Incorporated</w:t>
      </w:r>
    </w:p>
    <w:p w14:paraId="0431647E" w14:textId="77777777" w:rsidR="00CF5F16" w:rsidRDefault="00493DFD">
      <w:pPr>
        <w:pStyle w:val="afff1"/>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f1"/>
        <w:numPr>
          <w:ilvl w:val="0"/>
          <w:numId w:val="10"/>
        </w:numPr>
        <w:ind w:leftChars="0"/>
      </w:pPr>
      <w:r>
        <w:t>R1-2408909</w:t>
      </w:r>
      <w:r>
        <w:tab/>
        <w:t>DCI based signaling for on-demand SSB</w:t>
      </w:r>
      <w:r>
        <w:tab/>
        <w:t>ASUSTeK</w:t>
      </w:r>
    </w:p>
    <w:p w14:paraId="0437A331" w14:textId="77777777" w:rsidR="00CF5F16" w:rsidRDefault="00493DFD">
      <w:pPr>
        <w:pStyle w:val="afff1"/>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lastRenderedPageBreak/>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lastRenderedPageBreak/>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63A84" w14:textId="77777777" w:rsidR="00EE23DD" w:rsidRDefault="00EE23DD">
      <w:r>
        <w:separator/>
      </w:r>
    </w:p>
  </w:endnote>
  <w:endnote w:type="continuationSeparator" w:id="0">
    <w:p w14:paraId="2ABEFBE2" w14:textId="77777777" w:rsidR="00EE23DD" w:rsidRDefault="00E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F4F9" w14:textId="77777777" w:rsidR="00EE23DD" w:rsidRDefault="00EE23DD">
      <w:r>
        <w:separator/>
      </w:r>
    </w:p>
  </w:footnote>
  <w:footnote w:type="continuationSeparator" w:id="0">
    <w:p w14:paraId="54876196" w14:textId="77777777" w:rsidR="00EE23DD" w:rsidRDefault="00EE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ＭＳ ゴシック"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ＭＳ 明朝"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c">
    <w:name w:val="caption"/>
    <w:basedOn w:val="a2"/>
    <w:next w:val="a2"/>
    <w:link w:val="11"/>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d">
    <w:name w:val="annotation reference"/>
    <w:basedOn w:val="a3"/>
    <w:uiPriority w:val="99"/>
    <w:unhideWhenUsed/>
    <w:qFormat/>
    <w:rPr>
      <w:sz w:val="18"/>
      <w:szCs w:val="18"/>
    </w:rPr>
  </w:style>
  <w:style w:type="paragraph" w:styleId="ae">
    <w:name w:val="annotation text"/>
    <w:basedOn w:val="a2"/>
    <w:link w:val="af"/>
    <w:unhideWhenUsed/>
    <w:qFormat/>
  </w:style>
  <w:style w:type="paragraph" w:styleId="af0">
    <w:name w:val="annotation subject"/>
    <w:basedOn w:val="ae"/>
    <w:next w:val="ae"/>
    <w:link w:val="af1"/>
    <w:uiPriority w:val="99"/>
    <w:unhideWhenUsed/>
    <w:qFormat/>
    <w:rPr>
      <w:b/>
      <w:bCs/>
    </w:rPr>
  </w:style>
  <w:style w:type="paragraph" w:styleId="af2">
    <w:name w:val="Date"/>
    <w:basedOn w:val="a2"/>
    <w:next w:val="a2"/>
    <w:link w:val="af3"/>
    <w:uiPriority w:val="99"/>
    <w:qFormat/>
    <w:rPr>
      <w:lang w:eastAsia="zh-CN"/>
    </w:rPr>
  </w:style>
  <w:style w:type="paragraph" w:styleId="af4">
    <w:name w:val="Document Map"/>
    <w:basedOn w:val="a2"/>
    <w:link w:val="af5"/>
    <w:uiPriority w:val="99"/>
    <w:qFormat/>
    <w:pPr>
      <w:shd w:val="clear" w:color="auto" w:fill="000080"/>
    </w:pPr>
    <w:rPr>
      <w:rFonts w:ascii="Tahoma" w:hAnsi="Tahoma"/>
      <w:lang w:eastAsia="zh-CN"/>
    </w:rPr>
  </w:style>
  <w:style w:type="character" w:styleId="af6">
    <w:name w:val="Emphasis"/>
    <w:uiPriority w:val="20"/>
    <w:qFormat/>
    <w:rPr>
      <w:i/>
      <w:iCs/>
    </w:rPr>
  </w:style>
  <w:style w:type="character" w:styleId="af7">
    <w:name w:val="FollowedHyperlink"/>
    <w:uiPriority w:val="99"/>
    <w:unhideWhenUsed/>
    <w:qFormat/>
    <w:rPr>
      <w:color w:val="954F72"/>
      <w:u w:val="single"/>
    </w:rPr>
  </w:style>
  <w:style w:type="paragraph" w:styleId="af8">
    <w:name w:val="footer"/>
    <w:basedOn w:val="a2"/>
    <w:link w:val="af9"/>
    <w:uiPriority w:val="99"/>
    <w:unhideWhenUsed/>
    <w:qFormat/>
    <w:pPr>
      <w:tabs>
        <w:tab w:val="center" w:pos="4513"/>
        <w:tab w:val="right" w:pos="9026"/>
      </w:tabs>
      <w:snapToGrid w:val="0"/>
    </w:pPr>
  </w:style>
  <w:style w:type="character" w:styleId="afa">
    <w:name w:val="footnote reference"/>
    <w:qFormat/>
    <w:rPr>
      <w:b/>
      <w:position w:val="6"/>
      <w:sz w:val="16"/>
    </w:rPr>
  </w:style>
  <w:style w:type="paragraph" w:styleId="afb">
    <w:name w:val="footnote text"/>
    <w:basedOn w:val="a2"/>
    <w:link w:val="afc"/>
    <w:qFormat/>
    <w:pPr>
      <w:jc w:val="both"/>
    </w:pPr>
    <w:rPr>
      <w:szCs w:val="20"/>
      <w:lang w:val="zh-CN" w:eastAsia="zh-CN"/>
    </w:rPr>
  </w:style>
  <w:style w:type="paragraph" w:styleId="afd">
    <w:name w:val="header"/>
    <w:basedOn w:val="a2"/>
    <w:link w:val="afe"/>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
    <w:name w:val="Hyperlink"/>
    <w:uiPriority w:val="99"/>
    <w:qFormat/>
    <w:rPr>
      <w:color w:val="0000FF"/>
      <w:u w:val="single"/>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2"/>
    <w:next w:val="a2"/>
    <w:qFormat/>
    <w:pPr>
      <w:ind w:left="284"/>
    </w:pPr>
    <w:rPr>
      <w:rFonts w:eastAsia="SimSun"/>
    </w:rPr>
  </w:style>
  <w:style w:type="paragraph" w:styleId="aff0">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f1">
    <w:name w:val="line number"/>
    <w:qFormat/>
    <w:rPr>
      <w:rFonts w:ascii="Arial" w:eastAsia="SimSun" w:hAnsi="Arial" w:cs="Arial"/>
      <w:color w:val="0000FF"/>
      <w:kern w:val="2"/>
      <w:sz w:val="18"/>
      <w:lang w:val="en-US" w:eastAsia="zh-CN" w:bidi="ar-SA"/>
    </w:rPr>
  </w:style>
  <w:style w:type="paragraph" w:styleId="aff2">
    <w:name w:val="List"/>
    <w:basedOn w:val="a2"/>
    <w:link w:val="aff3"/>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1">
    <w:name w:val="List 5"/>
    <w:basedOn w:val="41"/>
    <w:qFormat/>
    <w:pPr>
      <w:ind w:left="1702"/>
    </w:pPr>
  </w:style>
  <w:style w:type="paragraph" w:styleId="a1">
    <w:name w:val="List Bullet"/>
    <w:basedOn w:val="aff2"/>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ＭＳ 明朝"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f4">
    <w:name w:val="Normal Indent"/>
    <w:basedOn w:val="a2"/>
    <w:unhideWhenUsed/>
    <w:qFormat/>
    <w:pPr>
      <w:ind w:leftChars="400" w:left="800"/>
    </w:pPr>
  </w:style>
  <w:style w:type="character" w:styleId="aff5">
    <w:name w:val="page number"/>
    <w:basedOn w:val="a3"/>
    <w:qFormat/>
  </w:style>
  <w:style w:type="paragraph" w:styleId="aff6">
    <w:name w:val="Plain Text"/>
    <w:basedOn w:val="a2"/>
    <w:link w:val="aff7"/>
    <w:uiPriority w:val="99"/>
    <w:unhideWhenUsed/>
    <w:qFormat/>
    <w:rPr>
      <w:rFonts w:ascii="Arial" w:eastAsia="ＭＳ ゴシック" w:hAnsi="Arial"/>
      <w:color w:val="000000"/>
      <w:szCs w:val="20"/>
      <w:lang w:val="zh-CN" w:eastAsia="zh-CN"/>
    </w:rPr>
  </w:style>
  <w:style w:type="character" w:styleId="aff8">
    <w:name w:val="Strong"/>
    <w:uiPriority w:val="22"/>
    <w:qFormat/>
    <w:rPr>
      <w:b/>
      <w:bCs/>
    </w:rPr>
  </w:style>
  <w:style w:type="paragraph" w:styleId="aff9">
    <w:name w:val="Subtitle"/>
    <w:basedOn w:val="a2"/>
    <w:next w:val="a2"/>
    <w:link w:val="affa"/>
    <w:uiPriority w:val="11"/>
    <w:qFormat/>
    <w:pPr>
      <w:spacing w:after="180" w:line="259" w:lineRule="auto"/>
      <w:ind w:left="284" w:hanging="284"/>
    </w:pPr>
    <w:rPr>
      <w:rFonts w:ascii="Cambria" w:eastAsia="SimSun" w:hAnsi="Cambria"/>
      <w:i/>
      <w:iCs/>
      <w:color w:val="4F81BD"/>
      <w:spacing w:val="15"/>
      <w:sz w:val="24"/>
      <w:lang w:eastAsia="ja-JP"/>
    </w:rPr>
  </w:style>
  <w:style w:type="table" w:styleId="13">
    <w:name w:val="Table Classic 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b">
    <w:name w:val="Table Elegant"/>
    <w:basedOn w:val="a4"/>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c">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d">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e">
    <w:name w:val="Table Theme"/>
    <w:basedOn w:val="a4"/>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itle"/>
    <w:basedOn w:val="a2"/>
    <w:link w:val="afff0"/>
    <w:qFormat/>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paragraph" w:styleId="14">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ＭＳ 明朝" w:hAnsi="Times New Roman"/>
      <w:sz w:val="24"/>
      <w:lang w:eastAsia="ja-JP"/>
    </w:rPr>
  </w:style>
  <w:style w:type="paragraph" w:styleId="61">
    <w:name w:val="toc 6"/>
    <w:basedOn w:val="a2"/>
    <w:next w:val="a2"/>
    <w:uiPriority w:val="39"/>
    <w:qFormat/>
    <w:pPr>
      <w:ind w:left="1200"/>
    </w:pPr>
    <w:rPr>
      <w:rFonts w:ascii="Times New Roman" w:eastAsia="ＭＳ 明朝" w:hAnsi="Times New Roman"/>
      <w:sz w:val="24"/>
      <w:lang w:eastAsia="ja-JP"/>
    </w:rPr>
  </w:style>
  <w:style w:type="paragraph" w:styleId="71">
    <w:name w:val="toc 7"/>
    <w:basedOn w:val="a2"/>
    <w:next w:val="a2"/>
    <w:uiPriority w:val="39"/>
    <w:qFormat/>
    <w:rPr>
      <w:rFonts w:ascii="Times New Roman" w:eastAsia="ＭＳ 明朝" w:hAnsi="Times New Roman"/>
      <w:sz w:val="24"/>
      <w:lang w:eastAsia="ja-JP"/>
    </w:rPr>
  </w:style>
  <w:style w:type="paragraph" w:styleId="81">
    <w:name w:val="toc 8"/>
    <w:basedOn w:val="a2"/>
    <w:next w:val="a2"/>
    <w:uiPriority w:val="39"/>
    <w:qFormat/>
    <w:pPr>
      <w:ind w:left="1680"/>
    </w:pPr>
    <w:rPr>
      <w:rFonts w:ascii="Times New Roman" w:eastAsia="ＭＳ 明朝" w:hAnsi="Times New Roman"/>
      <w:sz w:val="24"/>
      <w:lang w:eastAsia="ja-JP"/>
    </w:rPr>
  </w:style>
  <w:style w:type="paragraph" w:styleId="91">
    <w:name w:val="toc 9"/>
    <w:basedOn w:val="a2"/>
    <w:next w:val="a2"/>
    <w:uiPriority w:val="39"/>
    <w:qFormat/>
    <w:pPr>
      <w:ind w:left="1920"/>
    </w:pPr>
    <w:rPr>
      <w:rFonts w:ascii="Times New Roman" w:eastAsia="ＭＳ 明朝" w:hAnsi="Times New Roman"/>
      <w:sz w:val="24"/>
      <w:lang w:eastAsia="ja-JP"/>
    </w:rPr>
  </w:style>
  <w:style w:type="table" w:styleId="15">
    <w:name w:val="Light Shading Accent 6"/>
    <w:basedOn w:val="a4"/>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見出し 1 (文字)"/>
    <w:basedOn w:val="a3"/>
    <w:link w:val="1"/>
    <w:uiPriority w:val="9"/>
    <w:qFormat/>
    <w:rPr>
      <w:rFonts w:ascii="Arial" w:eastAsia="Batang" w:hAnsi="Arial" w:cs="Times New Roman"/>
      <w:b/>
      <w:bCs/>
      <w:kern w:val="32"/>
      <w:sz w:val="32"/>
      <w:szCs w:val="32"/>
      <w:lang w:val="en-GB" w:eastAsia="zh-CN"/>
    </w:rPr>
  </w:style>
  <w:style w:type="character" w:customStyle="1" w:styleId="21">
    <w:name w:val="見出し 2 (文字)"/>
    <w:basedOn w:val="a3"/>
    <w:link w:val="2"/>
    <w:uiPriority w:val="9"/>
    <w:qFormat/>
    <w:rPr>
      <w:rFonts w:ascii="Arial" w:eastAsia="Batang" w:hAnsi="Arial" w:cs="Times New Roman"/>
      <w:b/>
      <w:bCs/>
      <w:i/>
      <w:iCs/>
      <w:kern w:val="0"/>
      <w:sz w:val="24"/>
      <w:szCs w:val="28"/>
      <w:lang w:val="en-GB" w:eastAsia="zh-CN"/>
    </w:rPr>
  </w:style>
  <w:style w:type="character" w:customStyle="1" w:styleId="31">
    <w:name w:val="見出し 3 (文字)"/>
    <w:basedOn w:val="a3"/>
    <w:link w:val="30"/>
    <w:qFormat/>
    <w:rPr>
      <w:rFonts w:ascii="Arial" w:eastAsia="Batang" w:hAnsi="Arial" w:cs="Times New Roman"/>
      <w:b/>
      <w:bCs/>
      <w:kern w:val="0"/>
      <w:szCs w:val="26"/>
      <w:lang w:val="en-GB" w:eastAsia="zh-CN"/>
    </w:rPr>
  </w:style>
  <w:style w:type="character" w:customStyle="1" w:styleId="40">
    <w:name w:val="見出し 4 (文字)"/>
    <w:basedOn w:val="a3"/>
    <w:link w:val="4"/>
    <w:uiPriority w:val="9"/>
    <w:qFormat/>
    <w:rPr>
      <w:rFonts w:ascii="Arial" w:eastAsia="Batang" w:hAnsi="Arial" w:cs="Times New Roman"/>
      <w:b/>
      <w:bCs/>
      <w:i/>
      <w:kern w:val="0"/>
      <w:szCs w:val="26"/>
      <w:lang w:val="en-GB" w:eastAsia="zh-CN"/>
    </w:rPr>
  </w:style>
  <w:style w:type="character" w:customStyle="1" w:styleId="50">
    <w:name w:val="見出し 5 (文字)"/>
    <w:basedOn w:val="a3"/>
    <w:link w:val="5"/>
    <w:uiPriority w:val="9"/>
    <w:qFormat/>
    <w:rPr>
      <w:rFonts w:ascii="Arial" w:eastAsia="Batang" w:hAnsi="Arial" w:cs="Times New Roman"/>
      <w:b/>
      <w:iCs/>
      <w:kern w:val="0"/>
      <w:sz w:val="18"/>
      <w:szCs w:val="26"/>
      <w:lang w:val="en-GB" w:eastAsia="zh-CN"/>
    </w:rPr>
  </w:style>
  <w:style w:type="character" w:customStyle="1" w:styleId="60">
    <w:name w:val="見出し 6 (文字)"/>
    <w:basedOn w:val="a3"/>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見出し 9 (文字)"/>
    <w:basedOn w:val="a3"/>
    <w:link w:val="9"/>
    <w:uiPriority w:val="9"/>
    <w:qFormat/>
    <w:rPr>
      <w:rFonts w:ascii="Arial" w:eastAsia="Batang" w:hAnsi="Arial" w:cs="Times New Roman"/>
      <w:kern w:val="0"/>
      <w:sz w:val="22"/>
      <w:lang w:val="en-GB" w:eastAsia="zh-CN"/>
    </w:rPr>
  </w:style>
  <w:style w:type="paragraph" w:styleId="afff1">
    <w:name w:val="List Paragraph"/>
    <w:basedOn w:val="a2"/>
    <w:link w:val="afff2"/>
    <w:uiPriority w:val="34"/>
    <w:qFormat/>
    <w:pPr>
      <w:ind w:leftChars="400" w:left="840"/>
    </w:pPr>
    <w:rPr>
      <w:lang w:eastAsia="zh-CN"/>
    </w:rPr>
  </w:style>
  <w:style w:type="character" w:customStyle="1" w:styleId="afff2">
    <w:name w:val="リスト段落 (文字)"/>
    <w:link w:val="afff1"/>
    <w:uiPriority w:val="34"/>
    <w:qFormat/>
    <w:rPr>
      <w:rFonts w:ascii="Times" w:eastAsia="Batang" w:hAnsi="Times" w:cs="Times New Roman"/>
      <w:kern w:val="0"/>
      <w:szCs w:val="24"/>
      <w:lang w:val="en-GB" w:eastAsia="zh-CN"/>
    </w:rPr>
  </w:style>
  <w:style w:type="character" w:customStyle="1" w:styleId="11">
    <w:name w:val="図表番号 (文字)1"/>
    <w:link w:val="ac"/>
    <w:qFormat/>
    <w:rPr>
      <w:rFonts w:ascii="Times New Roman" w:eastAsia="SimSun" w:hAnsi="Times New Roman" w:cs="Times New Roman"/>
      <w:b/>
      <w:kern w:val="0"/>
      <w:szCs w:val="20"/>
      <w:lang w:val="en-GB" w:eastAsia="en-US"/>
    </w:rPr>
  </w:style>
  <w:style w:type="character" w:customStyle="1" w:styleId="afe">
    <w:name w:val="ヘッダー (文字)"/>
    <w:basedOn w:val="a3"/>
    <w:link w:val="afd"/>
    <w:qFormat/>
    <w:rPr>
      <w:rFonts w:ascii="Times" w:eastAsia="Batang" w:hAnsi="Times" w:cs="Times New Roman"/>
      <w:kern w:val="0"/>
      <w:szCs w:val="24"/>
      <w:lang w:val="en-GB" w:eastAsia="en-US"/>
    </w:rPr>
  </w:style>
  <w:style w:type="character" w:customStyle="1" w:styleId="af9">
    <w:name w:val="フッター (文字)"/>
    <w:basedOn w:val="a3"/>
    <w:link w:val="af8"/>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本文 (文字)"/>
    <w:basedOn w:val="a3"/>
    <w:link w:val="a8"/>
    <w:qFormat/>
    <w:rPr>
      <w:rFonts w:ascii="Arial" w:eastAsiaTheme="minorHAnsi" w:hAnsi="Arial"/>
      <w:kern w:val="0"/>
      <w:lang w:eastAsia="zh-CN"/>
    </w:rPr>
  </w:style>
  <w:style w:type="character" w:customStyle="1" w:styleId="a7">
    <w:name w:val="吹き出し (文字)"/>
    <w:basedOn w:val="a3"/>
    <w:link w:val="a6"/>
    <w:uiPriority w:val="99"/>
    <w:rPr>
      <w:rFonts w:asciiTheme="majorHAnsi" w:eastAsiaTheme="majorEastAsia" w:hAnsiTheme="majorHAnsi" w:cstheme="majorBidi"/>
      <w:kern w:val="0"/>
      <w:sz w:val="18"/>
      <w:szCs w:val="18"/>
      <w:lang w:val="en-GB" w:eastAsia="en-US"/>
    </w:rPr>
  </w:style>
  <w:style w:type="character" w:customStyle="1" w:styleId="af">
    <w:name w:val="コメント文字列 (文字)"/>
    <w:basedOn w:val="a3"/>
    <w:link w:val="ae"/>
    <w:qFormat/>
    <w:rPr>
      <w:rFonts w:ascii="Times" w:eastAsia="Batang" w:hAnsi="Times" w:cs="Times New Roman"/>
      <w:kern w:val="0"/>
      <w:szCs w:val="24"/>
      <w:lang w:val="en-GB" w:eastAsia="en-US"/>
    </w:rPr>
  </w:style>
  <w:style w:type="character" w:customStyle="1" w:styleId="af1">
    <w:name w:val="コメント内容 (文字)"/>
    <w:basedOn w:val="af"/>
    <w:link w:val="af0"/>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7">
    <w:name w:val="書式なし (文字)"/>
    <w:basedOn w:val="a3"/>
    <w:link w:val="aff6"/>
    <w:uiPriority w:val="99"/>
    <w:qFormat/>
    <w:rPr>
      <w:rFonts w:ascii="Arial" w:eastAsia="ＭＳ ゴシック"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d"/>
    <w:qFormat/>
    <w:pPr>
      <w:tabs>
        <w:tab w:val="clear" w:pos="4513"/>
        <w:tab w:val="clear" w:pos="9026"/>
        <w:tab w:val="center" w:pos="4680"/>
        <w:tab w:val="right" w:pos="9360"/>
      </w:tabs>
      <w:snapToGrid/>
    </w:pPr>
  </w:style>
  <w:style w:type="character" w:customStyle="1" w:styleId="afc">
    <w:name w:val="脚注文字列 (文字)"/>
    <w:basedOn w:val="a3"/>
    <w:link w:val="afb"/>
    <w:qFormat/>
    <w:rPr>
      <w:rFonts w:ascii="Times" w:eastAsia="Batang" w:hAnsi="Times" w:cs="Times New Roman"/>
      <w:kern w:val="0"/>
      <w:szCs w:val="20"/>
      <w:lang w:val="zh-CN" w:eastAsia="zh-CN"/>
    </w:rPr>
  </w:style>
  <w:style w:type="character" w:customStyle="1" w:styleId="af5">
    <w:name w:val="見出しマップ (文字)"/>
    <w:basedOn w:val="a3"/>
    <w:link w:val="af4"/>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3">
    <w:name w:val="日付 (文字)"/>
    <w:basedOn w:val="a3"/>
    <w:link w:val="af2"/>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ＭＳ 明朝" w:hAnsi="Times New Roman" w:cs="Times New Roman"/>
      <w:sz w:val="22"/>
      <w:szCs w:val="24"/>
      <w:lang w:val="zh-CN"/>
    </w:rPr>
  </w:style>
  <w:style w:type="character" w:customStyle="1" w:styleId="3GPPNormalTextChar">
    <w:name w:val="3GPP Normal Text Char"/>
    <w:link w:val="3GPPNormalText"/>
    <w:qFormat/>
    <w:rPr>
      <w:rFonts w:ascii="Times New Roman" w:eastAsia="ＭＳ 明朝"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2"/>
    <w:link w:val="B10"/>
    <w:qFormat/>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9"/>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ascii="Times New Roman" w:eastAsia="ＭＳ 明朝" w:hAnsi="Times New Roman" w:cs="Times New Roman"/>
      <w:kern w:val="0"/>
      <w:szCs w:val="20"/>
      <w:lang w:val="en-GB" w:eastAsia="en-US"/>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ＭＳ 明朝"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f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cs="Times New Roman"/>
      <w:i/>
      <w:kern w:val="0"/>
      <w:sz w:val="18"/>
      <w:szCs w:val="24"/>
      <w:lang w:val="en-GB" w:eastAsia="en-GB"/>
    </w:rPr>
  </w:style>
  <w:style w:type="character" w:customStyle="1" w:styleId="55">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ＭＳ 明朝"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qFormat/>
    <w:pPr>
      <w:tabs>
        <w:tab w:val="left" w:pos="1152"/>
      </w:tabs>
    </w:pPr>
    <w:rPr>
      <w:rFonts w:eastAsia="ＭＳ Ｐゴシック" w:cs="Times"/>
      <w:szCs w:val="20"/>
      <w:lang w:val="en-US" w:eastAsia="ja-JP"/>
    </w:rPr>
  </w:style>
  <w:style w:type="paragraph" w:customStyle="1" w:styleId="710">
    <w:name w:val="标题 71"/>
    <w:basedOn w:val="a2"/>
    <w:qFormat/>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ＭＳ Ｐゴシック"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ＭＳ Ｐゴシック"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ＭＳ 明朝"/>
      <w:bCs w:val="0"/>
      <w:iCs/>
      <w:color w:val="000000"/>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本文 2 (文字)"/>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a">
    <w:name w:val="副題 (文字)"/>
    <w:basedOn w:val="a3"/>
    <w:link w:val="aff9"/>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ＭＳ 明朝"/>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qFormat/>
    <w:pPr>
      <w:tabs>
        <w:tab w:val="left" w:pos="1152"/>
      </w:tabs>
    </w:pPr>
    <w:rPr>
      <w:rFonts w:eastAsia="ＭＳ Ｐゴシック" w:cs="Times"/>
      <w:szCs w:val="20"/>
      <w:lang w:val="en-US" w:eastAsia="ja-JP"/>
    </w:rPr>
  </w:style>
  <w:style w:type="paragraph" w:customStyle="1" w:styleId="72">
    <w:name w:val="标题 72"/>
    <w:basedOn w:val="a2"/>
    <w:qFormat/>
    <w:pPr>
      <w:tabs>
        <w:tab w:val="left" w:pos="1296"/>
      </w:tabs>
    </w:pPr>
    <w:rPr>
      <w:rFonts w:eastAsia="ＭＳ Ｐゴシック" w:cs="Times"/>
      <w:szCs w:val="20"/>
      <w:lang w:val="en-US" w:eastAsia="ja-JP"/>
    </w:rPr>
  </w:style>
  <w:style w:type="character" w:customStyle="1" w:styleId="19">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7">
    <w:name w:val="本文インデント 2 (文字)"/>
    <w:basedOn w:val="a3"/>
    <w:link w:val="26"/>
    <w:qFormat/>
    <w:rPr>
      <w:rFonts w:ascii="Times New Roman" w:eastAsia="SimSun" w:hAnsi="Times New Roman" w:cs="Times New Roman"/>
      <w:szCs w:val="20"/>
      <w:lang w:val="zh-CN" w:eastAsia="zh-CN"/>
    </w:rPr>
  </w:style>
  <w:style w:type="character" w:customStyle="1" w:styleId="35">
    <w:name w:val="本文インデント 3 (文字)"/>
    <w:basedOn w:val="a3"/>
    <w:link w:val="34"/>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ＭＳ 明朝"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ＭＳ 明朝"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a">
    <w:name w:val="표 구분선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一覧 (文字)"/>
    <w:link w:val="aff2"/>
    <w:qFormat/>
    <w:rPr>
      <w:rFonts w:ascii="Times" w:eastAsia="Batang" w:hAnsi="Times" w:cs="Times New Roman"/>
      <w:kern w:val="0"/>
      <w:szCs w:val="24"/>
      <w:lang w:val="en-GB" w:eastAsia="en-US"/>
    </w:rPr>
  </w:style>
  <w:style w:type="character" w:customStyle="1" w:styleId="2a">
    <w:name w:val="一覧 2 (文字)"/>
    <w:link w:val="29"/>
    <w:qFormat/>
    <w:rPr>
      <w:rFonts w:ascii="Times" w:eastAsia="Batang" w:hAnsi="Times" w:cs="Times New Roman"/>
      <w:kern w:val="0"/>
      <w:szCs w:val="24"/>
      <w:lang w:val="en-GB" w:eastAsia="en-US"/>
    </w:rPr>
  </w:style>
  <w:style w:type="character" w:customStyle="1" w:styleId="37">
    <w:name w:val="一覧 3 (文字)"/>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ＭＳ 明朝" w:hAnsi="Times New Roman"/>
      <w:sz w:val="24"/>
      <w:lang w:val="en-US" w:eastAsia="ja-JP"/>
    </w:rPr>
  </w:style>
  <w:style w:type="paragraph" w:customStyle="1" w:styleId="bullet">
    <w:name w:val="bullet"/>
    <w:basedOn w:val="afff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4"/>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ＭＳ 明朝" w:hAnsi="Times New Roman"/>
      <w:szCs w:val="20"/>
    </w:rPr>
  </w:style>
  <w:style w:type="paragraph" w:customStyle="1" w:styleId="1b">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b"/>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c">
    <w:name w:val="网格型1"/>
    <w:basedOn w:val="a4"/>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0">
    <w:name w:val="表題 (文字)"/>
    <w:basedOn w:val="a3"/>
    <w:link w:val="afff"/>
    <w:qFormat/>
    <w:rPr>
      <w:rFonts w:ascii="Arial" w:eastAsia="ＭＳ 明朝"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d"/>
    <w:qFormat/>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ＭＳ 明朝" w:hAnsi="Times New Roman"/>
      <w:szCs w:val="20"/>
      <w:lang w:val="en-US" w:eastAsia="ja-JP"/>
    </w:rPr>
  </w:style>
  <w:style w:type="character" w:customStyle="1" w:styleId="ab">
    <w:name w:val="本文インデント (文字)"/>
    <w:basedOn w:val="a3"/>
    <w:link w:val="aa"/>
    <w:uiPriority w:val="99"/>
    <w:semiHidden/>
    <w:qFormat/>
    <w:rPr>
      <w:rFonts w:ascii="Times" w:eastAsia="Batang" w:hAnsi="Times" w:cs="Times New Roman"/>
      <w:kern w:val="0"/>
      <w:szCs w:val="24"/>
      <w:lang w:val="en-GB" w:eastAsia="en-US"/>
    </w:rPr>
  </w:style>
  <w:style w:type="character" w:customStyle="1" w:styleId="25">
    <w:name w:val="本文字下げ 2 (文字)"/>
    <w:basedOn w:val="ab"/>
    <w:link w:val="24"/>
    <w:qFormat/>
    <w:rPr>
      <w:rFonts w:ascii="Times New Roman" w:eastAsia="ＭＳ 明朝"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ＭＳ 明朝" w:hAnsi="Arial"/>
      <w:szCs w:val="22"/>
      <w:lang w:eastAsia="ja-JP"/>
    </w:rPr>
  </w:style>
  <w:style w:type="paragraph" w:customStyle="1" w:styleId="assocaitedwith">
    <w:name w:val="assocaited with"/>
    <w:basedOn w:val="a2"/>
    <w:qFormat/>
    <w:pPr>
      <w:spacing w:after="180"/>
      <w:jc w:val="center"/>
    </w:pPr>
    <w:rPr>
      <w:rFonts w:ascii="Times New Roman" w:eastAsia="ＭＳ 明朝"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d">
    <w:name w:val="浅色列表1"/>
    <w:basedOn w:val="a4"/>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qFormat/>
    <w:rPr>
      <w:rFonts w:ascii="Times New Roman" w:eastAsia="SimSun" w:hAnsi="Times New Roman" w:cs="SimSun"/>
      <w:sz w:val="21"/>
      <w:szCs w:val="20"/>
      <w:lang w:eastAsia="zh-CN"/>
    </w:rPr>
  </w:style>
  <w:style w:type="paragraph" w:customStyle="1" w:styleId="af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e">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ＭＳ 明朝"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ＭＳ 明朝"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qFormat/>
    <w:pPr>
      <w:spacing w:before="100" w:after="100"/>
      <w:ind w:left="860"/>
    </w:pPr>
    <w:rPr>
      <w:rFonts w:eastAsia="ＭＳ ゴシック"/>
      <w:sz w:val="24"/>
      <w:szCs w:val="20"/>
      <w:lang w:eastAsia="ja-JP"/>
    </w:rPr>
  </w:style>
  <w:style w:type="paragraph" w:customStyle="1" w:styleId="a">
    <w:name w:val="佐藤２"/>
    <w:basedOn w:val="a2"/>
    <w:qFormat/>
    <w:pPr>
      <w:numPr>
        <w:numId w:val="29"/>
      </w:numPr>
      <w:spacing w:after="180"/>
    </w:pPr>
    <w:rPr>
      <w:rFonts w:ascii="Times New Roman" w:eastAsia="ＭＳ ゴシック"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ＭＳ ゴシック" w:cs="Times New Roman"/>
      <w:sz w:val="24"/>
      <w:szCs w:val="20"/>
      <w:lang w:val="en-GB"/>
    </w:rPr>
  </w:style>
  <w:style w:type="character" w:customStyle="1" w:styleId="33">
    <w:name w:val="本文 3 (文字)"/>
    <w:basedOn w:val="a3"/>
    <w:link w:val="32"/>
    <w:qFormat/>
    <w:rPr>
      <w:rFonts w:ascii="Times New Roman" w:eastAsia="ＭＳ ゴシック"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ja-JP"/>
    </w:rPr>
  </w:style>
  <w:style w:type="character" w:customStyle="1" w:styleId="afffa">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2">
    <w:name w:val="表 (赤)  81"/>
    <w:basedOn w:val="a2"/>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qFormat/>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ＭＳ 明朝"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
    <w:name w:val="표 기본형 1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
    <w:name w:val="표 테마1"/>
    <w:basedOn w:val="a4"/>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0">
    <w:name w:val="표 꾸밈형1"/>
    <w:basedOn w:val="a4"/>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4">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47</Pages>
  <Words>21514</Words>
  <Characters>122634</Characters>
  <Application>Microsoft Office Word</Application>
  <DocSecurity>0</DocSecurity>
  <Lines>1021</Lines>
  <Paragraphs>287</Paragraphs>
  <ScaleCrop>false</ScaleCrop>
  <Company/>
  <LinksUpToDate>false</LinksUpToDate>
  <CharactersWithSpaces>143861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Cheng, Huiting/成 慧テン</cp:lastModifiedBy>
  <cp:revision>9</cp:revision>
  <dcterms:created xsi:type="dcterms:W3CDTF">2024-10-14T09:55:00Z</dcterms:created>
  <dcterms:modified xsi:type="dcterms:W3CDTF">2024-10-14T09:59:00Z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ies>
</file>