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Tejas,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CSI_ref</w:t>
            </w:r>
            <w:proofErr w:type="spellEnd"/>
            <w:r>
              <w:rPr>
                <w:rFonts w:eastAsia="DengXian"/>
                <w:bCs/>
                <w:sz w:val="20"/>
                <w:szCs w:val="20"/>
                <w:vertAlign w:val="subscript"/>
                <w:lang w:eastAsia="zh-CN"/>
              </w:rPr>
              <w:t xml:space="preserve">  </w:t>
            </w:r>
            <w:r>
              <w:rPr>
                <w:rFonts w:eastAsia="DengXian"/>
                <w:bCs/>
                <w:sz w:val="20"/>
                <w:szCs w:val="20"/>
                <w:lang w:eastAsia="zh-CN"/>
              </w:rPr>
              <w:t>by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210B743C"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OK. The current note is then used as guidance for implementation but is not captured in the spec as implied in the main paragraph. Is that correct?</w:t>
            </w:r>
          </w:p>
          <w:p w14:paraId="4F76D798" w14:textId="77777777" w:rsidR="00C455EA" w:rsidRDefault="00C455EA" w:rsidP="00C455EA">
            <w:pPr>
              <w:jc w:val="both"/>
              <w:rPr>
                <w:rFonts w:ascii="Times" w:eastAsia="SimSun" w:hAnsi="Times" w:cs="Times"/>
                <w:sz w:val="18"/>
                <w:szCs w:val="18"/>
                <w:lang w:eastAsia="zh-CN"/>
              </w:rPr>
            </w:pPr>
          </w:p>
          <w:p w14:paraId="1D39CC18"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1.E:</w:t>
            </w:r>
          </w:p>
          <w:p w14:paraId="4D578172"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0C1FCFB9"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77777777" w:rsidR="005A2913" w:rsidRDefault="005A2913" w:rsidP="005A2913">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lastRenderedPageBreak/>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lastRenderedPageBreak/>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Qualcomm, Samsung, Ericsson, Sony, Lenovo</w:t>
            </w:r>
            <w:r w:rsidR="00A56960">
              <w:rPr>
                <w:rFonts w:eastAsia="DengXian"/>
                <w:bCs/>
                <w:sz w:val="18"/>
                <w:szCs w:val="22"/>
                <w:lang w:val="en-GB" w:eastAsia="zh-CN"/>
              </w:rPr>
              <w:t>/</w:t>
            </w:r>
            <w:proofErr w:type="spellStart"/>
            <w:r w:rsidR="00A56960">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30EF21B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lastRenderedPageBreak/>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Apple, IDC, NTT DOCOMO,</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7211B7">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7211B7">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7211B7">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D</w:t>
            </w:r>
            <w:r>
              <w:rPr>
                <w:rFonts w:eastAsia="SimSun"/>
                <w:sz w:val="20"/>
                <w:szCs w:val="20"/>
                <w:vertAlign w:val="subscript"/>
                <w:lang w:val="en-GB"/>
              </w:rPr>
              <w:t>n,offset</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0360807B">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DengXian"/>
                <w:b/>
                <w:bCs/>
                <w:sz w:val="20"/>
                <w:szCs w:val="20"/>
                <w:u w:val="single"/>
                <w:lang w:eastAsia="zh-CN"/>
              </w:rPr>
            </w:pPr>
            <w:r>
              <w:rPr>
                <w:rFonts w:eastAsia="DengXian"/>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gNB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lastRenderedPageBreak/>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C</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1</w:t>
            </w:r>
            <w:r w:rsidRPr="008F10CB">
              <w:rPr>
                <w:rFonts w:ascii="Times" w:eastAsia="SimSun" w:hAnsi="Times" w:cs="Times"/>
                <w:b/>
                <w:bCs/>
                <w:sz w:val="18"/>
                <w:szCs w:val="18"/>
                <w:u w:val="single"/>
                <w:lang w:eastAsia="zh-CN"/>
              </w:rPr>
              <w:t>2:</w:t>
            </w:r>
          </w:p>
          <w:p w14:paraId="7BB45AFE"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Support</w:t>
            </w:r>
          </w:p>
          <w:p w14:paraId="5113B4D7" w14:textId="77777777" w:rsidR="00C455EA" w:rsidRDefault="00C455EA" w:rsidP="00C455EA">
            <w:pPr>
              <w:jc w:val="both"/>
              <w:rPr>
                <w:rFonts w:ascii="Times" w:eastAsia="SimSun" w:hAnsi="Times" w:cs="Times"/>
                <w:sz w:val="18"/>
                <w:szCs w:val="18"/>
                <w:lang w:eastAsia="zh-CN"/>
              </w:rPr>
            </w:pPr>
          </w:p>
          <w:p w14:paraId="7C0D6B9A"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D.1</w:t>
            </w:r>
            <w:r w:rsidRPr="008F10CB">
              <w:rPr>
                <w:rFonts w:ascii="Times" w:eastAsia="SimSun" w:hAnsi="Times" w:cs="Times"/>
                <w:b/>
                <w:bCs/>
                <w:sz w:val="18"/>
                <w:szCs w:val="18"/>
                <w:u w:val="single"/>
                <w:lang w:eastAsia="zh-CN"/>
              </w:rPr>
              <w:t>:</w:t>
            </w:r>
          </w:p>
          <w:p w14:paraId="29E5E86F"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DengXian"/>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hint="eastAsia"/>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DengXian"/>
                <w:b/>
                <w:bCs/>
                <w:sz w:val="20"/>
                <w:szCs w:val="20"/>
                <w:lang w:val="en-GB" w:eastAsia="zh-CN"/>
              </w:rPr>
            </w:pPr>
            <w:r w:rsidRPr="0012595A">
              <w:rPr>
                <w:rFonts w:eastAsia="DengXian"/>
                <w:b/>
                <w:bCs/>
                <w:sz w:val="20"/>
                <w:szCs w:val="20"/>
                <w:lang w:val="en-GB" w:eastAsia="zh-CN"/>
              </w:rPr>
              <w:t>Proposal 3.C.12</w:t>
            </w:r>
          </w:p>
          <w:p w14:paraId="72E9C9EB" w14:textId="5188EAF3" w:rsidR="004A4443" w:rsidRDefault="004A4443" w:rsidP="00C455EA">
            <w:pPr>
              <w:jc w:val="both"/>
              <w:rPr>
                <w:rFonts w:eastAsia="DengXian"/>
                <w:bCs/>
                <w:sz w:val="20"/>
                <w:szCs w:val="20"/>
                <w:lang w:val="en-GB" w:eastAsia="zh-CN"/>
              </w:rPr>
            </w:pPr>
            <w:r>
              <w:rPr>
                <w:rFonts w:eastAsia="DengXian"/>
                <w:bCs/>
                <w:sz w:val="20"/>
                <w:szCs w:val="20"/>
                <w:lang w:val="en-GB" w:eastAsia="zh-CN"/>
              </w:rPr>
              <w:t>Fine with the proposal.</w:t>
            </w:r>
            <w:r w:rsidR="0012595A">
              <w:rPr>
                <w:rFonts w:eastAsia="DengXian"/>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DengXian"/>
                <w:bCs/>
                <w:sz w:val="20"/>
                <w:szCs w:val="20"/>
                <w:lang w:val="en-GB" w:eastAsia="zh-CN"/>
              </w:rPr>
            </w:pPr>
            <w:bookmarkStart w:id="4" w:name="_GoBack"/>
            <w:bookmarkEnd w:id="4"/>
          </w:p>
          <w:p w14:paraId="74EF1782" w14:textId="0CED30BD" w:rsidR="004A4443" w:rsidRPr="004A4443" w:rsidRDefault="004A4443" w:rsidP="00C455EA">
            <w:pPr>
              <w:jc w:val="both"/>
              <w:rPr>
                <w:rFonts w:eastAsia="DengXian"/>
                <w:bCs/>
                <w:sz w:val="20"/>
                <w:szCs w:val="20"/>
                <w:u w:val="single"/>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6CC39" w14:textId="77777777" w:rsidR="007211B7" w:rsidRDefault="007211B7" w:rsidP="005A2913">
      <w:r>
        <w:separator/>
      </w:r>
    </w:p>
  </w:endnote>
  <w:endnote w:type="continuationSeparator" w:id="0">
    <w:p w14:paraId="3E51A7CE" w14:textId="77777777" w:rsidR="007211B7" w:rsidRDefault="007211B7"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D690F" w14:textId="77777777" w:rsidR="007211B7" w:rsidRDefault="007211B7" w:rsidP="005A2913">
      <w:r>
        <w:separator/>
      </w:r>
    </w:p>
  </w:footnote>
  <w:footnote w:type="continuationSeparator" w:id="0">
    <w:p w14:paraId="385792D3" w14:textId="77777777" w:rsidR="007211B7" w:rsidRDefault="007211B7"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5"/>
  </w:num>
  <w:num w:numId="3">
    <w:abstractNumId w:val="31"/>
  </w:num>
  <w:num w:numId="4">
    <w:abstractNumId w:val="32"/>
  </w:num>
  <w:num w:numId="5">
    <w:abstractNumId w:val="19"/>
  </w:num>
  <w:num w:numId="6">
    <w:abstractNumId w:val="44"/>
  </w:num>
  <w:num w:numId="7">
    <w:abstractNumId w:val="18"/>
  </w:num>
  <w:num w:numId="8">
    <w:abstractNumId w:val="20"/>
  </w:num>
  <w:num w:numId="9">
    <w:abstractNumId w:val="30"/>
  </w:num>
  <w:num w:numId="10">
    <w:abstractNumId w:val="39"/>
  </w:num>
  <w:num w:numId="11">
    <w:abstractNumId w:val="4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
  </w:num>
  <w:num w:numId="15">
    <w:abstractNumId w:val="5"/>
  </w:num>
  <w:num w:numId="16">
    <w:abstractNumId w:val="37"/>
  </w:num>
  <w:num w:numId="17">
    <w:abstractNumId w:val="13"/>
  </w:num>
  <w:num w:numId="18">
    <w:abstractNumId w:val="4"/>
  </w:num>
  <w:num w:numId="19">
    <w:abstractNumId w:val="29"/>
  </w:num>
  <w:num w:numId="20">
    <w:abstractNumId w:val="10"/>
  </w:num>
  <w:num w:numId="21">
    <w:abstractNumId w:val="7"/>
  </w:num>
  <w:num w:numId="22">
    <w:abstractNumId w:val="23"/>
  </w:num>
  <w:num w:numId="23">
    <w:abstractNumId w:val="24"/>
  </w:num>
  <w:num w:numId="24">
    <w:abstractNumId w:val="36"/>
  </w:num>
  <w:num w:numId="25">
    <w:abstractNumId w:val="1"/>
  </w:num>
  <w:num w:numId="26">
    <w:abstractNumId w:val="27"/>
  </w:num>
  <w:num w:numId="27">
    <w:abstractNumId w:val="38"/>
  </w:num>
  <w:num w:numId="28">
    <w:abstractNumId w:val="14"/>
  </w:num>
  <w:num w:numId="29">
    <w:abstractNumId w:val="6"/>
  </w:num>
  <w:num w:numId="30">
    <w:abstractNumId w:val="42"/>
  </w:num>
  <w:num w:numId="31">
    <w:abstractNumId w:val="15"/>
  </w:num>
  <w:num w:numId="32">
    <w:abstractNumId w:val="9"/>
  </w:num>
  <w:num w:numId="33">
    <w:abstractNumId w:val="43"/>
  </w:num>
  <w:num w:numId="34">
    <w:abstractNumId w:val="17"/>
  </w:num>
  <w:num w:numId="35">
    <w:abstractNumId w:val="12"/>
  </w:num>
  <w:num w:numId="36">
    <w:abstractNumId w:val="0"/>
  </w:num>
  <w:num w:numId="37">
    <w:abstractNumId w:val="33"/>
  </w:num>
  <w:num w:numId="38">
    <w:abstractNumId w:val="11"/>
  </w:num>
  <w:num w:numId="39">
    <w:abstractNumId w:val="22"/>
  </w:num>
  <w:num w:numId="40">
    <w:abstractNumId w:val="2"/>
  </w:num>
  <w:num w:numId="41">
    <w:abstractNumId w:val="26"/>
  </w:num>
  <w:num w:numId="42">
    <w:abstractNumId w:val="40"/>
  </w:num>
  <w:num w:numId="43">
    <w:abstractNumId w:val="28"/>
  </w:num>
  <w:num w:numId="44">
    <w:abstractNumId w:val="3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3.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4.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5.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F207D32-694D-465E-A741-6B07036D5D6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8</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Gilwon Lee</cp:lastModifiedBy>
  <cp:revision>4</cp:revision>
  <cp:lastPrinted>2021-10-06T09:28:00Z</cp:lastPrinted>
  <dcterms:created xsi:type="dcterms:W3CDTF">2024-10-15T10:49:00Z</dcterms:created>
  <dcterms:modified xsi:type="dcterms:W3CDTF">2024-10-15T11:29:00Z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