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aff"/>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aff"/>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aff"/>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aff"/>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3"/>
        <w:numPr>
          <w:ilvl w:val="1"/>
          <w:numId w:val="13"/>
        </w:numPr>
      </w:pPr>
      <w:r>
        <w:t>Issue 1 (WID objective 2a and 2b): Type-I and Type-II codebook refinement for up to 128 CSI-RS ports</w:t>
      </w:r>
    </w:p>
    <w:p w14:paraId="34FD1FE9" w14:textId="77777777" w:rsidR="00694309" w:rsidRDefault="001054DF">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aff"/>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aff"/>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Tejas,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CSI_ref</w:t>
            </w:r>
            <w:proofErr w:type="spellEnd"/>
            <w:r>
              <w:rPr>
                <w:rFonts w:eastAsia="DengXian"/>
                <w:bCs/>
                <w:sz w:val="20"/>
                <w:szCs w:val="20"/>
                <w:vertAlign w:val="subscript"/>
                <w:lang w:eastAsia="zh-CN"/>
              </w:rPr>
              <w:t xml:space="preserve">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aff"/>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a3"/>
        <w:spacing w:after="0" w:line="240" w:lineRule="auto"/>
        <w:jc w:val="center"/>
      </w:pPr>
    </w:p>
    <w:p w14:paraId="3AE88A57" w14:textId="0FF6D5E0" w:rsidR="00694309" w:rsidRDefault="001054DF">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aff"/>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aff"/>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SimSun" w:hAnsi="Times" w:cs="Times"/>
                <w:sz w:val="18"/>
                <w:szCs w:val="18"/>
                <w:lang w:eastAsia="zh-CN"/>
              </w:rPr>
            </w:pPr>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a3"/>
        <w:jc w:val="center"/>
      </w:pPr>
      <w:r>
        <w:t xml:space="preserve">Table 2B SLS results: issue 2 </w:t>
      </w:r>
    </w:p>
    <w:p w14:paraId="39B312A4" w14:textId="6ADE8BEA" w:rsidR="00694309" w:rsidRDefault="006616D3">
      <w:r>
        <w:t>--</w:t>
      </w:r>
    </w:p>
    <w:p w14:paraId="25DEEBE1" w14:textId="77777777" w:rsidR="00694309" w:rsidRDefault="001054DF">
      <w:pPr>
        <w:pStyle w:val="a3"/>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aff"/>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aff"/>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lastRenderedPageBreak/>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aff"/>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aff"/>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aff"/>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aff"/>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aff"/>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aff"/>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aff"/>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lastRenderedPageBreak/>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aff"/>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aff"/>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aff"/>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aff"/>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aff"/>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aff"/>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aff"/>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aff"/>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aff"/>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lastRenderedPageBreak/>
              <w:t>Support/fine: Samsung, HONOR, Xiaomi, vivo, Ericsson, OPPO, NTT DOCOMO,</w:t>
            </w:r>
          </w:p>
          <w:p w14:paraId="4C2FF973" w14:textId="77777777" w:rsidR="004A7F12" w:rsidRPr="004A7F12" w:rsidRDefault="004A7F12" w:rsidP="006616D3">
            <w:pPr>
              <w:pStyle w:val="aff"/>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aff"/>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aff"/>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aff"/>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aff"/>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aff"/>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aff"/>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af"/>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000000">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aff"/>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D</w:t>
            </w:r>
            <w:r>
              <w:rPr>
                <w:rFonts w:eastAsia="SimSun"/>
                <w:sz w:val="20"/>
                <w:szCs w:val="20"/>
                <w:vertAlign w:val="subscript"/>
                <w:lang w:val="en-GB"/>
              </w:rPr>
              <w:t>n,offset</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aff"/>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aff"/>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aff"/>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aff"/>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aff"/>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aff"/>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aff"/>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0360807B">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a3"/>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/TAE and subband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aff"/>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aff"/>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aff"/>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aff"/>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aff"/>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aff"/>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aff"/>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aff"/>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aff"/>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lastRenderedPageBreak/>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ＭＳ 明朝" w:hint="eastAsia"/>
                <w:sz w:val="18"/>
                <w:szCs w:val="18"/>
                <w:lang w:eastAsia="ja-JP"/>
              </w:rPr>
            </w:pPr>
            <w:r>
              <w:rPr>
                <w:rFonts w:eastAsia="ＭＳ 明朝"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ＭＳ 明朝" w:hAnsi="Times" w:cs="Times" w:hint="eastAsia"/>
                <w:b/>
                <w:bCs/>
                <w:sz w:val="18"/>
                <w:szCs w:val="18"/>
                <w:u w:val="single"/>
                <w:lang w:eastAsia="ja-JP"/>
              </w:rPr>
            </w:pPr>
            <w:r>
              <w:rPr>
                <w:rFonts w:eastAsia="DengXian"/>
                <w:b/>
                <w:bCs/>
                <w:sz w:val="20"/>
                <w:szCs w:val="20"/>
                <w:u w:val="single"/>
                <w:lang w:val="en-GB" w:eastAsia="zh-CN"/>
              </w:rPr>
              <w:t>Proposal 3.C.14</w:t>
            </w:r>
            <w:r>
              <w:rPr>
                <w:rFonts w:eastAsia="ＭＳ 明朝" w:hint="eastAsia"/>
                <w:b/>
                <w:bCs/>
                <w:sz w:val="20"/>
                <w:szCs w:val="20"/>
                <w:u w:val="single"/>
                <w:lang w:val="en-GB" w:eastAsia="ja-JP"/>
              </w:rPr>
              <w:t>:</w:t>
            </w:r>
            <w:r w:rsidRPr="003345AD">
              <w:rPr>
                <w:rFonts w:eastAsia="ＭＳ 明朝" w:hint="eastAsia"/>
                <w:sz w:val="20"/>
                <w:szCs w:val="20"/>
                <w:lang w:val="en-GB" w:eastAsia="ja-JP"/>
              </w:rPr>
              <w:t xml:space="preserve"> Support.</w:t>
            </w:r>
          </w:p>
        </w:tc>
      </w:tr>
    </w:tbl>
    <w:p w14:paraId="1A8917F3" w14:textId="77777777" w:rsidR="00694309" w:rsidRDefault="00694309"/>
    <w:p w14:paraId="186880B3" w14:textId="77777777" w:rsidR="00694309" w:rsidRDefault="001054DF">
      <w:pPr>
        <w:pStyle w:val="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E297" w14:textId="77777777" w:rsidR="004D0089" w:rsidRDefault="004D0089" w:rsidP="005A2913">
      <w:r>
        <w:separator/>
      </w:r>
    </w:p>
  </w:endnote>
  <w:endnote w:type="continuationSeparator" w:id="0">
    <w:p w14:paraId="2967771A" w14:textId="77777777" w:rsidR="004D0089" w:rsidRDefault="004D0089"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781F3" w14:textId="77777777" w:rsidR="004D0089" w:rsidRDefault="004D0089" w:rsidP="005A2913">
      <w:r>
        <w:separator/>
      </w:r>
    </w:p>
  </w:footnote>
  <w:footnote w:type="continuationSeparator" w:id="0">
    <w:p w14:paraId="3E5669A5" w14:textId="77777777" w:rsidR="004D0089" w:rsidRDefault="004D0089"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663847919">
    <w:abstractNumId w:val="3"/>
  </w:num>
  <w:num w:numId="2" w16cid:durableId="385494189">
    <w:abstractNumId w:val="25"/>
  </w:num>
  <w:num w:numId="3" w16cid:durableId="904536334">
    <w:abstractNumId w:val="31"/>
  </w:num>
  <w:num w:numId="4" w16cid:durableId="1174151419">
    <w:abstractNumId w:val="32"/>
  </w:num>
  <w:num w:numId="5" w16cid:durableId="1907912865">
    <w:abstractNumId w:val="19"/>
  </w:num>
  <w:num w:numId="6" w16cid:durableId="1099830674">
    <w:abstractNumId w:val="44"/>
  </w:num>
  <w:num w:numId="7" w16cid:durableId="1131440682">
    <w:abstractNumId w:val="18"/>
  </w:num>
  <w:num w:numId="8" w16cid:durableId="1476944624">
    <w:abstractNumId w:val="20"/>
  </w:num>
  <w:num w:numId="9" w16cid:durableId="507065820">
    <w:abstractNumId w:val="30"/>
  </w:num>
  <w:num w:numId="10" w16cid:durableId="1740983250">
    <w:abstractNumId w:val="39"/>
  </w:num>
  <w:num w:numId="11" w16cid:durableId="986208379">
    <w:abstractNumId w:val="41"/>
  </w:num>
  <w:num w:numId="12" w16cid:durableId="368339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375868">
    <w:abstractNumId w:val="35"/>
  </w:num>
  <w:num w:numId="14" w16cid:durableId="1383169373">
    <w:abstractNumId w:val="8"/>
  </w:num>
  <w:num w:numId="15" w16cid:durableId="467286172">
    <w:abstractNumId w:val="5"/>
  </w:num>
  <w:num w:numId="16" w16cid:durableId="1234009418">
    <w:abstractNumId w:val="37"/>
  </w:num>
  <w:num w:numId="17" w16cid:durableId="1660035411">
    <w:abstractNumId w:val="13"/>
  </w:num>
  <w:num w:numId="18" w16cid:durableId="123625164">
    <w:abstractNumId w:val="4"/>
  </w:num>
  <w:num w:numId="19" w16cid:durableId="597451198">
    <w:abstractNumId w:val="29"/>
  </w:num>
  <w:num w:numId="20" w16cid:durableId="1570924348">
    <w:abstractNumId w:val="10"/>
  </w:num>
  <w:num w:numId="21" w16cid:durableId="805314896">
    <w:abstractNumId w:val="7"/>
  </w:num>
  <w:num w:numId="22" w16cid:durableId="1220433759">
    <w:abstractNumId w:val="23"/>
  </w:num>
  <w:num w:numId="23" w16cid:durableId="1928997062">
    <w:abstractNumId w:val="24"/>
  </w:num>
  <w:num w:numId="24" w16cid:durableId="572861525">
    <w:abstractNumId w:val="36"/>
  </w:num>
  <w:num w:numId="25" w16cid:durableId="82141703">
    <w:abstractNumId w:val="1"/>
  </w:num>
  <w:num w:numId="26" w16cid:durableId="1529487218">
    <w:abstractNumId w:val="27"/>
  </w:num>
  <w:num w:numId="27" w16cid:durableId="1564024747">
    <w:abstractNumId w:val="38"/>
  </w:num>
  <w:num w:numId="28" w16cid:durableId="986277938">
    <w:abstractNumId w:val="14"/>
  </w:num>
  <w:num w:numId="29" w16cid:durableId="655762499">
    <w:abstractNumId w:val="6"/>
  </w:num>
  <w:num w:numId="30" w16cid:durableId="2079791085">
    <w:abstractNumId w:val="42"/>
  </w:num>
  <w:num w:numId="31" w16cid:durableId="673269561">
    <w:abstractNumId w:val="15"/>
  </w:num>
  <w:num w:numId="32" w16cid:durableId="1768426313">
    <w:abstractNumId w:val="9"/>
  </w:num>
  <w:num w:numId="33" w16cid:durableId="1255020477">
    <w:abstractNumId w:val="43"/>
  </w:num>
  <w:num w:numId="34" w16cid:durableId="349071715">
    <w:abstractNumId w:val="17"/>
  </w:num>
  <w:num w:numId="35" w16cid:durableId="856584158">
    <w:abstractNumId w:val="12"/>
  </w:num>
  <w:num w:numId="36" w16cid:durableId="1360937226">
    <w:abstractNumId w:val="0"/>
  </w:num>
  <w:num w:numId="37" w16cid:durableId="1846431246">
    <w:abstractNumId w:val="33"/>
  </w:num>
  <w:num w:numId="38" w16cid:durableId="114716081">
    <w:abstractNumId w:val="11"/>
  </w:num>
  <w:num w:numId="39" w16cid:durableId="560363228">
    <w:abstractNumId w:val="22"/>
  </w:num>
  <w:num w:numId="40" w16cid:durableId="105346983">
    <w:abstractNumId w:val="2"/>
  </w:num>
  <w:num w:numId="41" w16cid:durableId="1932657386">
    <w:abstractNumId w:val="26"/>
  </w:num>
  <w:num w:numId="42" w16cid:durableId="1190148767">
    <w:abstractNumId w:val="40"/>
  </w:num>
  <w:num w:numId="43" w16cid:durableId="915478294">
    <w:abstractNumId w:val="28"/>
  </w:num>
  <w:num w:numId="44" w16cid:durableId="853688010">
    <w:abstractNumId w:val="34"/>
  </w:num>
  <w:num w:numId="45" w16cid:durableId="768622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3D"/>
    <w:rPr>
      <w:rFonts w:ascii="Times New Roman" w:eastAsia="Times New Roman" w:hAnsi="Times New Roman"/>
      <w:sz w:val="24"/>
      <w:szCs w:val="24"/>
      <w:lang w:eastAsia="en-US"/>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qFormat/>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qFormat/>
    <w:pPr>
      <w:tabs>
        <w:tab w:val="center" w:pos="4153"/>
        <w:tab w:val="right" w:pos="8306"/>
      </w:tabs>
      <w:snapToGrid w:val="0"/>
      <w:spacing w:after="160"/>
    </w:pPr>
    <w:rPr>
      <w:rFonts w:eastAsia="SimSun"/>
      <w:sz w:val="18"/>
      <w:szCs w:val="18"/>
    </w:rPr>
  </w:style>
  <w:style w:type="paragraph" w:styleId="ac">
    <w:name w:val="header"/>
    <w:basedOn w:val="a"/>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a"/>
    <w:qFormat/>
    <w:pPr>
      <w:numPr>
        <w:numId w:val="3"/>
      </w:numPr>
      <w:tabs>
        <w:tab w:val="left" w:pos="397"/>
      </w:tabs>
      <w:jc w:val="both"/>
    </w:pPr>
    <w:rPr>
      <w:b/>
      <w:bCs/>
      <w:sz w:val="20"/>
      <w:szCs w:val="20"/>
      <w:lang w:val="en-GB" w:eastAsia="zh-CN"/>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4"/>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6"/>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qFormat/>
    <w:rPr>
      <w:rFonts w:ascii="SimSun" w:eastAsia="SimSun" w:hAnsi="SimSun" w:cs="SimSun"/>
      <w:sz w:val="24"/>
      <w:szCs w:val="24"/>
    </w:rPr>
  </w:style>
  <w:style w:type="paragraph" w:customStyle="1" w:styleId="user-name">
    <w:name w:val="user-name"/>
    <w:basedOn w:val="a"/>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qFormat/>
    <w:rPr>
      <w:rFonts w:ascii="Times New Roman" w:hAnsi="Times New Roman"/>
      <w:sz w:val="24"/>
      <w:szCs w:val="24"/>
      <w:lang w:eastAsia="ko-KR"/>
    </w:rPr>
  </w:style>
  <w:style w:type="character" w:customStyle="1" w:styleId="10">
    <w:name w:val="見出し 1 (文字)"/>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a1"/>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a1"/>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2">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582A3-9AF1-4FB2-BC50-AC05A9E311FD}">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8</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KDDI総合研究所</cp:lastModifiedBy>
  <cp:revision>3</cp:revision>
  <cp:lastPrinted>2021-10-06T09:28:00Z</cp:lastPrinted>
  <dcterms:created xsi:type="dcterms:W3CDTF">2024-10-15T10:49:00Z</dcterms:created>
  <dcterms:modified xsi:type="dcterms:W3CDTF">2024-10-15T10:52:00Z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