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mapping between CSI-RS ports and SRS port groups</w:t>
            </w:r>
            <w:r w:rsidR="0013731B">
              <w:rPr>
                <w:rFonts w:eastAsiaTheme="minorEastAsia"/>
                <w:sz w:val="20"/>
                <w:szCs w:val="20"/>
                <w:lang w:eastAsia="zh-CN"/>
              </w:rPr>
              <w:t xml:space="preserve">,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2FFAE66B" w:rsidR="0013731B" w:rsidRPr="0013731B" w:rsidRDefault="0013731B" w:rsidP="00610F39">
            <w:pPr>
              <w:pStyle w:val="ListParagraph"/>
              <w:numPr>
                <w:ilvl w:val="0"/>
                <w:numId w:val="15"/>
              </w:numPr>
              <w:snapToGrid w:val="0"/>
              <w:spacing w:after="0" w:line="240" w:lineRule="auto"/>
              <w:rPr>
                <w:rFonts w:eastAsia="Malgun Gothic"/>
                <w:sz w:val="20"/>
                <w:highlight w:val="yellow"/>
                <w:lang w:eastAsia="zh-TW"/>
              </w:rPr>
            </w:pPr>
            <w:r w:rsidRPr="0013731B">
              <w:rPr>
                <w:rFonts w:eastAsia="Malgun Gothic"/>
                <w:sz w:val="20"/>
                <w:highlight w:val="yellow"/>
                <w:lang w:eastAsia="zh-TW"/>
              </w:rPr>
              <w:t>Note:</w:t>
            </w:r>
            <w:r w:rsidR="00190EC9">
              <w:rPr>
                <w:rFonts w:eastAsia="Malgun Gothic"/>
                <w:sz w:val="20"/>
                <w:highlight w:val="yellow"/>
                <w:lang w:eastAsia="zh-TW"/>
              </w:rPr>
              <w:t xml:space="preserve"> NW (by implementation) can configure</w:t>
            </w:r>
            <w:r w:rsidRPr="0013731B">
              <w:rPr>
                <w:rFonts w:eastAsia="Malgun Gothic"/>
                <w:sz w:val="20"/>
                <w:highlight w:val="yellow"/>
                <w:lang w:eastAsia="zh-TW"/>
              </w:rPr>
              <w:t xml:space="preserve"> </w:t>
            </w:r>
            <w:r w:rsidRPr="0013731B">
              <w:rPr>
                <w:rFonts w:eastAsia="Malgun Gothic"/>
                <w:sz w:val="20"/>
                <w:highlight w:val="yellow"/>
                <w:lang w:eastAsia="zh-TW"/>
              </w:rPr>
              <w:t>‘</w:t>
            </w:r>
            <w:r w:rsidRPr="0013731B">
              <w:rPr>
                <w:rFonts w:eastAsiaTheme="minorEastAsia"/>
                <w:i/>
                <w:iCs/>
                <w:sz w:val="20"/>
                <w:szCs w:val="20"/>
                <w:highlight w:val="yellow"/>
                <w:lang w:eastAsia="zh-CN"/>
              </w:rPr>
              <w:t>non-PMI-</w:t>
            </w:r>
            <w:proofErr w:type="spellStart"/>
            <w:r w:rsidRPr="0013731B">
              <w:rPr>
                <w:rFonts w:eastAsiaTheme="minorEastAsia"/>
                <w:i/>
                <w:iCs/>
                <w:sz w:val="20"/>
                <w:szCs w:val="20"/>
                <w:highlight w:val="yellow"/>
                <w:lang w:eastAsia="zh-CN"/>
              </w:rPr>
              <w:t>PortIndication</w:t>
            </w:r>
            <w:proofErr w:type="spellEnd"/>
            <w:r w:rsidRPr="0013731B">
              <w:rPr>
                <w:rFonts w:eastAsiaTheme="minorEastAsia"/>
                <w:sz w:val="20"/>
                <w:szCs w:val="20"/>
                <w:highlight w:val="yellow"/>
                <w:lang w:eastAsia="zh-CN"/>
              </w:rPr>
              <w:t>’</w:t>
            </w:r>
            <w:r w:rsidR="00190EC9">
              <w:rPr>
                <w:rFonts w:eastAsiaTheme="minorEastAsia"/>
                <w:sz w:val="20"/>
                <w:szCs w:val="20"/>
                <w:highlight w:val="yellow"/>
                <w:lang w:eastAsia="zh-CN"/>
              </w:rPr>
              <w:t xml:space="preserve"> for UEs configured with SRS port grouping</w:t>
            </w:r>
          </w:p>
          <w:p w14:paraId="070958C2" w14:textId="0E2FF9B4" w:rsidR="00610F39" w:rsidRDefault="00610F39" w:rsidP="00610F39">
            <w:pPr>
              <w:snapToGrid w:val="0"/>
              <w:rPr>
                <w:rFonts w:eastAsia="Malgun Gothic"/>
                <w:color w:val="3333FF"/>
                <w:sz w:val="18"/>
                <w:lang w:eastAsia="zh-TW"/>
              </w:rPr>
            </w:pPr>
          </w:p>
          <w:p w14:paraId="618B35F2" w14:textId="77777777" w:rsidR="0013731B" w:rsidRDefault="0013731B" w:rsidP="00610F39">
            <w:pPr>
              <w:snapToGrid w:val="0"/>
              <w:rPr>
                <w:rFonts w:eastAsia="Batang"/>
                <w:b/>
                <w:color w:val="3333FF"/>
                <w:sz w:val="18"/>
                <w:szCs w:val="20"/>
                <w:u w:val="single"/>
                <w:lang w:val="en-GB"/>
              </w:rPr>
            </w:pPr>
          </w:p>
          <w:p w14:paraId="0C9EC0E1" w14:textId="4159215B" w:rsidR="00610F39" w:rsidRDefault="00610F39" w:rsidP="00610F39">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0FD379E1"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please share your view on the following proposal: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Pr>
                <w:rFonts w:eastAsia="DengXian"/>
                <w:bCs/>
                <w:sz w:val="20"/>
                <w:szCs w:val="20"/>
                <w:lang w:eastAsia="zh-CN"/>
              </w:rPr>
              <w:t>by</w:t>
            </w:r>
            <w:proofErr w:type="gramEnd"/>
            <w:r>
              <w:rPr>
                <w:rFonts w:eastAsia="DengXian"/>
                <w:bCs/>
                <w:sz w:val="20"/>
                <w:szCs w:val="20"/>
                <w:lang w:eastAsia="zh-CN"/>
              </w:rPr>
              <w:t xml:space="preserve"> ceil(P/32)”</w:t>
            </w:r>
          </w:p>
          <w:p w14:paraId="0657B059" w14:textId="77777777" w:rsidR="006616D3" w:rsidRDefault="006616D3" w:rsidP="006616D3">
            <w:pPr>
              <w:pStyle w:val="ListParagraph"/>
              <w:numPr>
                <w:ilvl w:val="0"/>
                <w:numId w:val="17"/>
              </w:numPr>
              <w:snapToGrid w:val="0"/>
              <w:spacing w:after="0" w:line="240" w:lineRule="auto"/>
              <w:rPr>
                <w:rFonts w:eastAsia="DengXian"/>
                <w:bCs/>
                <w:color w:val="3333FF"/>
                <w:sz w:val="20"/>
                <w:szCs w:val="20"/>
                <w:lang w:eastAsia="zh-CN"/>
              </w:rPr>
            </w:pPr>
            <w:r>
              <w:rPr>
                <w:rFonts w:eastAsia="DengXian"/>
                <w:bCs/>
                <w:color w:val="3333FF"/>
                <w:sz w:val="20"/>
                <w:szCs w:val="20"/>
                <w:lang w:eastAsia="zh-CN"/>
              </w:rPr>
              <w:t xml:space="preserve">Yes: vivo, </w:t>
            </w:r>
            <w:proofErr w:type="spellStart"/>
            <w:r>
              <w:rPr>
                <w:rFonts w:eastAsia="DengXian"/>
                <w:bCs/>
                <w:color w:val="3333FF"/>
                <w:sz w:val="20"/>
                <w:szCs w:val="20"/>
                <w:lang w:eastAsia="zh-CN"/>
              </w:rPr>
              <w:t>Spreadtrum</w:t>
            </w:r>
            <w:proofErr w:type="spellEnd"/>
            <w:r>
              <w:rPr>
                <w:rFonts w:eastAsia="DengXian"/>
                <w:bCs/>
                <w:color w:val="3333FF"/>
                <w:sz w:val="20"/>
                <w:szCs w:val="20"/>
                <w:lang w:eastAsia="zh-CN"/>
              </w:rPr>
              <w:t xml:space="preserve">, Samsung (open), HONOR (open), </w:t>
            </w:r>
            <w:r w:rsidRPr="00F5153A">
              <w:rPr>
                <w:rFonts w:eastAsia="DengXian"/>
                <w:bCs/>
                <w:color w:val="3333FF"/>
                <w:sz w:val="20"/>
                <w:szCs w:val="20"/>
                <w:lang w:eastAsia="zh-CN"/>
              </w:rPr>
              <w:t>Fraunhofer IIS/HHI</w:t>
            </w:r>
            <w:r>
              <w:rPr>
                <w:rFonts w:eastAsia="DengXian"/>
                <w:bCs/>
                <w:color w:val="3333FF"/>
                <w:sz w:val="20"/>
                <w:szCs w:val="20"/>
                <w:lang w:eastAsia="zh-CN"/>
              </w:rPr>
              <w:t xml:space="preserve"> (open)</w:t>
            </w:r>
            <w:r w:rsidRPr="00F5153A">
              <w:rPr>
                <w:rFonts w:eastAsia="DengXian"/>
                <w:bCs/>
                <w:color w:val="3333FF"/>
                <w:sz w:val="20"/>
                <w:szCs w:val="20"/>
                <w:lang w:eastAsia="zh-CN"/>
              </w:rPr>
              <w:t>,</w:t>
            </w:r>
            <w:r>
              <w:rPr>
                <w:rFonts w:eastAsia="DengXian"/>
                <w:bCs/>
                <w:color w:val="3333FF"/>
                <w:sz w:val="20"/>
                <w:szCs w:val="20"/>
                <w:lang w:eastAsia="zh-CN"/>
              </w:rPr>
              <w:t xml:space="preserve"> Qualcomm, TCL (open), </w:t>
            </w:r>
            <w:proofErr w:type="spellStart"/>
            <w:r>
              <w:rPr>
                <w:rFonts w:eastAsia="DengXian"/>
                <w:bCs/>
                <w:color w:val="3333FF"/>
                <w:sz w:val="20"/>
                <w:szCs w:val="20"/>
                <w:lang w:eastAsia="zh-CN"/>
              </w:rPr>
              <w:t>Tejas</w:t>
            </w:r>
            <w:proofErr w:type="spellEnd"/>
            <w:r>
              <w:rPr>
                <w:rFonts w:eastAsia="DengXian"/>
                <w:bCs/>
                <w:color w:val="3333FF"/>
                <w:sz w:val="20"/>
                <w:szCs w:val="20"/>
                <w:lang w:eastAsia="zh-CN"/>
              </w:rPr>
              <w:t xml:space="preserve"> (open), </w:t>
            </w:r>
          </w:p>
          <w:p w14:paraId="6D14F323" w14:textId="77777777" w:rsidR="006616D3" w:rsidRDefault="006616D3" w:rsidP="006616D3">
            <w:pPr>
              <w:pStyle w:val="ListParagraph"/>
              <w:numPr>
                <w:ilvl w:val="0"/>
                <w:numId w:val="17"/>
              </w:numPr>
              <w:snapToGrid w:val="0"/>
              <w:spacing w:after="0" w:line="240" w:lineRule="auto"/>
              <w:rPr>
                <w:rFonts w:eastAsia="DengXian"/>
                <w:bCs/>
                <w:color w:val="3333FF"/>
                <w:sz w:val="20"/>
                <w:szCs w:val="20"/>
                <w:lang w:eastAsia="zh-CN"/>
              </w:rPr>
            </w:pPr>
            <w:r>
              <w:rPr>
                <w:rFonts w:eastAsia="DengXian"/>
                <w:bCs/>
                <w:color w:val="3333FF"/>
                <w:sz w:val="20"/>
                <w:szCs w:val="20"/>
                <w:lang w:eastAsia="zh-CN"/>
              </w:rPr>
              <w:t xml:space="preserve">No: ZTE, CMCC, Nokia/NSB (not sure but ok to discuss), Ericsson (ok to discuss), OPPO, Google, </w:t>
            </w:r>
          </w:p>
          <w:p w14:paraId="57C07761" w14:textId="77777777" w:rsidR="006616D3" w:rsidRDefault="006616D3" w:rsidP="006616D3">
            <w:pPr>
              <w:rPr>
                <w:rFonts w:eastAsia="DengXian"/>
                <w:b/>
                <w:bCs/>
                <w:sz w:val="20"/>
                <w:szCs w:val="20"/>
                <w:u w:val="single"/>
                <w:lang w:eastAsia="zh-CN"/>
              </w:rPr>
            </w:pPr>
          </w:p>
          <w:p w14:paraId="0DB0B336" w14:textId="77777777"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issue needs some discussion. For a given issue, if there is no consensus on ‘Yes’, we will assume that the answer is ‘No’</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w:t>
            </w:r>
            <w:r w:rsidR="0066141E">
              <w:rPr>
                <w:rFonts w:ascii="Times" w:eastAsiaTheme="minorEastAsia" w:hAnsi="Times" w:cs="Times"/>
                <w:b/>
                <w:color w:val="3333FF"/>
                <w:sz w:val="20"/>
                <w:szCs w:val="20"/>
                <w:lang w:val="en-GB" w:eastAsia="zh-CN"/>
              </w:rPr>
              <w:t>or have additional inputs</w:t>
            </w:r>
            <w:bookmarkStart w:id="4" w:name="_GoBack"/>
            <w:bookmarkEnd w:id="4"/>
          </w:p>
        </w:tc>
      </w:tr>
      <w:tr w:rsidR="00694309"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7CDAD299"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694309" w:rsidRDefault="00694309">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D04DF5A" w14:textId="2BF17610" w:rsidR="00EA51B4" w:rsidRPr="00EA51B4" w:rsidRDefault="00EA51B4" w:rsidP="00EA51B4">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increase the bit-width of the CSI request field of the DCI triggering a Rel-18 CJT eType-II CJT CSI report by </w:t>
            </w:r>
            <w:r>
              <w:rPr>
                <w:rFonts w:ascii="Times" w:hAnsi="Times" w:cs="Times"/>
                <w:sz w:val="20"/>
                <w:szCs w:val="20"/>
                <w:lang w:val="en-GB"/>
              </w:rPr>
              <w:t>1</w:t>
            </w:r>
            <w:r w:rsidRPr="00EA51B4">
              <w:rPr>
                <w:rFonts w:ascii="Times" w:hAnsi="Times" w:cs="Times"/>
                <w:sz w:val="20"/>
                <w:szCs w:val="20"/>
                <w:lang w:val="en-GB"/>
              </w:rPr>
              <w:t xml:space="preserve"> bit to indicate whether </w:t>
            </w:r>
            <w:r w:rsidR="00AA58E1">
              <w:rPr>
                <w:rFonts w:ascii="Times" w:hAnsi="Times" w:cs="Times"/>
                <w:sz w:val="20"/>
                <w:szCs w:val="20"/>
                <w:lang w:val="en-GB"/>
              </w:rPr>
              <w:t xml:space="preserve">or not </w:t>
            </w:r>
            <w:r w:rsidRPr="00EA51B4">
              <w:rPr>
                <w:rFonts w:ascii="Times" w:hAnsi="Times" w:cs="Times"/>
                <w:sz w:val="20"/>
                <w:szCs w:val="20"/>
                <w:lang w:val="en-GB"/>
              </w:rPr>
              <w:t xml:space="preserve">the UE should perform delay offset (DO) compensation based on the </w:t>
            </w:r>
            <w:r>
              <w:rPr>
                <w:rFonts w:ascii="Times" w:hAnsi="Times" w:cs="Times"/>
                <w:sz w:val="20"/>
                <w:szCs w:val="20"/>
                <w:lang w:val="en-GB"/>
              </w:rPr>
              <w:t xml:space="preserve">latest </w:t>
            </w:r>
            <w:r w:rsidRPr="00EA51B4">
              <w:rPr>
                <w:rFonts w:ascii="Times" w:hAnsi="Times" w:cs="Times"/>
                <w:sz w:val="20"/>
                <w:szCs w:val="20"/>
                <w:lang w:val="en-GB"/>
              </w:rPr>
              <w:t>linked CJTC Dd report when calculating the Rel-18 Type-II CJT CSI.</w:t>
            </w:r>
          </w:p>
          <w:p w14:paraId="084DE5D6" w14:textId="77777777" w:rsidR="00EA51B4" w:rsidRDefault="00EA51B4" w:rsidP="00EA51B4">
            <w:pPr>
              <w:snapToGrid w:val="0"/>
              <w:rPr>
                <w:rFonts w:eastAsia="Batang"/>
                <w:sz w:val="20"/>
                <w:szCs w:val="20"/>
                <w:lang w:val="en-GB"/>
              </w:rPr>
            </w:pPr>
          </w:p>
          <w:p w14:paraId="2F7705CE" w14:textId="77777777" w:rsidR="00EA51B4" w:rsidRDefault="00EA51B4" w:rsidP="00EA51B4">
            <w:pPr>
              <w:snapToGrid w:val="0"/>
              <w:rPr>
                <w:rFonts w:eastAsia="Batang"/>
                <w:sz w:val="20"/>
                <w:szCs w:val="20"/>
                <w:lang w:val="en-GB"/>
              </w:rPr>
            </w:pPr>
          </w:p>
          <w:p w14:paraId="0426791F" w14:textId="1F7DE730"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issue pertains to the interpretation of the indicator. The following issues will be discussed in later rounds: 1) whether to include the indicator as a part of trigger state, or elsewhere (without introducing a new DCI field), </w:t>
            </w:r>
            <w:r w:rsidR="00545C03">
              <w:rPr>
                <w:rFonts w:eastAsia="Batang"/>
                <w:color w:val="3333FF"/>
                <w:sz w:val="18"/>
                <w:szCs w:val="20"/>
                <w:lang w:val="en-GB"/>
              </w:rPr>
              <w:t>2</w:t>
            </w:r>
            <w:r>
              <w:rPr>
                <w:rFonts w:eastAsia="Batang"/>
                <w:color w:val="3333FF"/>
                <w:sz w:val="18"/>
                <w:szCs w:val="20"/>
                <w:lang w:val="en-GB"/>
              </w:rPr>
              <w:t>) whether it is per CSI-RS resource or for all resources (TRPs)</w:t>
            </w:r>
          </w:p>
          <w:p w14:paraId="20521B79" w14:textId="57572838" w:rsidR="00EA51B4" w:rsidRPr="00760419" w:rsidRDefault="00EA51B4" w:rsidP="00760419">
            <w:pPr>
              <w:snapToGrid w:val="0"/>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68A01B06" w:rsidR="00EA51B4" w:rsidRPr="00DE2B72" w:rsidRDefault="00EA51B4" w:rsidP="00EA51B4">
            <w:pPr>
              <w:snapToGrid w:val="0"/>
              <w:contextualSpacing/>
              <w:rPr>
                <w:sz w:val="18"/>
                <w:szCs w:val="18"/>
                <w:lang w:val="en-GB"/>
              </w:rPr>
            </w:pPr>
            <w:r>
              <w:rPr>
                <w:b/>
                <w:sz w:val="18"/>
                <w:szCs w:val="18"/>
                <w:lang w:val="en-GB"/>
              </w:rPr>
              <w:t xml:space="preserve">Support/fine: </w:t>
            </w:r>
            <w:r w:rsidRPr="00DE2B72">
              <w:rPr>
                <w:sz w:val="18"/>
                <w:szCs w:val="18"/>
                <w:lang w:val="en-GB"/>
              </w:rPr>
              <w:t>Samsung,</w:t>
            </w:r>
            <w:r w:rsidR="00735BF8">
              <w:rPr>
                <w:sz w:val="18"/>
                <w:szCs w:val="18"/>
                <w:lang w:val="en-GB"/>
              </w:rPr>
              <w:t xml:space="preserve"> OPPO,</w:t>
            </w:r>
            <w:r w:rsidRPr="00DE2B72">
              <w:rPr>
                <w:sz w:val="18"/>
                <w:szCs w:val="18"/>
                <w:lang w:val="en-GB"/>
              </w:rPr>
              <w:t xml:space="preserve"> </w:t>
            </w:r>
            <w:r w:rsidR="00735BF8">
              <w:rPr>
                <w:sz w:val="18"/>
                <w:szCs w:val="18"/>
                <w:lang w:val="en-GB"/>
              </w:rPr>
              <w:t xml:space="preserve">Google, </w:t>
            </w:r>
            <w:r w:rsidR="003B66E5" w:rsidRPr="003B66E5">
              <w:rPr>
                <w:sz w:val="18"/>
                <w:szCs w:val="18"/>
                <w:lang w:val="en-GB"/>
              </w:rPr>
              <w:t xml:space="preserve">NTT DOCOMO, </w:t>
            </w:r>
            <w:r>
              <w:rPr>
                <w:sz w:val="18"/>
                <w:szCs w:val="18"/>
                <w:lang w:val="en-GB"/>
              </w:rPr>
              <w:t>…</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lastRenderedPageBreak/>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6616D3" w14:paraId="4E3202BA"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6616D3" w:rsidRDefault="006616D3" w:rsidP="006616D3">
            <w:pPr>
              <w:widowControl w:val="0"/>
              <w:snapToGrid w:val="0"/>
              <w:rPr>
                <w:sz w:val="18"/>
                <w:szCs w:val="18"/>
              </w:rPr>
            </w:pPr>
            <w:r>
              <w:rPr>
                <w:sz w:val="20"/>
                <w:szCs w:val="20"/>
              </w:rPr>
              <w:t>3.3.9</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1B284E61" w14:textId="77777777" w:rsidR="006616D3" w:rsidRDefault="006616D3" w:rsidP="006616D3">
            <w:pPr>
              <w:snapToGrid w:val="0"/>
              <w:rPr>
                <w:rFonts w:eastAsia="DengXian"/>
                <w:bCs/>
                <w:sz w:val="20"/>
                <w:szCs w:val="20"/>
                <w:lang w:val="en-GB" w:eastAsia="zh-CN"/>
              </w:rPr>
            </w:pPr>
            <w:r>
              <w:rPr>
                <w:rFonts w:eastAsia="DengXian"/>
                <w:b/>
                <w:bCs/>
                <w:sz w:val="20"/>
                <w:szCs w:val="20"/>
                <w:u w:val="single"/>
                <w:lang w:eastAsia="zh-CN"/>
              </w:rPr>
              <w:t>Question 3.C.9</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 please share your views, if any, on:</w:t>
            </w:r>
          </w:p>
          <w:p w14:paraId="7453A691" w14:textId="77777777" w:rsidR="006616D3" w:rsidRDefault="006616D3" w:rsidP="006616D3">
            <w:pPr>
              <w:pStyle w:val="ListParagraph"/>
              <w:numPr>
                <w:ilvl w:val="0"/>
                <w:numId w:val="28"/>
              </w:numPr>
              <w:snapToGrid w:val="0"/>
              <w:spacing w:after="0" w:line="240" w:lineRule="auto"/>
              <w:rPr>
                <w:rFonts w:eastAsia="DengXian"/>
                <w:bCs/>
                <w:sz w:val="20"/>
                <w:szCs w:val="20"/>
                <w:lang w:val="en-GB" w:eastAsia="zh-CN"/>
              </w:rPr>
            </w:pPr>
            <w:r>
              <w:rPr>
                <w:rFonts w:eastAsia="DengXian"/>
                <w:bCs/>
                <w:sz w:val="20"/>
                <w:szCs w:val="20"/>
                <w:lang w:val="en-GB" w:eastAsia="zh-CN"/>
              </w:rPr>
              <w:t>Whether an additional UE procedure is needed when the reported DO value is ‘out of range’</w:t>
            </w:r>
          </w:p>
          <w:p w14:paraId="482A05E1" w14:textId="77777777" w:rsidR="006616D3" w:rsidRDefault="006616D3" w:rsidP="006616D3">
            <w:pPr>
              <w:pStyle w:val="ListParagraph"/>
              <w:numPr>
                <w:ilvl w:val="1"/>
                <w:numId w:val="28"/>
              </w:numPr>
              <w:snapToGrid w:val="0"/>
              <w:spacing w:after="0" w:line="240" w:lineRule="auto"/>
              <w:rPr>
                <w:rFonts w:eastAsia="DengXian"/>
                <w:bCs/>
                <w:color w:val="3333FF"/>
                <w:sz w:val="20"/>
                <w:szCs w:val="20"/>
                <w:lang w:val="en-GB" w:eastAsia="zh-CN"/>
              </w:rPr>
            </w:pPr>
            <w:r>
              <w:rPr>
                <w:rFonts w:eastAsia="DengXian"/>
                <w:bCs/>
                <w:color w:val="3333FF"/>
                <w:sz w:val="20"/>
                <w:szCs w:val="20"/>
                <w:lang w:val="en-GB" w:eastAsia="zh-CN"/>
              </w:rPr>
              <w:t>Yes: Google, NEC, HONOR, Lenovo/</w:t>
            </w:r>
            <w:proofErr w:type="spellStart"/>
            <w:r>
              <w:rPr>
                <w:rFonts w:eastAsia="DengXian"/>
                <w:bCs/>
                <w:color w:val="3333FF"/>
                <w:sz w:val="20"/>
                <w:szCs w:val="20"/>
                <w:lang w:val="en-GB" w:eastAsia="zh-CN"/>
              </w:rPr>
              <w:t>MotM</w:t>
            </w:r>
            <w:proofErr w:type="spellEnd"/>
            <w:r>
              <w:rPr>
                <w:rFonts w:eastAsia="DengXian"/>
                <w:bCs/>
                <w:color w:val="3333FF"/>
                <w:sz w:val="20"/>
                <w:szCs w:val="20"/>
                <w:lang w:val="en-GB" w:eastAsia="zh-CN"/>
              </w:rPr>
              <w:t xml:space="preserve">, Ericsson (discuss), Samsung (discuss), </w:t>
            </w:r>
          </w:p>
          <w:p w14:paraId="0F3076A9" w14:textId="77777777" w:rsidR="006616D3" w:rsidRDefault="006616D3" w:rsidP="006616D3">
            <w:pPr>
              <w:pStyle w:val="ListParagraph"/>
              <w:numPr>
                <w:ilvl w:val="1"/>
                <w:numId w:val="28"/>
              </w:numPr>
              <w:snapToGrid w:val="0"/>
              <w:spacing w:after="0" w:line="240" w:lineRule="auto"/>
              <w:rPr>
                <w:rFonts w:eastAsia="DengXian"/>
                <w:bCs/>
                <w:color w:val="FF0000"/>
                <w:sz w:val="20"/>
                <w:szCs w:val="20"/>
                <w:lang w:val="en-GB" w:eastAsia="zh-CN"/>
              </w:rPr>
            </w:pPr>
            <w:r>
              <w:rPr>
                <w:rFonts w:eastAsia="DengXian"/>
                <w:bCs/>
                <w:color w:val="3333FF"/>
                <w:sz w:val="20"/>
                <w:szCs w:val="20"/>
                <w:lang w:val="en-GB" w:eastAsia="zh-CN"/>
              </w:rPr>
              <w:t xml:space="preserve">No: TCL, ZTE, vivo, Nokia/NSB, Sony, OPPO, </w:t>
            </w:r>
            <w:r w:rsidRPr="00735BF8">
              <w:rPr>
                <w:rFonts w:eastAsia="DengXian"/>
                <w:bCs/>
                <w:color w:val="3333FF"/>
                <w:sz w:val="20"/>
                <w:szCs w:val="20"/>
                <w:lang w:val="en-GB" w:eastAsia="zh-CN"/>
              </w:rPr>
              <w:t>NTT DOCOMO,</w:t>
            </w:r>
          </w:p>
          <w:p w14:paraId="5144F6C7" w14:textId="77777777" w:rsidR="006616D3" w:rsidRDefault="006616D3" w:rsidP="006616D3">
            <w:pPr>
              <w:jc w:val="both"/>
              <w:rPr>
                <w:rFonts w:eastAsia="DengXian"/>
                <w:bCs/>
                <w:sz w:val="20"/>
                <w:szCs w:val="20"/>
                <w:lang w:eastAsia="zh-CN"/>
              </w:rPr>
            </w:pPr>
          </w:p>
          <w:p w14:paraId="5DBC11C6" w14:textId="77777777" w:rsidR="006616D3" w:rsidRDefault="006616D3" w:rsidP="006616D3">
            <w:pPr>
              <w:jc w:val="both"/>
              <w:rPr>
                <w:rFonts w:eastAsia="DengXian"/>
                <w:bCs/>
                <w:sz w:val="20"/>
                <w:szCs w:val="20"/>
                <w:lang w:eastAsia="zh-CN"/>
              </w:rPr>
            </w:pPr>
          </w:p>
          <w:p w14:paraId="1302BED6" w14:textId="77777777"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two issues need some discussion. For a given issue, if there is no consensus on ‘Yes’, we will assume that the answer is ‘No’</w:t>
            </w:r>
          </w:p>
          <w:p w14:paraId="73138068" w14:textId="77777777" w:rsidR="006616D3" w:rsidRDefault="006616D3" w:rsidP="006616D3">
            <w:pPr>
              <w:jc w:val="both"/>
              <w:rPr>
                <w:rFonts w:eastAsia="DengXian"/>
                <w:b/>
                <w:bCs/>
                <w:sz w:val="16"/>
                <w:szCs w:val="20"/>
                <w:highlight w:val="green"/>
                <w:lang w:val="en-GB" w:eastAsia="zh-CN"/>
              </w:rPr>
            </w:pPr>
          </w:p>
        </w:tc>
      </w:tr>
      <w:tr w:rsidR="006616D3" w14:paraId="294AAFCF"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6616D3" w:rsidRDefault="006616D3" w:rsidP="006616D3">
            <w:pPr>
              <w:widowControl w:val="0"/>
              <w:snapToGrid w:val="0"/>
              <w:rPr>
                <w:sz w:val="18"/>
                <w:szCs w:val="18"/>
              </w:rPr>
            </w:pPr>
            <w:r>
              <w:rPr>
                <w:sz w:val="20"/>
                <w:szCs w:val="20"/>
              </w:rPr>
              <w:t>3.3.10</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7B96397F" w14:textId="77777777" w:rsidR="006616D3" w:rsidRDefault="006616D3" w:rsidP="006616D3">
            <w:pPr>
              <w:jc w:val="both"/>
              <w:rPr>
                <w:rFonts w:eastAsia="DengXian"/>
                <w:bCs/>
                <w:sz w:val="18"/>
                <w:szCs w:val="20"/>
                <w:lang w:val="en-GB" w:eastAsia="zh-CN"/>
              </w:rPr>
            </w:pPr>
            <w:r>
              <w:rPr>
                <w:rFonts w:ascii="Times" w:eastAsia="Calibri" w:hAnsi="Times"/>
                <w:b/>
                <w:sz w:val="20"/>
                <w:u w:val="single"/>
                <w:lang w:val="en-GB"/>
              </w:rPr>
              <w:t>Question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with a joint trigger, please share your views, if any, on how the timeline, CPU occupation, and/or active resource counting of the joint reporting are determined from those agreed for the CJTC Dd and the Rel-18 </w:t>
            </w:r>
            <w:proofErr w:type="spellStart"/>
            <w:r>
              <w:rPr>
                <w:rFonts w:eastAsia="Batang"/>
                <w:sz w:val="20"/>
                <w:szCs w:val="20"/>
                <w:lang w:val="en-GB"/>
              </w:rPr>
              <w:t>eType</w:t>
            </w:r>
            <w:proofErr w:type="spellEnd"/>
            <w:r>
              <w:rPr>
                <w:rFonts w:eastAsia="Batang"/>
                <w:sz w:val="20"/>
                <w:szCs w:val="20"/>
                <w:lang w:val="en-GB"/>
              </w:rPr>
              <w:t xml:space="preserve">-II CJT CSI. </w:t>
            </w:r>
          </w:p>
          <w:p w14:paraId="4D28CA87" w14:textId="77777777" w:rsidR="006616D3" w:rsidRDefault="006616D3" w:rsidP="006616D3">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Alt1. Reuse the timeline,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30EE6D98" w14:textId="77777777" w:rsidR="006616D3" w:rsidRDefault="006616D3" w:rsidP="006616D3">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Alt2. Add the timeline, CPU occupation, and active resource counting for the Rel-19 CJTC to the timeline,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 respectively</w:t>
            </w:r>
          </w:p>
          <w:p w14:paraId="45EF1DCF" w14:textId="77777777" w:rsidR="006616D3" w:rsidRDefault="006616D3" w:rsidP="006616D3">
            <w:pPr>
              <w:jc w:val="both"/>
              <w:rPr>
                <w:rFonts w:eastAsia="DengXian"/>
                <w:bCs/>
                <w:sz w:val="18"/>
                <w:szCs w:val="20"/>
                <w:lang w:val="en-GB" w:eastAsia="zh-CN"/>
              </w:rPr>
            </w:pPr>
          </w:p>
          <w:p w14:paraId="015773E2" w14:textId="77777777" w:rsidR="006616D3" w:rsidRDefault="006616D3" w:rsidP="006616D3">
            <w:pPr>
              <w:jc w:val="both"/>
              <w:rPr>
                <w:rFonts w:eastAsia="DengXian"/>
                <w:bCs/>
                <w:color w:val="3333FF"/>
                <w:sz w:val="18"/>
                <w:szCs w:val="20"/>
                <w:lang w:val="en-GB" w:eastAsia="zh-CN"/>
              </w:rPr>
            </w:pPr>
            <w:r>
              <w:rPr>
                <w:rFonts w:eastAsia="DengXian"/>
                <w:bCs/>
                <w:color w:val="3333FF"/>
                <w:sz w:val="18"/>
                <w:szCs w:val="20"/>
                <w:lang w:val="en-GB" w:eastAsia="zh-CN"/>
              </w:rPr>
              <w:t>Alt1 (no spec impact):</w:t>
            </w:r>
          </w:p>
          <w:p w14:paraId="130544E0"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Samsung, HONOR, Xiaomi, vivo, Ericsson, OPPO, </w:t>
            </w:r>
            <w:r w:rsidRPr="00735BF8">
              <w:rPr>
                <w:rFonts w:eastAsia="Malgun Gothic"/>
                <w:color w:val="3333FF"/>
                <w:sz w:val="18"/>
                <w:lang w:eastAsia="zh-TW"/>
              </w:rPr>
              <w:t>NTT DOCOMO,</w:t>
            </w:r>
          </w:p>
          <w:p w14:paraId="4C2FF973"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67819F55" w14:textId="77777777" w:rsidR="006616D3" w:rsidRDefault="006616D3" w:rsidP="006616D3">
            <w:pPr>
              <w:jc w:val="both"/>
              <w:rPr>
                <w:rFonts w:eastAsia="DengXian"/>
                <w:bCs/>
                <w:color w:val="3333FF"/>
                <w:sz w:val="18"/>
                <w:szCs w:val="20"/>
                <w:lang w:val="en-GB" w:eastAsia="zh-CN"/>
              </w:rPr>
            </w:pPr>
            <w:r>
              <w:rPr>
                <w:rFonts w:eastAsia="DengXian"/>
                <w:bCs/>
                <w:color w:val="3333FF"/>
                <w:sz w:val="18"/>
                <w:szCs w:val="20"/>
                <w:lang w:val="en-GB" w:eastAsia="zh-CN"/>
              </w:rPr>
              <w:t xml:space="preserve">Alt2: </w:t>
            </w:r>
          </w:p>
          <w:p w14:paraId="72CA6D45"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ZTE, MediaTek, Google, NEC, </w:t>
            </w:r>
          </w:p>
          <w:p w14:paraId="5ACEF7C3"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5103CBE1" w14:textId="77777777" w:rsidR="006616D3" w:rsidRDefault="006616D3" w:rsidP="006616D3">
            <w:pPr>
              <w:jc w:val="both"/>
              <w:rPr>
                <w:rFonts w:eastAsia="DengXian"/>
                <w:bCs/>
                <w:color w:val="3333FF"/>
                <w:sz w:val="18"/>
                <w:szCs w:val="20"/>
                <w:lang w:val="en-GB" w:eastAsia="zh-CN"/>
              </w:rPr>
            </w:pPr>
          </w:p>
          <w:p w14:paraId="19B160FD" w14:textId="77777777" w:rsidR="006616D3" w:rsidRDefault="006616D3" w:rsidP="006616D3">
            <w:pPr>
              <w:jc w:val="both"/>
              <w:rPr>
                <w:rFonts w:eastAsia="DengXian"/>
                <w:bCs/>
                <w:sz w:val="18"/>
                <w:szCs w:val="20"/>
                <w:lang w:val="en-GB" w:eastAsia="zh-CN"/>
              </w:rPr>
            </w:pPr>
          </w:p>
          <w:p w14:paraId="44E2931D" w14:textId="77777777" w:rsidR="006616D3" w:rsidRDefault="006616D3" w:rsidP="006616D3">
            <w:pPr>
              <w:jc w:val="both"/>
              <w:rPr>
                <w:rFonts w:eastAsia="DengXian"/>
                <w:bCs/>
                <w:sz w:val="18"/>
                <w:szCs w:val="20"/>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baseline is to reuse those of the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CSI since this represents the worst of the two and the resulting report is analogous to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(i.e. Alt1). This implies there is no spec impact, which is the default. </w:t>
            </w:r>
          </w:p>
          <w:p w14:paraId="64B5B0C0" w14:textId="77777777" w:rsidR="006616D3" w:rsidRDefault="006616D3" w:rsidP="006616D3">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lastRenderedPageBreak/>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6616D3">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6616D3">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6616D3">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w:t>
            </w:r>
            <w:r>
              <w:rPr>
                <w:sz w:val="18"/>
                <w:szCs w:val="18"/>
                <w:lang w:val="en-GB"/>
              </w:rPr>
              <w:lastRenderedPageBreak/>
              <w:t>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lastRenderedPageBreak/>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06EEAE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w:t>
            </w:r>
            <w:r w:rsidR="0066141E">
              <w:rPr>
                <w:rFonts w:ascii="Times" w:eastAsiaTheme="minorEastAsia" w:hAnsi="Times" w:cs="Times"/>
                <w:b/>
                <w:color w:val="3333FF"/>
                <w:sz w:val="20"/>
                <w:szCs w:val="20"/>
                <w:lang w:val="en-GB" w:eastAsia="zh-CN"/>
              </w:rPr>
              <w:t>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79384988" w:rsidR="00694309" w:rsidRDefault="0069430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963A4E" w14:textId="77777777" w:rsidR="00694309" w:rsidRDefault="00694309">
            <w:pPr>
              <w:rPr>
                <w:rFonts w:ascii="Times" w:eastAsia="Batang" w:hAnsi="Times"/>
                <w:b/>
                <w:bCs/>
                <w:color w:val="3333FF"/>
                <w:sz w:val="20"/>
                <w:szCs w:val="20"/>
                <w:lang w:val="en-GB" w:eastAsia="zh-CN"/>
              </w:rPr>
            </w:pPr>
          </w:p>
        </w:tc>
      </w:tr>
      <w:tr w:rsidR="005A2913"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1A343DB4" w:rsidR="005A2913" w:rsidRDefault="005A2913" w:rsidP="005A291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6DE723" w14:textId="7F69D599" w:rsidR="005A2913" w:rsidRPr="009A41D3" w:rsidRDefault="005A2913" w:rsidP="005A2913">
            <w:pPr>
              <w:rPr>
                <w:rFonts w:ascii="Times" w:eastAsiaTheme="minorEastAsia" w:hAnsi="Times"/>
                <w:b/>
                <w:bCs/>
                <w:color w:val="3333FF"/>
                <w:sz w:val="20"/>
                <w:szCs w:val="20"/>
                <w:lang w:val="en-GB" w:eastAsia="zh-CN"/>
              </w:rPr>
            </w:pPr>
          </w:p>
        </w:tc>
      </w:tr>
      <w:tr w:rsidR="00B90579"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612FE440" w:rsidR="00B90579" w:rsidRDefault="00B90579" w:rsidP="00B9057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9FF97" w14:textId="77777777" w:rsidR="00B90579" w:rsidRPr="0095064D" w:rsidRDefault="00B90579" w:rsidP="00B90579">
            <w:pPr>
              <w:rPr>
                <w:rFonts w:ascii="Times" w:eastAsia="Batang" w:hAnsi="Times"/>
                <w:bCs/>
                <w:color w:val="3333FF"/>
                <w:sz w:val="18"/>
                <w:szCs w:val="18"/>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BF3F1" w14:textId="77777777" w:rsidR="00F970A2" w:rsidRDefault="00F970A2" w:rsidP="005A2913">
      <w:r>
        <w:separator/>
      </w:r>
    </w:p>
  </w:endnote>
  <w:endnote w:type="continuationSeparator" w:id="0">
    <w:p w14:paraId="688885A9" w14:textId="77777777" w:rsidR="00F970A2" w:rsidRDefault="00F970A2"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474CF" w14:textId="77777777" w:rsidR="00F970A2" w:rsidRDefault="00F970A2" w:rsidP="005A2913">
      <w:r>
        <w:separator/>
      </w:r>
    </w:p>
  </w:footnote>
  <w:footnote w:type="continuationSeparator" w:id="0">
    <w:p w14:paraId="105FD845" w14:textId="77777777" w:rsidR="00F970A2" w:rsidRDefault="00F970A2"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B82F1D"/>
    <w:multiLevelType w:val="hybridMultilevel"/>
    <w:tmpl w:val="6E56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4"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4"/>
  </w:num>
  <w:num w:numId="3">
    <w:abstractNumId w:val="30"/>
  </w:num>
  <w:num w:numId="4">
    <w:abstractNumId w:val="31"/>
  </w:num>
  <w:num w:numId="5">
    <w:abstractNumId w:val="18"/>
  </w:num>
  <w:num w:numId="6">
    <w:abstractNumId w:val="42"/>
  </w:num>
  <w:num w:numId="7">
    <w:abstractNumId w:val="17"/>
  </w:num>
  <w:num w:numId="8">
    <w:abstractNumId w:val="19"/>
  </w:num>
  <w:num w:numId="9">
    <w:abstractNumId w:val="29"/>
  </w:num>
  <w:num w:numId="10">
    <w:abstractNumId w:val="37"/>
  </w:num>
  <w:num w:numId="11">
    <w:abstractNumId w:val="3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8"/>
  </w:num>
  <w:num w:numId="15">
    <w:abstractNumId w:val="5"/>
  </w:num>
  <w:num w:numId="16">
    <w:abstractNumId w:val="35"/>
  </w:num>
  <w:num w:numId="17">
    <w:abstractNumId w:val="13"/>
  </w:num>
  <w:num w:numId="18">
    <w:abstractNumId w:val="4"/>
  </w:num>
  <w:num w:numId="19">
    <w:abstractNumId w:val="28"/>
  </w:num>
  <w:num w:numId="20">
    <w:abstractNumId w:val="10"/>
  </w:num>
  <w:num w:numId="21">
    <w:abstractNumId w:val="7"/>
  </w:num>
  <w:num w:numId="22">
    <w:abstractNumId w:val="22"/>
  </w:num>
  <w:num w:numId="23">
    <w:abstractNumId w:val="23"/>
  </w:num>
  <w:num w:numId="24">
    <w:abstractNumId w:val="34"/>
  </w:num>
  <w:num w:numId="25">
    <w:abstractNumId w:val="1"/>
  </w:num>
  <w:num w:numId="26">
    <w:abstractNumId w:val="26"/>
  </w:num>
  <w:num w:numId="27">
    <w:abstractNumId w:val="36"/>
  </w:num>
  <w:num w:numId="28">
    <w:abstractNumId w:val="14"/>
  </w:num>
  <w:num w:numId="29">
    <w:abstractNumId w:val="6"/>
  </w:num>
  <w:num w:numId="30">
    <w:abstractNumId w:val="40"/>
  </w:num>
  <w:num w:numId="31">
    <w:abstractNumId w:val="15"/>
  </w:num>
  <w:num w:numId="32">
    <w:abstractNumId w:val="9"/>
  </w:num>
  <w:num w:numId="33">
    <w:abstractNumId w:val="41"/>
  </w:num>
  <w:num w:numId="34">
    <w:abstractNumId w:val="16"/>
  </w:num>
  <w:num w:numId="35">
    <w:abstractNumId w:val="12"/>
  </w:num>
  <w:num w:numId="36">
    <w:abstractNumId w:val="0"/>
  </w:num>
  <w:num w:numId="37">
    <w:abstractNumId w:val="32"/>
  </w:num>
  <w:num w:numId="38">
    <w:abstractNumId w:val="11"/>
  </w:num>
  <w:num w:numId="39">
    <w:abstractNumId w:val="21"/>
  </w:num>
  <w:num w:numId="40">
    <w:abstractNumId w:val="2"/>
  </w:num>
  <w:num w:numId="41">
    <w:abstractNumId w:val="25"/>
  </w:num>
  <w:num w:numId="42">
    <w:abstractNumId w:val="3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0A2"/>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4D99B29F-8935-46D8-B122-F2F9BDEE888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91</TotalTime>
  <Pages>7</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19</cp:revision>
  <cp:lastPrinted>2021-10-06T09:28:00Z</cp:lastPrinted>
  <dcterms:created xsi:type="dcterms:W3CDTF">2024-10-15T01:20:00Z</dcterms:created>
  <dcterms:modified xsi:type="dcterms:W3CDTF">2024-10-15T04:30:00Z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